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4" name="image4.png"/>
            <a:graphic>
              <a:graphicData uri="http://schemas.openxmlformats.org/drawingml/2006/picture">
                <pic:pic>
                  <pic:nvPicPr>
                    <pic:cNvPr descr="horizontal line" id="0" name="image4.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5" name="image26.png"/>
            <a:graphic>
              <a:graphicData uri="http://schemas.openxmlformats.org/drawingml/2006/picture">
                <pic:pic>
                  <pic:nvPicPr>
                    <pic:cNvPr id="0" name="image26.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Chile</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16"/>
          <w:szCs w:val="16"/>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Chile</w:t>
      </w:r>
      <w:r w:rsidDel="00000000" w:rsidR="00000000" w:rsidRPr="00000000">
        <w:rPr>
          <w:rtl w:val="0"/>
        </w:rPr>
      </w:r>
    </w:p>
    <w:p w:rsidR="00000000" w:rsidDel="00000000" w:rsidP="00000000" w:rsidRDefault="00000000" w:rsidRPr="00000000" w14:paraId="0000000B">
      <w:pPr>
        <w:pageBreakBefore w:val="0"/>
        <w:jc w:val="center"/>
        <w:rPr>
          <w:sz w:val="40"/>
          <w:szCs w:val="40"/>
        </w:rPr>
      </w:pPr>
      <w:r w:rsidDel="00000000" w:rsidR="00000000" w:rsidRPr="00000000">
        <w:rPr>
          <w:rtl w:val="0"/>
        </w:rPr>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D">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E">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Chile</w:t>
      </w:r>
      <w:r w:rsidDel="00000000" w:rsidR="00000000" w:rsidRPr="00000000">
        <w:rPr>
          <w:rtl w:val="0"/>
        </w:rPr>
        <w:t xml:space="preserve"> went through during the period from 2013 to 2022. Specifically, we dive into the topic through a macroeconomic overview of </w:t>
      </w:r>
      <w:r w:rsidDel="00000000" w:rsidR="00000000" w:rsidRPr="00000000">
        <w:rPr>
          <w:rtl w:val="0"/>
        </w:rPr>
        <w:t xml:space="preserve">Chile</w:t>
      </w:r>
      <w:r w:rsidDel="00000000" w:rsidR="00000000" w:rsidRPr="00000000">
        <w:rPr>
          <w:rtl w:val="0"/>
        </w:rPr>
        <w:t xml:space="preserve"> from the perspective of Gross Domestic Product (GDP) and Economic Complexity Index (ECI), which reflect countries’ production capability and production structure, respectively. We divide the period into two subperiods: 2013-2018 and 2019-2022. These subperiods are meant to capture differences in pre- and post-pandemic economic progress and resulting optimal development path. We find that during the period of our interest, </w:t>
      </w:r>
      <w:r w:rsidDel="00000000" w:rsidR="00000000" w:rsidRPr="00000000">
        <w:rPr>
          <w:rtl w:val="0"/>
        </w:rPr>
        <w:t xml:space="preserve">Chile</w:t>
      </w:r>
      <w:r w:rsidDel="00000000" w:rsidR="00000000" w:rsidRPr="00000000">
        <w:rPr>
          <w:rtl w:val="0"/>
        </w:rPr>
        <w:t xml:space="preserve"> demonstrated a moderate level of economic growth with an average annual GDP growth rate of 3.09% between 2013 and 2018 and 2.78% between 2019 and 2021, with a  increased economic complexity compared to other major emerging economies. </w:t>
      </w:r>
    </w:p>
    <w:p w:rsidR="00000000" w:rsidDel="00000000" w:rsidP="00000000" w:rsidRDefault="00000000" w:rsidRPr="00000000" w14:paraId="0000000F">
      <w:pPr>
        <w:pageBreakBefore w:val="0"/>
        <w:jc w:val="both"/>
        <w:rPr>
          <w:b w:val="1"/>
          <w:bCs w:val="1"/>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The moderate progress during this period, we believe, can be partially explained through analysis of the economic and product complexity structure of Chile on the industry group level. The product classification system we adopt allows us to measure the realized industry development for various industry groups and to observe that Chile consistently relied on developing the Services and Utilities and Transportation industries in 2013 to 2018, and Precious Stones and Machinery and Construction in 2019 to 2022 while its developed counterparts and emerging economies around the globe adopted much more complex and progressive paths. </w:t>
      </w:r>
    </w:p>
    <w:p w:rsidR="00000000" w:rsidDel="00000000" w:rsidP="00000000" w:rsidRDefault="00000000" w:rsidRPr="00000000" w14:paraId="00000011">
      <w:pPr>
        <w:pageBreakBefore w:val="0"/>
        <w:jc w:val="both"/>
        <w:rPr/>
      </w:pPr>
      <w:r w:rsidDel="00000000" w:rsidR="00000000" w:rsidRPr="00000000">
        <w:rPr>
          <w:rtl w:val="0"/>
        </w:rPr>
      </w:r>
    </w:p>
    <w:p w:rsidR="00000000" w:rsidDel="00000000" w:rsidP="00000000" w:rsidRDefault="00000000" w:rsidRPr="00000000" w14:paraId="00000012">
      <w:pPr>
        <w:pageBreakBefore w:val="0"/>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Chile</w:t>
      </w:r>
      <w:r w:rsidDel="00000000" w:rsidR="00000000" w:rsidRPr="00000000">
        <w:rPr>
          <w:rtl w:val="0"/>
        </w:rPr>
        <w:t xml:space="preserve"> could further its gains by prioritizing Services and Utilities and Chemical Manufacturing and Precious Stones in 2018. Its development strategy in recent years is partially aligned with our previous recommendations, especially with Precious Stones, which we attribute to the increase in ECI. Four</w:t>
      </w:r>
      <w:r w:rsidDel="00000000" w:rsidR="00000000" w:rsidRPr="00000000">
        <w:rPr>
          <w:rtl w:val="0"/>
        </w:rPr>
        <w:t xml:space="preserve"> years later, in 2022, its focus should shift to </w:t>
      </w:r>
      <w:r w:rsidDel="00000000" w:rsidR="00000000" w:rsidRPr="00000000">
        <w:rPr>
          <w:rtl w:val="0"/>
        </w:rPr>
        <w:t xml:space="preserve">Machinery and Construction and continue investing in Precious Stones. We further note that </w:t>
      </w:r>
      <w:r w:rsidDel="00000000" w:rsidR="00000000" w:rsidRPr="00000000">
        <w:rPr>
          <w:rtl w:val="0"/>
        </w:rPr>
        <w:t xml:space="preserve">Chile</w:t>
      </w:r>
      <w:r w:rsidDel="00000000" w:rsidR="00000000" w:rsidRPr="00000000">
        <w:rPr>
          <w:rtl w:val="0"/>
        </w:rPr>
        <w:t xml:space="preserve"> has a slightly mismatched but improving development strategy that indicates a moderate level (compared to other emerging countries) of structural optimality on the complexity level, having an adjusted R-square of around</w:t>
      </w:r>
      <w:r w:rsidDel="00000000" w:rsidR="00000000" w:rsidRPr="00000000">
        <w:rPr>
          <w:rtl w:val="0"/>
        </w:rPr>
        <w:t xml:space="preserve"> 3.34% </w:t>
      </w:r>
      <w:r w:rsidDel="00000000" w:rsidR="00000000" w:rsidRPr="00000000">
        <w:rPr>
          <w:rtl w:val="0"/>
        </w:rPr>
        <w:t xml:space="preserve">in 2018 and a much higher score of 11.3% in 2022, demonstrating improvement in development.</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t>
      </w:r>
      <w:r w:rsidDel="00000000" w:rsidR="00000000" w:rsidRPr="00000000">
        <w:rPr>
          <w:rtl w:val="0"/>
        </w:rPr>
        <w:t xml:space="preserve">Chile</w:t>
      </w:r>
      <w:r w:rsidDel="00000000" w:rsidR="00000000" w:rsidRPr="00000000">
        <w:rPr>
          <w:rtl w:val="0"/>
        </w:rPr>
        <w:t xml:space="preserve"> indeed has an</w:t>
      </w:r>
      <w:r w:rsidDel="00000000" w:rsidR="00000000" w:rsidRPr="00000000">
        <w:rPr>
          <w:rtl w:val="0"/>
        </w:rPr>
        <w:t xml:space="preserve"> </w:t>
      </w:r>
      <w:r w:rsidDel="00000000" w:rsidR="00000000" w:rsidRPr="00000000">
        <w:rPr>
          <w:rtl w:val="0"/>
        </w:rPr>
        <w:t xml:space="preserve">optimal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3">
      <w:pPr>
        <w:pageBreakBefore w:val="0"/>
        <w:jc w:val="both"/>
        <w:rPr/>
      </w:pPr>
      <w:r w:rsidDel="00000000" w:rsidR="00000000" w:rsidRPr="00000000">
        <w:rPr>
          <w:rtl w:val="0"/>
        </w:rPr>
      </w:r>
    </w:p>
    <w:p w:rsidR="00000000" w:rsidDel="00000000" w:rsidP="00000000" w:rsidRDefault="00000000" w:rsidRPr="00000000" w14:paraId="00000014">
      <w:pPr>
        <w:pageBreakBefore w:val="0"/>
        <w:jc w:val="both"/>
        <w:rPr/>
      </w:pPr>
      <w:r w:rsidDel="00000000" w:rsidR="00000000" w:rsidRPr="00000000">
        <w:rPr>
          <w:rtl w:val="0"/>
        </w:rPr>
        <w:t xml:space="preserve">The four years between 2019 and 2022 showed a significant improvement in </w:t>
      </w:r>
      <w:r w:rsidDel="00000000" w:rsidR="00000000" w:rsidRPr="00000000">
        <w:rPr>
          <w:rtl w:val="0"/>
        </w:rPr>
        <w:t xml:space="preserve">Chile</w:t>
      </w:r>
      <w:r w:rsidDel="00000000" w:rsidR="00000000" w:rsidRPr="00000000">
        <w:rPr>
          <w:rtl w:val="0"/>
        </w:rPr>
        <w:t xml:space="preserve">'s economic growth, boosting its position on the global scale. Its GDP recovered to above the pre-pandemic levels, and it saw a significant boost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5">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7">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8">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Chile</w:t>
      </w:r>
      <w:r w:rsidDel="00000000" w:rsidR="00000000" w:rsidRPr="00000000">
        <w:rPr>
          <w:rtl w:val="0"/>
        </w:rPr>
        <w:t xml:space="preserve"> went through during the period from 2019 to 2022, after the COVID pandemic, compared to its performance from 2013 to 2018, before the pandemic. Specifically, we dive into the topic through a macroeconomic overview of </w:t>
      </w:r>
      <w:r w:rsidDel="00000000" w:rsidR="00000000" w:rsidRPr="00000000">
        <w:rPr>
          <w:rtl w:val="0"/>
        </w:rPr>
        <w:t xml:space="preserve">Chile</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Chile</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Chile</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9">
      <w:pPr>
        <w:pageBreakBefore w:val="0"/>
        <w:jc w:val="both"/>
        <w:rPr/>
      </w:pPr>
      <w:r w:rsidDel="00000000" w:rsidR="00000000" w:rsidRPr="00000000">
        <w:rPr>
          <w:rtl w:val="0"/>
        </w:rPr>
      </w:r>
    </w:p>
    <w:p w:rsidR="00000000" w:rsidDel="00000000" w:rsidP="00000000" w:rsidRDefault="00000000" w:rsidRPr="00000000" w14:paraId="0000001A">
      <w:pPr>
        <w:pageBreakBefore w:val="0"/>
        <w:jc w:val="both"/>
        <w:rPr/>
      </w:pPr>
      <w:r w:rsidDel="00000000" w:rsidR="00000000" w:rsidRPr="00000000">
        <w:rPr>
          <w:rtl w:val="0"/>
        </w:rPr>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D">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E">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F">
      <w:pPr>
        <w:jc w:val="both"/>
        <w:rPr/>
      </w:pPr>
      <w:r w:rsidDel="00000000" w:rsidR="00000000" w:rsidRPr="00000000">
        <w:rPr>
          <w:rtl w:val="0"/>
        </w:rPr>
        <w:t xml:space="preserve">Figure 1a illustrates the time-series GDP results for Chile and three of its peer countries (the Argentina, Bolivia, and Peru) from 2013-2018. Chile displays consistent growth in small increments, a pattern similar to its peers with the exception of Argentina, which is slightly more volatile. Chile’s average annual growth rate of 3.09% over the five-year period is distinctly lower than both its closest peer, Peru (4.13%), and the lower-magnitude-GDP Bolivia (5.29%). However, its growth rate is much closer to these two countries than to Argentina (1.12%). </w:t>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pageBreakBefore w:val="0"/>
        <w:jc w:val="both"/>
        <w:rPr/>
      </w:pPr>
      <w:r w:rsidDel="00000000" w:rsidR="00000000" w:rsidRPr="00000000">
        <w:rPr>
          <w:rtl w:val="0"/>
        </w:rPr>
        <w:t xml:space="preserve">Figure 1b shows the GDP levels for </w:t>
      </w:r>
      <w:r w:rsidDel="00000000" w:rsidR="00000000" w:rsidRPr="00000000">
        <w:rPr>
          <w:rtl w:val="0"/>
        </w:rPr>
        <w:t xml:space="preserve">Chile</w:t>
      </w:r>
      <w:r w:rsidDel="00000000" w:rsidR="00000000" w:rsidRPr="00000000">
        <w:rPr>
          <w:rtl w:val="0"/>
        </w:rPr>
        <w:t xml:space="preserve"> and the same peer countries from 2019 to 2022. Similar to the other countries, </w:t>
      </w:r>
      <w:r w:rsidDel="00000000" w:rsidR="00000000" w:rsidRPr="00000000">
        <w:rPr>
          <w:rtl w:val="0"/>
        </w:rPr>
        <w:t xml:space="preserve">Chile</w:t>
      </w:r>
      <w:r w:rsidDel="00000000" w:rsidR="00000000" w:rsidRPr="00000000">
        <w:rPr>
          <w:rtl w:val="0"/>
        </w:rPr>
        <w:t xml:space="preserve"> displayed a drop in GDP from 2019 to 2020 because of the pandemic, with all GDPs rebounding in 2021. Over these three years, </w:t>
      </w:r>
      <w:r w:rsidDel="00000000" w:rsidR="00000000" w:rsidRPr="00000000">
        <w:rPr>
          <w:rtl w:val="0"/>
        </w:rPr>
        <w:t xml:space="preserve">Chile</w:t>
      </w:r>
      <w:r w:rsidDel="00000000" w:rsidR="00000000" w:rsidRPr="00000000">
        <w:rPr>
          <w:rtl w:val="0"/>
        </w:rPr>
        <w:t xml:space="preserve">’s average annual GDP growth rate (2.78%) is moderate</w:t>
      </w:r>
      <w:r w:rsidDel="00000000" w:rsidR="00000000" w:rsidRPr="00000000">
        <w:rPr>
          <w:rtl w:val="0"/>
        </w:rPr>
        <w:t xml:space="preserve">,</w:t>
      </w:r>
      <w:r w:rsidDel="00000000" w:rsidR="00000000" w:rsidRPr="00000000">
        <w:rPr>
          <w:rtl w:val="0"/>
        </w:rPr>
        <w:t xml:space="preserve"> as it is greater than Peru’s rate (1.99%) and Bolivia’s (1.62%) but less than Argentina’s (10.58%). It is notable that only Chile’s GDP dropped in 2022, possibly due to changes in presidency and political unrest.</w:t>
      </w:r>
    </w:p>
    <w:p w:rsidR="00000000" w:rsidDel="00000000" w:rsidP="00000000" w:rsidRDefault="00000000" w:rsidRPr="00000000" w14:paraId="00000022">
      <w:pPr>
        <w:pageBreakBefore w:val="0"/>
        <w:jc w:val="both"/>
        <w:rPr/>
      </w:pPr>
      <w:r w:rsidDel="00000000" w:rsidR="00000000" w:rsidRPr="00000000">
        <w:rPr>
          <w:rtl w:val="0"/>
        </w:rPr>
      </w:r>
    </w:p>
    <w:p w:rsidR="00000000" w:rsidDel="00000000" w:rsidP="00000000" w:rsidRDefault="00000000" w:rsidRPr="00000000" w14:paraId="00000023">
      <w:pPr>
        <w:pageBreakBefore w:val="0"/>
        <w:rPr>
          <w:i w:val="1"/>
          <w:iCs w:val="1"/>
          <w:color w:val="444499"/>
          <w:sz w:val="20"/>
          <w:szCs w:val="20"/>
        </w:rPr>
      </w:pPr>
      <w:r w:rsidDel="00000000" w:rsidR="00000000" w:rsidRPr="00000000">
        <w:rPr/>
        <w:drawing>
          <wp:inline distB="114300" distT="114300" distL="114300" distR="114300">
            <wp:extent cx="2835744" cy="1757363"/>
            <wp:effectExtent b="0" l="0" r="0" t="0"/>
            <wp:docPr id="26"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835744" cy="1757363"/>
                    </a:xfrm>
                    <a:prstGeom prst="rect"/>
                    <a:ln/>
                  </pic:spPr>
                </pic:pic>
              </a:graphicData>
            </a:graphic>
          </wp:inline>
        </w:drawing>
      </w:r>
      <w:r w:rsidDel="00000000" w:rsidR="00000000" w:rsidRPr="00000000">
        <w:rPr/>
        <w:drawing>
          <wp:inline distB="114300" distT="114300" distL="114300" distR="114300">
            <wp:extent cx="2300288" cy="1753498"/>
            <wp:effectExtent b="0" l="0" r="0" t="0"/>
            <wp:docPr id="33"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2300288" cy="175349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ageBreakBefore w:val="0"/>
        <w:jc w:val="center"/>
        <w:rPr>
          <w:sz w:val="22"/>
          <w:szCs w:val="22"/>
        </w:rPr>
      </w:pPr>
      <w:r w:rsidDel="00000000" w:rsidR="00000000" w:rsidRPr="00000000">
        <w:rPr>
          <w:sz w:val="22"/>
          <w:szCs w:val="22"/>
          <w:rtl w:val="0"/>
        </w:rPr>
        <w:t xml:space="preserve">Figures 1a and 1b. GDP Comparison Among Peer Countries (left: 2013-2018; right: 2019-2022)</w:t>
      </w:r>
    </w:p>
    <w:p w:rsidR="00000000" w:rsidDel="00000000" w:rsidP="00000000" w:rsidRDefault="00000000" w:rsidRPr="00000000" w14:paraId="00000025">
      <w:pPr>
        <w:pageBreakBefore w:val="0"/>
        <w:jc w:val="left"/>
        <w:rPr/>
      </w:pPr>
      <w:r w:rsidDel="00000000" w:rsidR="00000000" w:rsidRPr="00000000">
        <w:rPr>
          <w:rtl w:val="0"/>
        </w:rPr>
      </w:r>
    </w:p>
    <w:p w:rsidR="00000000" w:rsidDel="00000000" w:rsidP="00000000" w:rsidRDefault="00000000" w:rsidRPr="00000000" w14:paraId="00000026">
      <w:pPr>
        <w:pageBreakBefore w:val="0"/>
        <w:jc w:val="left"/>
        <w:rPr/>
      </w:pPr>
      <w:r w:rsidDel="00000000" w:rsidR="00000000" w:rsidRPr="00000000">
        <w:rPr>
          <w:rtl w:val="0"/>
        </w:rPr>
      </w:r>
    </w:p>
    <w:p w:rsidR="00000000" w:rsidDel="00000000" w:rsidP="00000000" w:rsidRDefault="00000000" w:rsidRPr="00000000" w14:paraId="00000027">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8">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9">
      <w:pPr>
        <w:pageBreakBefore w:val="0"/>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As illustrated in Figure 2a below, Chile exhibits a significant decrease (-50.24% ECI change) in terms of its production capability from 2013 to 2018, which is similar to Argentina (-33.91%) but sharply lower than both Peru (-1.76%) and Bolivia (23.23%). The large ECI (and ECI change) contrast between Chile and Peru, which are peers in terms of GDP, is vital to note.</w:t>
        <w:tab/>
        <w:tab/>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both"/>
        <w:rPr/>
      </w:pPr>
      <w:r w:rsidDel="00000000" w:rsidR="00000000" w:rsidRPr="00000000">
        <w:rPr>
          <w:rtl w:val="0"/>
        </w:rPr>
        <w:t xml:space="preserve">The comparable countries </w:t>
      </w:r>
      <w:r w:rsidDel="00000000" w:rsidR="00000000" w:rsidRPr="00000000">
        <w:rPr>
          <w:rtl w:val="0"/>
        </w:rPr>
        <w:t xml:space="preserve">maintain a small change in ECI level between 2019 and 2020, with a sharp change between 2020 and 2021.</w:t>
      </w:r>
      <w:r w:rsidDel="00000000" w:rsidR="00000000" w:rsidRPr="00000000">
        <w:rPr>
          <w:rtl w:val="0"/>
        </w:rPr>
        <w:t xml:space="preserve"> Chile</w:t>
      </w:r>
      <w:r w:rsidDel="00000000" w:rsidR="00000000" w:rsidRPr="00000000">
        <w:rPr>
          <w:rtl w:val="0"/>
        </w:rPr>
        <w:t xml:space="preserve"> exhibits a large increase in production capability in 2021 to levels not seen prior, with a fiscal stimulus worth 4.7% of its GDP in response to the pandemic being one of the reasons. </w:t>
      </w:r>
      <w:r w:rsidDel="00000000" w:rsidR="00000000" w:rsidRPr="00000000">
        <w:rPr>
          <w:rtl w:val="0"/>
        </w:rPr>
        <w:t xml:space="preserve">Chile</w:t>
      </w:r>
      <w:r w:rsidDel="00000000" w:rsidR="00000000" w:rsidRPr="00000000">
        <w:rPr>
          <w:rtl w:val="0"/>
        </w:rPr>
        <w:t xml:space="preserve"> has seen a 209.9% increase in its ECI, which is greater than Bolivia’'s (196.67%), Peru’s (181.1%), and Argentina’s (86.46%).</w:t>
      </w:r>
    </w:p>
    <w:p w:rsidR="00000000" w:rsidDel="00000000" w:rsidP="00000000" w:rsidRDefault="00000000" w:rsidRPr="00000000" w14:paraId="0000002D">
      <w:pPr>
        <w:pageBreakBefore w:val="0"/>
        <w:jc w:val="both"/>
        <w:rPr/>
      </w:pPr>
      <w:r w:rsidDel="00000000" w:rsidR="00000000" w:rsidRPr="00000000">
        <w:rPr>
          <w:rtl w:val="0"/>
        </w:rPr>
      </w:r>
    </w:p>
    <w:p w:rsidR="00000000" w:rsidDel="00000000" w:rsidP="00000000" w:rsidRDefault="00000000" w:rsidRPr="00000000" w14:paraId="0000002E">
      <w:pPr>
        <w:pageBreakBefore w:val="0"/>
        <w:jc w:val="left"/>
        <w:rPr/>
      </w:pPr>
      <w:r w:rsidDel="00000000" w:rsidR="00000000" w:rsidRPr="00000000">
        <w:rPr/>
        <w:drawing>
          <wp:inline distB="114300" distT="114300" distL="114300" distR="114300">
            <wp:extent cx="2711182" cy="1785938"/>
            <wp:effectExtent b="0" l="0" r="0" t="0"/>
            <wp:docPr id="2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711182" cy="178593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341221" cy="1776413"/>
            <wp:effectExtent b="0" l="0" r="0" t="0"/>
            <wp:docPr id="22"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2341221" cy="177641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ageBreakBefore w:val="0"/>
        <w:jc w:val="center"/>
        <w:rPr/>
      </w:pPr>
      <w:r w:rsidDel="00000000" w:rsidR="00000000" w:rsidRPr="00000000">
        <w:rPr>
          <w:rtl w:val="0"/>
        </w:rPr>
        <w:t xml:space="preserve">   </w:t>
      </w:r>
      <w:r w:rsidDel="00000000" w:rsidR="00000000" w:rsidRPr="00000000">
        <w:rPr>
          <w:sz w:val="22"/>
          <w:szCs w:val="22"/>
          <w:rtl w:val="0"/>
        </w:rPr>
        <w:t xml:space="preserve">    Figures 2a and 2b. ECI Comparison Among Peer Countries (left: 2013-2018; right: 2019-2022) </w:t>
      </w:r>
      <w:r w:rsidDel="00000000" w:rsidR="00000000" w:rsidRPr="00000000">
        <w:rPr>
          <w:rtl w:val="0"/>
        </w:rPr>
        <w:t xml:space="preserve">                        </w:t>
      </w:r>
    </w:p>
    <w:p w:rsidR="00000000" w:rsidDel="00000000" w:rsidP="00000000" w:rsidRDefault="00000000" w:rsidRPr="00000000" w14:paraId="00000030">
      <w:pPr>
        <w:pageBreakBefore w:val="0"/>
        <w:jc w:val="left"/>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Figure 3a and 3b offers a further comparison of GDP Growth and ECI over the time span from 2013 to 2022 for Chile. The increasing-higher-rate increase in GDP growth during the period from 2013 to 2018 is accompanied by a volatile eventual decrease in ECI. The results show that the economic growth experienced by Chile during the period from 2013 to 2018 is partially consistent with the predictions by ECI and that Chile’s ability to develop a competitive product space that helped to accumulate complicated knowledge and technology declined as growth occurred. Unlike the volatile changes in GDP and ECI from 2013-2018, Chile experience more cohesive, positive growth between 2019-2022. It made strong progress towards effectively developing a competitive product space that helps to accumulate complicated knowledge and technology. </w:t>
      </w:r>
      <w:r w:rsidDel="00000000" w:rsidR="00000000" w:rsidRPr="00000000">
        <w:rPr>
          <w:rtl w:val="0"/>
        </w:rPr>
        <w:t xml:space="preserve">For the period 2019 to 2022, the ECI followed GDP trends, which can be interpreted as advancements in production.</w:t>
      </w:r>
      <w:r w:rsidDel="00000000" w:rsidR="00000000" w:rsidRPr="00000000">
        <w:rPr>
          <w:rtl w:val="0"/>
        </w:rPr>
        <w:t xml:space="preserve"> In order to provide a more concrete answer to why this has happened, we will dive into an analysis of Chile’s production structure and its product space designs in the next few chapters. </w:t>
      </w:r>
    </w:p>
    <w:p w:rsidR="00000000" w:rsidDel="00000000" w:rsidP="00000000" w:rsidRDefault="00000000" w:rsidRPr="00000000" w14:paraId="00000032">
      <w:pPr>
        <w:pageBreakBefore w:val="0"/>
        <w:jc w:val="both"/>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drawing>
          <wp:inline distB="114300" distT="114300" distL="114300" distR="114300">
            <wp:extent cx="2620623" cy="1557338"/>
            <wp:effectExtent b="0" l="0" r="0" t="0"/>
            <wp:docPr id="1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620623" cy="1557338"/>
                    </a:xfrm>
                    <a:prstGeom prst="rect"/>
                    <a:ln/>
                  </pic:spPr>
                </pic:pic>
              </a:graphicData>
            </a:graphic>
          </wp:inline>
        </w:drawing>
      </w:r>
      <w:r w:rsidDel="00000000" w:rsidR="00000000" w:rsidRPr="00000000">
        <w:rPr/>
        <w:drawing>
          <wp:inline distB="114300" distT="114300" distL="114300" distR="114300">
            <wp:extent cx="2282663" cy="1567494"/>
            <wp:effectExtent b="0" l="0" r="0" t="0"/>
            <wp:docPr id="30"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2282663" cy="1567494"/>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b w:val="0"/>
          <w:bCs w:val="0"/>
          <w:i w:val="1"/>
          <w:iCs w:val="1"/>
          <w:color w:val="444499"/>
          <w:sz w:val="20"/>
          <w:szCs w:val="20"/>
        </w:rPr>
      </w:pPr>
      <w:r w:rsidDel="00000000" w:rsidR="00000000" w:rsidRPr="00000000">
        <w:rPr>
          <w:sz w:val="22"/>
          <w:szCs w:val="22"/>
          <w:rtl w:val="0"/>
        </w:rPr>
        <w:t xml:space="preserve">Figures 3a and 3b. GDP Growth and ECI for</w:t>
      </w:r>
      <w:r w:rsidDel="00000000" w:rsidR="00000000" w:rsidRPr="00000000">
        <w:rPr>
          <w:sz w:val="22"/>
          <w:szCs w:val="22"/>
          <w:rtl w:val="0"/>
        </w:rPr>
        <w:t xml:space="preserve"> Chile</w:t>
      </w:r>
      <w:r w:rsidDel="00000000" w:rsidR="00000000" w:rsidRPr="00000000">
        <w:rPr>
          <w:sz w:val="22"/>
          <w:szCs w:val="22"/>
          <w:rtl w:val="0"/>
        </w:rPr>
        <w:t xml:space="preserve"> (left: 2013-2018; right: 2019-2021)</w:t>
      </w:r>
      <w:r w:rsidDel="00000000" w:rsidR="00000000" w:rsidRPr="00000000">
        <w:rPr>
          <w:rtl w:val="0"/>
        </w:rPr>
      </w:r>
    </w:p>
    <w:p w:rsidR="00000000" w:rsidDel="00000000" w:rsidP="00000000" w:rsidRDefault="00000000" w:rsidRPr="00000000" w14:paraId="00000035">
      <w:pPr>
        <w:pageBreakBefore w:val="0"/>
        <w:jc w:val="both"/>
        <w:rPr>
          <w:b w:val="1"/>
          <w:bCs w:val="1"/>
        </w:rPr>
      </w:pPr>
      <w:r w:rsidDel="00000000" w:rsidR="00000000" w:rsidRPr="00000000">
        <w:rPr>
          <w:rtl w:val="0"/>
        </w:rPr>
      </w:r>
    </w:p>
    <w:p w:rsidR="00000000" w:rsidDel="00000000" w:rsidP="00000000" w:rsidRDefault="00000000" w:rsidRPr="00000000" w14:paraId="00000036">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9">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A">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B">
      <w:pPr>
        <w:pageBreakBefore w:val="0"/>
        <w:jc w:val="both"/>
        <w:rPr/>
      </w:pPr>
      <w:r w:rsidDel="00000000" w:rsidR="00000000" w:rsidRPr="00000000">
        <w:rPr>
          <w:rtl w:val="0"/>
        </w:rPr>
      </w:r>
    </w:p>
    <w:p w:rsidR="00000000" w:rsidDel="00000000" w:rsidP="00000000" w:rsidRDefault="00000000" w:rsidRPr="00000000" w14:paraId="0000003C">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D">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E">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F">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E">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A">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61">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62">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3">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4">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5">
      <w:pPr>
        <w:pageBreakBefore w:val="0"/>
        <w:jc w:val="both"/>
        <w:rPr/>
      </w:pPr>
      <w:r w:rsidDel="00000000" w:rsidR="00000000" w:rsidRPr="00000000">
        <w:rPr>
          <w:rtl w:val="0"/>
        </w:rPr>
      </w:r>
    </w:p>
    <w:p w:rsidR="00000000" w:rsidDel="00000000" w:rsidP="00000000" w:rsidRDefault="00000000" w:rsidRPr="00000000" w14:paraId="00000066">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7">
      <w:pPr>
        <w:pageBreakBefore w:val="0"/>
        <w:jc w:val="both"/>
        <w:rPr/>
      </w:pPr>
      <w:r w:rsidDel="00000000" w:rsidR="00000000" w:rsidRPr="00000000">
        <w:rPr>
          <w:rtl w:val="0"/>
        </w:rPr>
      </w:r>
    </w:p>
    <w:p w:rsidR="00000000" w:rsidDel="00000000" w:rsidP="00000000" w:rsidRDefault="00000000" w:rsidRPr="00000000" w14:paraId="00000068">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9">
            <w:pPr>
              <w:pageBreakBefore w:val="0"/>
              <w:jc w:val="center"/>
              <w:rPr/>
            </w:pPr>
            <w:r w:rsidDel="00000000" w:rsidR="00000000" w:rsidRPr="00000000">
              <w:rPr>
                <w:rtl w:val="0"/>
              </w:rPr>
            </w:r>
          </w:p>
        </w:tc>
        <w:tc>
          <w:tcPr/>
          <w:p w:rsidR="00000000" w:rsidDel="00000000" w:rsidP="00000000" w:rsidRDefault="00000000" w:rsidRPr="00000000" w14:paraId="0000006A">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B">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C">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D">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E">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F">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70">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71">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2">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3">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4">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5">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6">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7">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8">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9">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A">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B">
            <w:pPr>
              <w:pageBreakBefore w:val="0"/>
              <w:jc w:val="center"/>
              <w:rPr/>
            </w:pPr>
            <w:r w:rsidDel="00000000" w:rsidR="00000000" w:rsidRPr="00000000">
              <w:rPr>
                <w:rtl w:val="0"/>
              </w:rPr>
            </w:r>
          </w:p>
        </w:tc>
        <w:tc>
          <w:tcPr/>
          <w:p w:rsidR="00000000" w:rsidDel="00000000" w:rsidP="00000000" w:rsidRDefault="00000000" w:rsidRPr="00000000" w14:paraId="0000007C">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D">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E">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F">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80">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81">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82">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3">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4">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5">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6">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7">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8">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9">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A">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B">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C">
      <w:pPr>
        <w:pageBreakBefore w:val="0"/>
        <w:jc w:val="both"/>
        <w:rPr>
          <w:b w:val="1"/>
          <w:bCs w:val="1"/>
        </w:rPr>
      </w:pPr>
      <w:r w:rsidDel="00000000" w:rsidR="00000000" w:rsidRPr="00000000">
        <w:rPr>
          <w:rtl w:val="0"/>
        </w:rPr>
      </w:r>
    </w:p>
    <w:p w:rsidR="00000000" w:rsidDel="00000000" w:rsidP="00000000" w:rsidRDefault="00000000" w:rsidRPr="00000000" w14:paraId="0000008D">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E">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Chile'</w:t>
      </w:r>
      <w:r w:rsidDel="00000000" w:rsidR="00000000" w:rsidRPr="00000000">
        <w:rPr>
          <w:rtl w:val="0"/>
        </w:rPr>
        <w:t xml:space="preserve">s realized industry production strategy between 2013 and 2022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Chile</w:t>
      </w:r>
      <w:r w:rsidDel="00000000" w:rsidR="00000000" w:rsidRPr="00000000">
        <w:rPr>
          <w:rtl w:val="0"/>
        </w:rPr>
        <w:t xml:space="preserve"> and the 18 product groups in 2022 and 2018 through the difference, where a positive RID indicates a shortening of the distance (i.e., advancement of the industry), and a negative RID indicates the reverse. It is notable that the number of industries with positive RID has remained the same from from 2018 to 2022.</w:t>
      </w:r>
    </w:p>
    <w:p w:rsidR="00000000" w:rsidDel="00000000" w:rsidP="00000000" w:rsidRDefault="00000000" w:rsidRPr="00000000" w14:paraId="0000008F">
      <w:pPr>
        <w:pageBreakBefore w:val="0"/>
        <w:jc w:val="both"/>
        <w:rPr/>
      </w:pPr>
      <w:r w:rsidDel="00000000" w:rsidR="00000000" w:rsidRPr="00000000">
        <w:rPr>
          <w:rtl w:val="0"/>
        </w:rPr>
      </w:r>
    </w:p>
    <w:p w:rsidR="00000000" w:rsidDel="00000000" w:rsidP="00000000" w:rsidRDefault="00000000" w:rsidRPr="00000000" w14:paraId="00000090">
      <w:pPr>
        <w:pageBreakBefore w:val="0"/>
        <w:jc w:val="both"/>
        <w:rPr/>
      </w:pPr>
      <w:r w:rsidDel="00000000" w:rsidR="00000000" w:rsidRPr="00000000">
        <w:rPr>
          <w:rtl w:val="0"/>
        </w:rPr>
      </w:r>
    </w:p>
    <w:tbl>
      <w:tblPr>
        <w:tblStyle w:val="Table4"/>
        <w:tblW w:w="5940.0" w:type="dxa"/>
        <w:jc w:val="center"/>
        <w:tblLayout w:type="fixed"/>
        <w:tblLook w:val="0600"/>
      </w:tblPr>
      <w:tblGrid>
        <w:gridCol w:w="2880"/>
        <w:gridCol w:w="1575"/>
        <w:gridCol w:w="1485"/>
        <w:tblGridChange w:id="0">
          <w:tblGrid>
            <w:gridCol w:w="2880"/>
            <w:gridCol w:w="1575"/>
            <w:gridCol w:w="148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(2022)</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(2018)</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ind w:left="180" w:firstLine="0"/>
              <w:rPr>
                <w:sz w:val="20"/>
                <w:szCs w:val="20"/>
              </w:rPr>
            </w:pPr>
            <w:r w:rsidDel="00000000" w:rsidR="00000000" w:rsidRPr="00000000">
              <w:rPr>
                <w:color w:val="7b7b7b"/>
                <w:sz w:val="20"/>
                <w:szCs w:val="20"/>
                <w:rtl w:val="0"/>
              </w:rPr>
              <w:t xml:space="preserve">D</w:t>
            </w:r>
            <w:r w:rsidDel="00000000" w:rsidR="00000000" w:rsidRPr="00000000">
              <w:rPr>
                <w:color w:val="7b7b7b"/>
                <w:sz w:val="20"/>
                <w:szCs w:val="20"/>
                <w:rtl w:val="0"/>
              </w:rPr>
              <w:t xml:space="preserve">aily Instruments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-0.028890</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-0.010713</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0.008113</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0.015096</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-0.078197</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-0.039482</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0.001685</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-0.002953</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0.003401</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0.050262</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0.031155</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0.004316</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-0.012544</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-0.001646</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-0.008961</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0.002679</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0.007982</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0.064776</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F">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-0.004641</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-0.011321</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2">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-0.015455</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-0.011543</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5">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-0.007814</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0.014151</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8">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0.020613</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0.008212</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B">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-0.023593</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0.039611</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E">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0.022655</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0.031425</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1">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0.014762</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-0.001498</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4">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0.000120</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-0.029164</w:t>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7">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0.036037</w:t>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-0.029164</w:t>
            </w:r>
          </w:p>
        </w:tc>
      </w:tr>
    </w:tbl>
    <w:p w:rsidR="00000000" w:rsidDel="00000000" w:rsidP="00000000" w:rsidRDefault="00000000" w:rsidRPr="00000000" w14:paraId="000000CA">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Chile</w:t>
      </w:r>
      <w:r w:rsidDel="00000000" w:rsidR="00000000" w:rsidRPr="00000000">
        <w:rPr>
          <w:rtl w:val="0"/>
        </w:rPr>
      </w:r>
    </w:p>
    <w:p w:rsidR="00000000" w:rsidDel="00000000" w:rsidP="00000000" w:rsidRDefault="00000000" w:rsidRPr="00000000" w14:paraId="000000CB">
      <w:pPr>
        <w:pageBreakBefore w:val="0"/>
        <w:jc w:val="both"/>
        <w:rPr>
          <w:b w:val="1"/>
          <w:bCs w:val="1"/>
        </w:rPr>
      </w:pPr>
      <w:r w:rsidDel="00000000" w:rsidR="00000000" w:rsidRPr="00000000">
        <w:rPr>
          <w:rtl w:val="0"/>
        </w:rPr>
      </w:r>
    </w:p>
    <w:p w:rsidR="00000000" w:rsidDel="00000000" w:rsidP="00000000" w:rsidRDefault="00000000" w:rsidRPr="00000000" w14:paraId="000000CC">
      <w:pPr>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CD">
      <w:pPr>
        <w:jc w:val="both"/>
        <w:rPr/>
      </w:pPr>
      <w:r w:rsidDel="00000000" w:rsidR="00000000" w:rsidRPr="00000000">
        <w:rPr>
          <w:rtl w:val="0"/>
        </w:rPr>
        <w:t xml:space="preserve">Tables 4a-4b below summarize how the production strategy adopted by Chile compares with selected leading economies in the world across different years, as measured in RID. Leading economies such as France, Greece, and Portugal gave a considerable level of attention to more advanced product groups such as Services and Utilities, Energy Drilling and Textiles in 2022.</w:t>
      </w:r>
    </w:p>
    <w:p w:rsidR="00000000" w:rsidDel="00000000" w:rsidP="00000000" w:rsidRDefault="00000000" w:rsidRPr="00000000" w14:paraId="000000CE">
      <w:pPr>
        <w:jc w:val="both"/>
        <w:rPr/>
      </w:pPr>
      <w:r w:rsidDel="00000000" w:rsidR="00000000" w:rsidRPr="00000000">
        <w:rPr>
          <w:rtl w:val="0"/>
        </w:rPr>
      </w:r>
    </w:p>
    <w:tbl>
      <w:tblPr>
        <w:tblStyle w:val="Table5"/>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vAlign w:val="center"/>
          </w:tcPr>
          <w:p w:rsidR="00000000" w:rsidDel="00000000" w:rsidP="00000000" w:rsidRDefault="00000000" w:rsidRPr="00000000" w14:paraId="000000CF">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D0">
            <w:pPr>
              <w:jc w:val="both"/>
              <w:rPr/>
            </w:pPr>
            <w:r w:rsidDel="00000000" w:rsidR="00000000" w:rsidRPr="00000000">
              <w:rPr>
                <w:rtl w:val="0"/>
              </w:rPr>
              <w:t xml:space="preserve">France</w:t>
            </w:r>
          </w:p>
        </w:tc>
        <w:tc>
          <w:tcPr>
            <w:vAlign w:val="center"/>
          </w:tcPr>
          <w:p w:rsidR="00000000" w:rsidDel="00000000" w:rsidP="00000000" w:rsidRDefault="00000000" w:rsidRPr="00000000" w14:paraId="000000D1">
            <w:pPr>
              <w:jc w:val="both"/>
              <w:rPr/>
            </w:pPr>
            <w:r w:rsidDel="00000000" w:rsidR="00000000" w:rsidRPr="00000000">
              <w:rPr>
                <w:rtl w:val="0"/>
              </w:rPr>
              <w:t xml:space="preserve">Greece</w:t>
            </w:r>
          </w:p>
        </w:tc>
        <w:tc>
          <w:tcPr>
            <w:vAlign w:val="center"/>
          </w:tcPr>
          <w:p w:rsidR="00000000" w:rsidDel="00000000" w:rsidP="00000000" w:rsidRDefault="00000000" w:rsidRPr="00000000" w14:paraId="000000D2">
            <w:pPr>
              <w:jc w:val="both"/>
              <w:rPr/>
            </w:pPr>
            <w:r w:rsidDel="00000000" w:rsidR="00000000" w:rsidRPr="00000000">
              <w:rPr>
                <w:rtl w:val="0"/>
              </w:rPr>
              <w:t xml:space="preserve">Portugal</w:t>
            </w:r>
          </w:p>
        </w:tc>
      </w:tr>
      <w:tr>
        <w:trPr>
          <w:cantSplit w:val="0"/>
          <w:tblHeader w:val="0"/>
        </w:trPr>
        <w:tc>
          <w:tcPr>
            <w:vAlign w:val="center"/>
          </w:tcPr>
          <w:p w:rsidR="00000000" w:rsidDel="00000000" w:rsidP="00000000" w:rsidRDefault="00000000" w:rsidRPr="00000000" w14:paraId="000000D3">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D4">
            <w:pPr>
              <w:jc w:val="both"/>
              <w:rPr>
                <w:sz w:val="18"/>
                <w:szCs w:val="18"/>
              </w:rPr>
            </w:pPr>
            <w:r w:rsidDel="00000000" w:rsidR="00000000" w:rsidRPr="00000000">
              <w:rPr>
                <w:color w:val="000000"/>
                <w:sz w:val="22"/>
                <w:szCs w:val="22"/>
                <w:rtl w:val="0"/>
              </w:rPr>
              <w:t xml:space="preserve">Services and Utilities</w:t>
            </w:r>
            <w:r w:rsidDel="00000000" w:rsidR="00000000" w:rsidRPr="00000000">
              <w:rPr>
                <w:rtl w:val="0"/>
              </w:rPr>
            </w:r>
          </w:p>
        </w:tc>
        <w:tc>
          <w:tcPr>
            <w:vAlign w:val="center"/>
          </w:tcPr>
          <w:p w:rsidR="00000000" w:rsidDel="00000000" w:rsidP="00000000" w:rsidRDefault="00000000" w:rsidRPr="00000000" w14:paraId="000000D5">
            <w:pPr>
              <w:jc w:val="both"/>
              <w:rPr>
                <w:sz w:val="18"/>
                <w:szCs w:val="18"/>
              </w:rPr>
            </w:pPr>
            <w:r w:rsidDel="00000000" w:rsidR="00000000" w:rsidRPr="00000000">
              <w:rPr>
                <w:color w:val="000000"/>
                <w:sz w:val="22"/>
                <w:szCs w:val="22"/>
                <w:rtl w:val="0"/>
              </w:rPr>
              <w:t xml:space="preserve">Energy Drilling</w:t>
            </w:r>
            <w:r w:rsidDel="00000000" w:rsidR="00000000" w:rsidRPr="00000000">
              <w:rPr>
                <w:rtl w:val="0"/>
              </w:rPr>
            </w:r>
          </w:p>
        </w:tc>
        <w:tc>
          <w:tcPr>
            <w:vAlign w:val="center"/>
          </w:tcPr>
          <w:p w:rsidR="00000000" w:rsidDel="00000000" w:rsidP="00000000" w:rsidRDefault="00000000" w:rsidRPr="00000000" w14:paraId="000000D6">
            <w:pPr>
              <w:jc w:val="both"/>
              <w:rPr>
                <w:sz w:val="18"/>
                <w:szCs w:val="18"/>
              </w:rPr>
            </w:pPr>
            <w:r w:rsidDel="00000000" w:rsidR="00000000" w:rsidRPr="00000000">
              <w:rPr>
                <w:color w:val="000000"/>
                <w:sz w:val="22"/>
                <w:szCs w:val="22"/>
                <w:rtl w:val="0"/>
              </w:rPr>
              <w:t xml:space="preserve">Textile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D8">
            <w:pPr>
              <w:jc w:val="both"/>
              <w:rPr>
                <w:sz w:val="18"/>
                <w:szCs w:val="18"/>
              </w:rPr>
            </w:pPr>
            <w:r w:rsidDel="00000000" w:rsidR="00000000" w:rsidRPr="00000000">
              <w:rPr>
                <w:color w:val="000000"/>
                <w:sz w:val="22"/>
                <w:szCs w:val="22"/>
                <w:rtl w:val="0"/>
              </w:rPr>
              <w:t xml:space="preserve">Precious Stones</w:t>
            </w:r>
            <w:r w:rsidDel="00000000" w:rsidR="00000000" w:rsidRPr="00000000">
              <w:rPr>
                <w:rtl w:val="0"/>
              </w:rPr>
            </w:r>
          </w:p>
        </w:tc>
        <w:tc>
          <w:tcPr>
            <w:vAlign w:val="center"/>
          </w:tcPr>
          <w:p w:rsidR="00000000" w:rsidDel="00000000" w:rsidP="00000000" w:rsidRDefault="00000000" w:rsidRPr="00000000" w14:paraId="000000D9">
            <w:pPr>
              <w:jc w:val="both"/>
              <w:rPr>
                <w:sz w:val="18"/>
                <w:szCs w:val="18"/>
              </w:rPr>
            </w:pPr>
            <w:r w:rsidDel="00000000" w:rsidR="00000000" w:rsidRPr="00000000">
              <w:rPr>
                <w:color w:val="000000"/>
                <w:sz w:val="22"/>
                <w:szCs w:val="22"/>
                <w:rtl w:val="0"/>
              </w:rPr>
              <w:t xml:space="preserve">Wood Products</w:t>
            </w:r>
            <w:r w:rsidDel="00000000" w:rsidR="00000000" w:rsidRPr="00000000">
              <w:rPr>
                <w:rtl w:val="0"/>
              </w:rPr>
            </w:r>
          </w:p>
        </w:tc>
        <w:tc>
          <w:tcPr>
            <w:vAlign w:val="center"/>
          </w:tcPr>
          <w:p w:rsidR="00000000" w:rsidDel="00000000" w:rsidP="00000000" w:rsidRDefault="00000000" w:rsidRPr="00000000" w14:paraId="000000DA">
            <w:pPr>
              <w:jc w:val="both"/>
              <w:rPr>
                <w:sz w:val="18"/>
                <w:szCs w:val="18"/>
              </w:rPr>
            </w:pPr>
            <w:r w:rsidDel="00000000" w:rsidR="00000000" w:rsidRPr="00000000">
              <w:rPr>
                <w:color w:val="000000"/>
                <w:sz w:val="22"/>
                <w:szCs w:val="22"/>
                <w:rtl w:val="0"/>
              </w:rPr>
              <w:t xml:space="preserve">Fruit and Plants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DC">
            <w:pPr>
              <w:jc w:val="both"/>
              <w:rPr>
                <w:sz w:val="18"/>
                <w:szCs w:val="18"/>
              </w:rPr>
            </w:pPr>
            <w:r w:rsidDel="00000000" w:rsidR="00000000" w:rsidRPr="00000000">
              <w:rPr>
                <w:color w:val="000000"/>
                <w:sz w:val="22"/>
                <w:szCs w:val="22"/>
                <w:rtl w:val="0"/>
              </w:rPr>
              <w:t xml:space="preserve">High-complexity Products</w:t>
            </w:r>
            <w:r w:rsidDel="00000000" w:rsidR="00000000" w:rsidRPr="00000000">
              <w:rPr>
                <w:rtl w:val="0"/>
              </w:rPr>
            </w:r>
          </w:p>
        </w:tc>
        <w:tc>
          <w:tcPr>
            <w:vAlign w:val="center"/>
          </w:tcPr>
          <w:p w:rsidR="00000000" w:rsidDel="00000000" w:rsidP="00000000" w:rsidRDefault="00000000" w:rsidRPr="00000000" w14:paraId="000000DD">
            <w:pPr>
              <w:jc w:val="both"/>
              <w:rPr>
                <w:sz w:val="18"/>
                <w:szCs w:val="18"/>
              </w:rPr>
            </w:pPr>
            <w:r w:rsidDel="00000000" w:rsidR="00000000" w:rsidRPr="00000000">
              <w:rPr>
                <w:color w:val="000000"/>
                <w:sz w:val="22"/>
                <w:szCs w:val="22"/>
                <w:rtl w:val="0"/>
              </w:rPr>
              <w:t xml:space="preserve">Services and Utilities</w:t>
            </w:r>
            <w:r w:rsidDel="00000000" w:rsidR="00000000" w:rsidRPr="00000000">
              <w:rPr>
                <w:rtl w:val="0"/>
              </w:rPr>
            </w:r>
          </w:p>
        </w:tc>
        <w:tc>
          <w:tcPr>
            <w:vAlign w:val="center"/>
          </w:tcPr>
          <w:p w:rsidR="00000000" w:rsidDel="00000000" w:rsidP="00000000" w:rsidRDefault="00000000" w:rsidRPr="00000000" w14:paraId="000000DE">
            <w:pPr>
              <w:jc w:val="both"/>
              <w:rPr>
                <w:sz w:val="18"/>
                <w:szCs w:val="18"/>
              </w:rPr>
            </w:pPr>
            <w:r w:rsidDel="00000000" w:rsidR="00000000" w:rsidRPr="00000000">
              <w:rPr>
                <w:color w:val="000000"/>
                <w:sz w:val="22"/>
                <w:szCs w:val="22"/>
                <w:rtl w:val="0"/>
              </w:rPr>
              <w:t xml:space="preserve">Daily Instruments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E0">
            <w:pPr>
              <w:jc w:val="both"/>
              <w:rPr>
                <w:sz w:val="18"/>
                <w:szCs w:val="18"/>
              </w:rPr>
            </w:pPr>
            <w:r w:rsidDel="00000000" w:rsidR="00000000" w:rsidRPr="00000000">
              <w:rPr>
                <w:color w:val="000000"/>
                <w:sz w:val="22"/>
                <w:szCs w:val="22"/>
                <w:rtl w:val="0"/>
              </w:rPr>
              <w:t xml:space="preserve">Machinery &amp; Construction</w:t>
            </w:r>
            <w:r w:rsidDel="00000000" w:rsidR="00000000" w:rsidRPr="00000000">
              <w:rPr>
                <w:rtl w:val="0"/>
              </w:rPr>
            </w:r>
          </w:p>
        </w:tc>
        <w:tc>
          <w:tcPr>
            <w:vAlign w:val="center"/>
          </w:tcPr>
          <w:p w:rsidR="00000000" w:rsidDel="00000000" w:rsidP="00000000" w:rsidRDefault="00000000" w:rsidRPr="00000000" w14:paraId="000000E1">
            <w:pPr>
              <w:jc w:val="both"/>
              <w:rPr>
                <w:sz w:val="18"/>
                <w:szCs w:val="18"/>
              </w:rPr>
            </w:pPr>
            <w:r w:rsidDel="00000000" w:rsidR="00000000" w:rsidRPr="00000000">
              <w:rPr>
                <w:color w:val="000000"/>
                <w:sz w:val="22"/>
                <w:szCs w:val="22"/>
                <w:rtl w:val="0"/>
              </w:rPr>
              <w:t xml:space="preserve">Clothing &amp; Accessories </w:t>
            </w:r>
            <w:r w:rsidDel="00000000" w:rsidR="00000000" w:rsidRPr="00000000">
              <w:rPr>
                <w:rtl w:val="0"/>
              </w:rPr>
            </w:r>
          </w:p>
        </w:tc>
        <w:tc>
          <w:tcPr>
            <w:vAlign w:val="center"/>
          </w:tcPr>
          <w:p w:rsidR="00000000" w:rsidDel="00000000" w:rsidP="00000000" w:rsidRDefault="00000000" w:rsidRPr="00000000" w14:paraId="000000E2">
            <w:pPr>
              <w:jc w:val="both"/>
              <w:rPr>
                <w:sz w:val="18"/>
                <w:szCs w:val="18"/>
              </w:rPr>
            </w:pPr>
            <w:r w:rsidDel="00000000" w:rsidR="00000000" w:rsidRPr="00000000">
              <w:rPr>
                <w:color w:val="000000"/>
                <w:sz w:val="22"/>
                <w:szCs w:val="22"/>
                <w:rtl w:val="0"/>
              </w:rPr>
              <w:t xml:space="preserve">Clothing&amp; Accessories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E4">
            <w:pPr>
              <w:jc w:val="both"/>
              <w:rPr>
                <w:sz w:val="18"/>
                <w:szCs w:val="18"/>
              </w:rPr>
            </w:pPr>
            <w:r w:rsidDel="00000000" w:rsidR="00000000" w:rsidRPr="00000000">
              <w:rPr>
                <w:color w:val="000000"/>
                <w:sz w:val="22"/>
                <w:szCs w:val="22"/>
                <w:rtl w:val="0"/>
              </w:rPr>
              <w:t xml:space="preserve">Animals and By-products</w:t>
            </w:r>
            <w:r w:rsidDel="00000000" w:rsidR="00000000" w:rsidRPr="00000000">
              <w:rPr>
                <w:rtl w:val="0"/>
              </w:rPr>
            </w:r>
          </w:p>
        </w:tc>
        <w:tc>
          <w:tcPr>
            <w:vAlign w:val="center"/>
          </w:tcPr>
          <w:p w:rsidR="00000000" w:rsidDel="00000000" w:rsidP="00000000" w:rsidRDefault="00000000" w:rsidRPr="00000000" w14:paraId="000000E5">
            <w:pPr>
              <w:jc w:val="both"/>
              <w:rPr>
                <w:sz w:val="18"/>
                <w:szCs w:val="18"/>
              </w:rPr>
            </w:pPr>
            <w:r w:rsidDel="00000000" w:rsidR="00000000" w:rsidRPr="00000000">
              <w:rPr>
                <w:color w:val="000000"/>
                <w:sz w:val="22"/>
                <w:szCs w:val="22"/>
                <w:rtl w:val="0"/>
              </w:rPr>
              <w:t xml:space="preserve">Wood Products</w:t>
            </w:r>
            <w:r w:rsidDel="00000000" w:rsidR="00000000" w:rsidRPr="00000000">
              <w:rPr>
                <w:rtl w:val="0"/>
              </w:rPr>
            </w:r>
          </w:p>
        </w:tc>
        <w:tc>
          <w:tcPr>
            <w:vAlign w:val="center"/>
          </w:tcPr>
          <w:p w:rsidR="00000000" w:rsidDel="00000000" w:rsidP="00000000" w:rsidRDefault="00000000" w:rsidRPr="00000000" w14:paraId="000000E6">
            <w:pPr>
              <w:jc w:val="both"/>
              <w:rPr>
                <w:sz w:val="18"/>
                <w:szCs w:val="18"/>
              </w:rPr>
            </w:pPr>
            <w:r w:rsidDel="00000000" w:rsidR="00000000" w:rsidRPr="00000000">
              <w:rPr>
                <w:color w:val="000000"/>
                <w:sz w:val="22"/>
                <w:szCs w:val="22"/>
                <w:rtl w:val="0"/>
              </w:rPr>
              <w:t xml:space="preserve">Transportation</w:t>
            </w:r>
            <w:r w:rsidDel="00000000" w:rsidR="00000000" w:rsidRPr="00000000">
              <w:rPr>
                <w:rtl w:val="0"/>
              </w:rPr>
            </w:r>
          </w:p>
        </w:tc>
      </w:tr>
    </w:tbl>
    <w:p w:rsidR="00000000" w:rsidDel="00000000" w:rsidP="00000000" w:rsidRDefault="00000000" w:rsidRPr="00000000" w14:paraId="000000E7">
      <w:pPr>
        <w:jc w:val="center"/>
        <w:rPr>
          <w:sz w:val="22"/>
          <w:szCs w:val="22"/>
        </w:rPr>
      </w:pPr>
      <w:r w:rsidDel="00000000" w:rsidR="00000000" w:rsidRPr="00000000">
        <w:rPr>
          <w:sz w:val="22"/>
          <w:szCs w:val="22"/>
          <w:rtl w:val="0"/>
        </w:rPr>
        <w:t xml:space="preserve">Table 4a. RID Comparison across Leading Economies (2022)</w:t>
      </w:r>
    </w:p>
    <w:p w:rsidR="00000000" w:rsidDel="00000000" w:rsidP="00000000" w:rsidRDefault="00000000" w:rsidRPr="00000000" w14:paraId="000000E8">
      <w:pPr>
        <w:rPr>
          <w:sz w:val="22"/>
          <w:szCs w:val="22"/>
        </w:rPr>
      </w:pPr>
      <w:r w:rsidDel="00000000" w:rsidR="00000000" w:rsidRPr="00000000">
        <w:rPr>
          <w:rtl w:val="0"/>
        </w:rPr>
      </w:r>
    </w:p>
    <w:p w:rsidR="00000000" w:rsidDel="00000000" w:rsidP="00000000" w:rsidRDefault="00000000" w:rsidRPr="00000000" w14:paraId="000000E9">
      <w:pPr>
        <w:jc w:val="both"/>
        <w:rPr>
          <w:sz w:val="22"/>
          <w:szCs w:val="22"/>
        </w:rPr>
      </w:pPr>
      <w:r w:rsidDel="00000000" w:rsidR="00000000" w:rsidRPr="00000000">
        <w:rPr>
          <w:rtl w:val="0"/>
        </w:rPr>
        <w:t xml:space="preserve">Table 4b further examines Chile’s development strategy against those of emerging economies on a global scale. Reasonably, emerging economies such as China and Singapore have devoted the majority of their efforts to intermediate industry groups, showing moderate shifts in strategies over the course of three years.</w:t>
      </w: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r>
    </w:p>
    <w:tbl>
      <w:tblPr>
        <w:tblStyle w:val="Table6"/>
        <w:tblW w:w="6515.999999999999" w:type="dxa"/>
        <w:jc w:val="center"/>
        <w:tblLayout w:type="fixed"/>
        <w:tblLook w:val="04A0"/>
      </w:tblPr>
      <w:tblGrid>
        <w:gridCol w:w="1122"/>
        <w:gridCol w:w="2842"/>
        <w:gridCol w:w="2552"/>
        <w:tblGridChange w:id="0">
          <w:tblGrid>
            <w:gridCol w:w="1122"/>
            <w:gridCol w:w="2842"/>
            <w:gridCol w:w="2552"/>
          </w:tblGrid>
        </w:tblGridChange>
      </w:tblGrid>
      <w:tr>
        <w:trPr>
          <w:cantSplit w:val="0"/>
          <w:trHeight w:val="135" w:hRule="atLeast"/>
          <w:tblHeader w:val="0"/>
        </w:trPr>
        <w:tc>
          <w:tcPr/>
          <w:p w:rsidR="00000000" w:rsidDel="00000000" w:rsidP="00000000" w:rsidRDefault="00000000" w:rsidRPr="00000000" w14:paraId="000000EB">
            <w:pPr>
              <w:jc w:val="both"/>
              <w:rPr/>
            </w:pPr>
            <w:r w:rsidDel="00000000" w:rsidR="00000000" w:rsidRPr="00000000">
              <w:rPr>
                <w:rtl w:val="0"/>
              </w:rPr>
              <w:t xml:space="preserve">Ranking</w:t>
            </w:r>
          </w:p>
        </w:tc>
        <w:tc>
          <w:tcPr/>
          <w:p w:rsidR="00000000" w:rsidDel="00000000" w:rsidP="00000000" w:rsidRDefault="00000000" w:rsidRPr="00000000" w14:paraId="000000EC">
            <w:pPr>
              <w:jc w:val="both"/>
              <w:rPr/>
            </w:pPr>
            <w:r w:rsidDel="00000000" w:rsidR="00000000" w:rsidRPr="00000000">
              <w:rPr>
                <w:rtl w:val="0"/>
              </w:rPr>
              <w:t xml:space="preserve">China</w:t>
            </w:r>
          </w:p>
        </w:tc>
        <w:tc>
          <w:tcPr/>
          <w:p w:rsidR="00000000" w:rsidDel="00000000" w:rsidP="00000000" w:rsidRDefault="00000000" w:rsidRPr="00000000" w14:paraId="000000ED">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0EE">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EF">
            <w:pPr>
              <w:jc w:val="both"/>
              <w:rPr>
                <w:color w:val="000000"/>
                <w:sz w:val="22"/>
                <w:szCs w:val="22"/>
              </w:rPr>
            </w:pPr>
            <w:r w:rsidDel="00000000" w:rsidR="00000000" w:rsidRPr="00000000">
              <w:rPr>
                <w:color w:val="000000"/>
                <w:sz w:val="22"/>
                <w:szCs w:val="22"/>
                <w:rtl w:val="0"/>
              </w:rPr>
              <w:t xml:space="preserve">Chemicals</w:t>
            </w:r>
          </w:p>
        </w:tc>
        <w:tc>
          <w:tcPr>
            <w:vAlign w:val="bottom"/>
          </w:tcPr>
          <w:p w:rsidR="00000000" w:rsidDel="00000000" w:rsidP="00000000" w:rsidRDefault="00000000" w:rsidRPr="00000000" w14:paraId="000000F0">
            <w:pPr>
              <w:jc w:val="both"/>
              <w:rPr>
                <w:color w:val="000000"/>
                <w:sz w:val="22"/>
                <w:szCs w:val="22"/>
              </w:rPr>
            </w:pPr>
            <w:r w:rsidDel="00000000" w:rsidR="00000000" w:rsidRPr="00000000">
              <w:rPr>
                <w:color w:val="000000"/>
                <w:sz w:val="22"/>
                <w:szCs w:val="22"/>
                <w:rtl w:val="0"/>
              </w:rPr>
              <w:t xml:space="preserve">Transportation</w:t>
            </w:r>
          </w:p>
        </w:tc>
      </w:tr>
      <w:tr>
        <w:trPr>
          <w:cantSplit w:val="0"/>
          <w:trHeight w:val="275.00000000000006" w:hRule="atLeast"/>
          <w:tblHeader w:val="0"/>
        </w:trPr>
        <w:tc>
          <w:tcPr>
            <w:shd w:fill="ffffff" w:val="clear"/>
          </w:tcPr>
          <w:p w:rsidR="00000000" w:rsidDel="00000000" w:rsidP="00000000" w:rsidRDefault="00000000" w:rsidRPr="00000000" w14:paraId="000000F1">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F2">
            <w:pPr>
              <w:jc w:val="both"/>
              <w:rPr>
                <w:color w:val="000000"/>
                <w:sz w:val="22"/>
                <w:szCs w:val="22"/>
              </w:rPr>
            </w:pPr>
            <w:r w:rsidDel="00000000" w:rsidR="00000000" w:rsidRPr="00000000">
              <w:rPr>
                <w:color w:val="000000"/>
                <w:sz w:val="22"/>
                <w:szCs w:val="22"/>
                <w:rtl w:val="0"/>
              </w:rPr>
              <w:t xml:space="preserve">Daily Instruments</w:t>
            </w:r>
          </w:p>
        </w:tc>
        <w:tc>
          <w:tcPr>
            <w:vAlign w:val="bottom"/>
          </w:tcPr>
          <w:p w:rsidR="00000000" w:rsidDel="00000000" w:rsidP="00000000" w:rsidRDefault="00000000" w:rsidRPr="00000000" w14:paraId="000000F3">
            <w:pPr>
              <w:jc w:val="both"/>
              <w:rPr>
                <w:color w:val="000000"/>
                <w:sz w:val="22"/>
                <w:szCs w:val="22"/>
              </w:rPr>
            </w:pPr>
            <w:r w:rsidDel="00000000" w:rsidR="00000000" w:rsidRPr="00000000">
              <w:rPr>
                <w:color w:val="000000"/>
                <w:sz w:val="22"/>
                <w:szCs w:val="22"/>
                <w:rtl w:val="0"/>
              </w:rPr>
              <w:t xml:space="preserve">High-complexity Products</w:t>
            </w:r>
          </w:p>
        </w:tc>
      </w:tr>
      <w:tr>
        <w:trPr>
          <w:cantSplit w:val="0"/>
          <w:trHeight w:val="275.00000000000006" w:hRule="atLeast"/>
          <w:tblHeader w:val="0"/>
        </w:trPr>
        <w:tc>
          <w:tcPr/>
          <w:p w:rsidR="00000000" w:rsidDel="00000000" w:rsidP="00000000" w:rsidRDefault="00000000" w:rsidRPr="00000000" w14:paraId="000000F4">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F5">
            <w:pPr>
              <w:jc w:val="both"/>
              <w:rPr>
                <w:color w:val="000000"/>
                <w:sz w:val="22"/>
                <w:szCs w:val="22"/>
              </w:rPr>
            </w:pPr>
            <w:r w:rsidDel="00000000" w:rsidR="00000000" w:rsidRPr="00000000">
              <w:rPr>
                <w:color w:val="000000"/>
                <w:sz w:val="22"/>
                <w:szCs w:val="22"/>
                <w:rtl w:val="0"/>
              </w:rPr>
              <w:t xml:space="preserve">Transportation</w:t>
            </w:r>
          </w:p>
        </w:tc>
        <w:tc>
          <w:tcPr>
            <w:vAlign w:val="bottom"/>
          </w:tcPr>
          <w:p w:rsidR="00000000" w:rsidDel="00000000" w:rsidP="00000000" w:rsidRDefault="00000000" w:rsidRPr="00000000" w14:paraId="000000F6">
            <w:pPr>
              <w:jc w:val="both"/>
              <w:rPr>
                <w:color w:val="000000"/>
                <w:sz w:val="22"/>
                <w:szCs w:val="22"/>
              </w:rPr>
            </w:pPr>
            <w:r w:rsidDel="00000000" w:rsidR="00000000" w:rsidRPr="00000000">
              <w:rPr>
                <w:color w:val="000000"/>
                <w:sz w:val="22"/>
                <w:szCs w:val="22"/>
                <w:rtl w:val="0"/>
              </w:rPr>
              <w:t xml:space="preserve">Energy Drilling &amp; Mining</w:t>
            </w:r>
          </w:p>
        </w:tc>
      </w:tr>
      <w:tr>
        <w:trPr>
          <w:cantSplit w:val="0"/>
          <w:trHeight w:val="60" w:hRule="atLeast"/>
          <w:tblHeader w:val="0"/>
        </w:trPr>
        <w:tc>
          <w:tcPr/>
          <w:p w:rsidR="00000000" w:rsidDel="00000000" w:rsidP="00000000" w:rsidRDefault="00000000" w:rsidRPr="00000000" w14:paraId="000000F7">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F8">
            <w:pPr>
              <w:jc w:val="both"/>
              <w:rPr>
                <w:color w:val="000000"/>
                <w:sz w:val="22"/>
                <w:szCs w:val="22"/>
              </w:rPr>
            </w:pPr>
            <w:r w:rsidDel="00000000" w:rsidR="00000000" w:rsidRPr="00000000">
              <w:rPr>
                <w:color w:val="000000"/>
                <w:sz w:val="22"/>
                <w:szCs w:val="22"/>
                <w:rtl w:val="0"/>
              </w:rPr>
              <w:t xml:space="preserve">Raw Manufacturing</w:t>
            </w:r>
          </w:p>
        </w:tc>
        <w:tc>
          <w:tcPr>
            <w:vAlign w:val="bottom"/>
          </w:tcPr>
          <w:p w:rsidR="00000000" w:rsidDel="00000000" w:rsidP="00000000" w:rsidRDefault="00000000" w:rsidRPr="00000000" w14:paraId="000000F9">
            <w:pPr>
              <w:jc w:val="both"/>
              <w:rPr>
                <w:color w:val="000000"/>
                <w:sz w:val="22"/>
                <w:szCs w:val="22"/>
              </w:rPr>
            </w:pPr>
            <w:r w:rsidDel="00000000" w:rsidR="00000000" w:rsidRPr="00000000">
              <w:rPr>
                <w:color w:val="000000"/>
                <w:sz w:val="22"/>
                <w:szCs w:val="22"/>
                <w:rtl w:val="0"/>
              </w:rPr>
              <w:t xml:space="preserve">Machinery&amp; Construction</w:t>
            </w:r>
          </w:p>
        </w:tc>
      </w:tr>
      <w:tr>
        <w:trPr>
          <w:cantSplit w:val="0"/>
          <w:tblHeader w:val="0"/>
        </w:trPr>
        <w:tc>
          <w:tcPr/>
          <w:p w:rsidR="00000000" w:rsidDel="00000000" w:rsidP="00000000" w:rsidRDefault="00000000" w:rsidRPr="00000000" w14:paraId="000000FA">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FB">
            <w:pPr>
              <w:jc w:val="both"/>
              <w:rPr>
                <w:color w:val="000000"/>
                <w:sz w:val="22"/>
                <w:szCs w:val="22"/>
              </w:rPr>
            </w:pPr>
            <w:r w:rsidDel="00000000" w:rsidR="00000000" w:rsidRPr="00000000">
              <w:rPr>
                <w:color w:val="000000"/>
                <w:sz w:val="22"/>
                <w:szCs w:val="22"/>
                <w:rtl w:val="0"/>
              </w:rPr>
              <w:t xml:space="preserve">Weapons</w:t>
            </w:r>
          </w:p>
        </w:tc>
        <w:tc>
          <w:tcPr>
            <w:vAlign w:val="bottom"/>
          </w:tcPr>
          <w:p w:rsidR="00000000" w:rsidDel="00000000" w:rsidP="00000000" w:rsidRDefault="00000000" w:rsidRPr="00000000" w14:paraId="000000FC">
            <w:pPr>
              <w:jc w:val="both"/>
              <w:rPr>
                <w:color w:val="000000"/>
                <w:sz w:val="22"/>
                <w:szCs w:val="22"/>
              </w:rPr>
            </w:pPr>
            <w:r w:rsidDel="00000000" w:rsidR="00000000" w:rsidRPr="00000000">
              <w:rPr>
                <w:color w:val="000000"/>
                <w:sz w:val="22"/>
                <w:szCs w:val="22"/>
                <w:rtl w:val="0"/>
              </w:rPr>
              <w:t xml:space="preserve">Chemical Manufacturing</w:t>
            </w:r>
          </w:p>
        </w:tc>
      </w:tr>
    </w:tbl>
    <w:p w:rsidR="00000000" w:rsidDel="00000000" w:rsidP="00000000" w:rsidRDefault="00000000" w:rsidRPr="00000000" w14:paraId="000000FD">
      <w:pPr>
        <w:jc w:val="center"/>
        <w:rPr/>
      </w:pPr>
      <w:r w:rsidDel="00000000" w:rsidR="00000000" w:rsidRPr="00000000">
        <w:rPr>
          <w:sz w:val="22"/>
          <w:szCs w:val="22"/>
          <w:rtl w:val="0"/>
        </w:rPr>
        <w:t xml:space="preserve">Table 4b. RID Comparison across Emerging Economies (2022)</w:t>
      </w:r>
      <w:r w:rsidDel="00000000" w:rsidR="00000000" w:rsidRPr="00000000">
        <w:rPr>
          <w:rtl w:val="0"/>
        </w:rPr>
      </w:r>
    </w:p>
    <w:p w:rsidR="00000000" w:rsidDel="00000000" w:rsidP="00000000" w:rsidRDefault="00000000" w:rsidRPr="00000000" w14:paraId="000000FE">
      <w:pPr>
        <w:jc w:val="center"/>
        <w:rPr>
          <w:sz w:val="22"/>
          <w:szCs w:val="22"/>
        </w:rPr>
      </w:pPr>
      <w:r w:rsidDel="00000000" w:rsidR="00000000" w:rsidRPr="00000000">
        <w:rPr>
          <w:rtl w:val="0"/>
        </w:rPr>
      </w:r>
    </w:p>
    <w:p w:rsidR="00000000" w:rsidDel="00000000" w:rsidP="00000000" w:rsidRDefault="00000000" w:rsidRPr="00000000" w14:paraId="000000FF">
      <w:pPr>
        <w:jc w:val="both"/>
        <w:rPr>
          <w:sz w:val="22"/>
          <w:szCs w:val="22"/>
        </w:rPr>
      </w:pPr>
      <w:r w:rsidDel="00000000" w:rsidR="00000000" w:rsidRPr="00000000">
        <w:rPr>
          <w:rtl w:val="0"/>
        </w:rPr>
        <w:t xml:space="preserve">Tables 4c-4d further examine </w:t>
      </w:r>
      <w:r w:rsidDel="00000000" w:rsidR="00000000" w:rsidRPr="00000000">
        <w:rPr>
          <w:rtl w:val="0"/>
        </w:rPr>
        <w:t xml:space="preserve">Chile</w:t>
      </w:r>
      <w:r w:rsidDel="00000000" w:rsidR="00000000" w:rsidRPr="00000000">
        <w:rPr>
          <w:rtl w:val="0"/>
        </w:rPr>
        <w:t xml:space="preserve">'s development strategy against those of emerging economies from the previous time period. </w:t>
      </w: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r>
    </w:p>
    <w:tbl>
      <w:tblPr>
        <w:tblStyle w:val="Table7"/>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135" w:hRule="atLeast"/>
          <w:tblHeader w:val="0"/>
        </w:trPr>
        <w:tc>
          <w:tcPr/>
          <w:p w:rsidR="00000000" w:rsidDel="00000000" w:rsidP="00000000" w:rsidRDefault="00000000" w:rsidRPr="00000000" w14:paraId="00000101">
            <w:pPr>
              <w:jc w:val="both"/>
              <w:rPr/>
            </w:pPr>
            <w:r w:rsidDel="00000000" w:rsidR="00000000" w:rsidRPr="00000000">
              <w:rPr>
                <w:rtl w:val="0"/>
              </w:rPr>
              <w:t xml:space="preserve">Ranking</w:t>
            </w:r>
          </w:p>
        </w:tc>
        <w:tc>
          <w:tcPr/>
          <w:p w:rsidR="00000000" w:rsidDel="00000000" w:rsidP="00000000" w:rsidRDefault="00000000" w:rsidRPr="00000000" w14:paraId="00000102">
            <w:pPr>
              <w:jc w:val="both"/>
              <w:rPr/>
            </w:pPr>
            <w:r w:rsidDel="00000000" w:rsidR="00000000" w:rsidRPr="00000000">
              <w:rPr>
                <w:rtl w:val="0"/>
              </w:rPr>
              <w:t xml:space="preserve">France</w:t>
            </w:r>
          </w:p>
        </w:tc>
        <w:tc>
          <w:tcPr/>
          <w:p w:rsidR="00000000" w:rsidDel="00000000" w:rsidP="00000000" w:rsidRDefault="00000000" w:rsidRPr="00000000" w14:paraId="00000103">
            <w:pPr>
              <w:jc w:val="both"/>
              <w:rPr/>
            </w:pPr>
            <w:r w:rsidDel="00000000" w:rsidR="00000000" w:rsidRPr="00000000">
              <w:rPr>
                <w:rtl w:val="0"/>
              </w:rPr>
              <w:t xml:space="preserve">US</w:t>
            </w:r>
          </w:p>
        </w:tc>
        <w:tc>
          <w:tcPr/>
          <w:p w:rsidR="00000000" w:rsidDel="00000000" w:rsidP="00000000" w:rsidRDefault="00000000" w:rsidRPr="00000000" w14:paraId="00000104">
            <w:pPr>
              <w:jc w:val="both"/>
              <w:rPr/>
            </w:pPr>
            <w:r w:rsidDel="00000000" w:rsidR="00000000" w:rsidRPr="00000000">
              <w:rPr>
                <w:rtl w:val="0"/>
              </w:rPr>
              <w:t xml:space="preserve">Germany</w:t>
            </w:r>
          </w:p>
        </w:tc>
      </w:tr>
      <w:tr>
        <w:trPr>
          <w:cantSplit w:val="0"/>
          <w:trHeight w:val="275.00000000000006" w:hRule="atLeast"/>
          <w:tblHeader w:val="0"/>
        </w:trPr>
        <w:tc>
          <w:tcPr/>
          <w:p w:rsidR="00000000" w:rsidDel="00000000" w:rsidP="00000000" w:rsidRDefault="00000000" w:rsidRPr="00000000" w14:paraId="00000105">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106">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107">
            <w:pPr>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108">
            <w:pPr>
              <w:jc w:val="both"/>
              <w:rPr>
                <w:sz w:val="20"/>
                <w:szCs w:val="20"/>
              </w:rPr>
            </w:pPr>
            <w:r w:rsidDel="00000000" w:rsidR="00000000" w:rsidRPr="00000000">
              <w:rPr>
                <w:sz w:val="20"/>
                <w:szCs w:val="20"/>
                <w:rtl w:val="0"/>
              </w:rPr>
              <w:t xml:space="preserve">High-complexity Products</w:t>
            </w:r>
          </w:p>
        </w:tc>
      </w:tr>
      <w:tr>
        <w:trPr>
          <w:cantSplit w:val="0"/>
          <w:trHeight w:val="275.00000000000006" w:hRule="atLeast"/>
          <w:tblHeader w:val="0"/>
        </w:trPr>
        <w:tc>
          <w:tcPr/>
          <w:p w:rsidR="00000000" w:rsidDel="00000000" w:rsidP="00000000" w:rsidRDefault="00000000" w:rsidRPr="00000000" w14:paraId="00000109">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10A">
            <w:pPr>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10B">
            <w:pPr>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10C">
            <w:pPr>
              <w:jc w:val="both"/>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p w:rsidR="00000000" w:rsidDel="00000000" w:rsidP="00000000" w:rsidRDefault="00000000" w:rsidRPr="00000000" w14:paraId="0000010D">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10E">
            <w:pPr>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10F">
            <w:pPr>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110">
            <w:pPr>
              <w:jc w:val="both"/>
              <w:rPr>
                <w:sz w:val="20"/>
                <w:szCs w:val="20"/>
              </w:rPr>
            </w:pPr>
            <w:r w:rsidDel="00000000" w:rsidR="00000000" w:rsidRPr="00000000">
              <w:rPr>
                <w:sz w:val="20"/>
                <w:szCs w:val="20"/>
                <w:rtl w:val="0"/>
              </w:rPr>
              <w:t xml:space="preserve">Wood Products</w:t>
            </w:r>
          </w:p>
        </w:tc>
      </w:tr>
      <w:tr>
        <w:trPr>
          <w:cantSplit w:val="0"/>
          <w:trHeight w:val="60" w:hRule="atLeast"/>
          <w:tblHeader w:val="0"/>
        </w:trPr>
        <w:tc>
          <w:tcPr/>
          <w:p w:rsidR="00000000" w:rsidDel="00000000" w:rsidP="00000000" w:rsidRDefault="00000000" w:rsidRPr="00000000" w14:paraId="00000111">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112">
            <w:pPr>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113">
            <w:pPr>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114">
            <w:pPr>
              <w:jc w:val="both"/>
              <w:rPr>
                <w:sz w:val="20"/>
                <w:szCs w:val="20"/>
              </w:rPr>
            </w:pPr>
            <w:r w:rsidDel="00000000" w:rsidR="00000000" w:rsidRPr="00000000">
              <w:rPr>
                <w:sz w:val="20"/>
                <w:szCs w:val="20"/>
                <w:rtl w:val="0"/>
              </w:rPr>
              <w:t xml:space="preserve">Metals</w:t>
            </w:r>
          </w:p>
        </w:tc>
      </w:tr>
      <w:tr>
        <w:trPr>
          <w:cantSplit w:val="0"/>
          <w:trHeight w:val="225" w:hRule="atLeast"/>
          <w:tblHeader w:val="0"/>
        </w:trPr>
        <w:tc>
          <w:tcPr/>
          <w:p w:rsidR="00000000" w:rsidDel="00000000" w:rsidP="00000000" w:rsidRDefault="00000000" w:rsidRPr="00000000" w14:paraId="00000115">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116">
            <w:pPr>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117">
            <w:pPr>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118">
            <w:pPr>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119">
      <w:pPr>
        <w:jc w:val="center"/>
        <w:rPr/>
      </w:pPr>
      <w:r w:rsidDel="00000000" w:rsidR="00000000" w:rsidRPr="00000000">
        <w:rPr>
          <w:sz w:val="22"/>
          <w:szCs w:val="22"/>
          <w:rtl w:val="0"/>
        </w:rPr>
        <w:t xml:space="preserve">Table 4c. RID Comparison across Leading Economies (2018)</w:t>
      </w: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r>
    </w:p>
    <w:tbl>
      <w:tblPr>
        <w:tblStyle w:val="Table8"/>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282.5217391304348" w:hRule="atLeast"/>
          <w:tblHeader w:val="0"/>
        </w:trPr>
        <w:tc>
          <w:tcPr/>
          <w:p w:rsidR="00000000" w:rsidDel="00000000" w:rsidP="00000000" w:rsidRDefault="00000000" w:rsidRPr="00000000" w14:paraId="0000011B">
            <w:pPr>
              <w:jc w:val="both"/>
              <w:rPr/>
            </w:pPr>
            <w:r w:rsidDel="00000000" w:rsidR="00000000" w:rsidRPr="00000000">
              <w:rPr>
                <w:rtl w:val="0"/>
              </w:rPr>
              <w:t xml:space="preserve">Ranking</w:t>
            </w:r>
          </w:p>
        </w:tc>
        <w:tc>
          <w:tcPr/>
          <w:p w:rsidR="00000000" w:rsidDel="00000000" w:rsidP="00000000" w:rsidRDefault="00000000" w:rsidRPr="00000000" w14:paraId="0000011C">
            <w:pPr>
              <w:jc w:val="both"/>
              <w:rPr/>
            </w:pPr>
            <w:r w:rsidDel="00000000" w:rsidR="00000000" w:rsidRPr="00000000">
              <w:rPr>
                <w:rtl w:val="0"/>
              </w:rPr>
              <w:t xml:space="preserve">China</w:t>
            </w:r>
          </w:p>
        </w:tc>
        <w:tc>
          <w:tcPr/>
          <w:p w:rsidR="00000000" w:rsidDel="00000000" w:rsidP="00000000" w:rsidRDefault="00000000" w:rsidRPr="00000000" w14:paraId="0000011D">
            <w:pPr>
              <w:jc w:val="both"/>
              <w:rPr/>
            </w:pPr>
            <w:r w:rsidDel="00000000" w:rsidR="00000000" w:rsidRPr="00000000">
              <w:rPr>
                <w:rtl w:val="0"/>
              </w:rPr>
              <w:t xml:space="preserve">South Korea</w:t>
            </w:r>
          </w:p>
        </w:tc>
        <w:tc>
          <w:tcPr/>
          <w:p w:rsidR="00000000" w:rsidDel="00000000" w:rsidP="00000000" w:rsidRDefault="00000000" w:rsidRPr="00000000" w14:paraId="0000011E">
            <w:pPr>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11F">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120">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121">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122">
            <w:pPr>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123">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124">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125">
            <w:pPr>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126">
            <w:pPr>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127">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128">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129">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12A">
            <w:pPr>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12B">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12C">
            <w:pPr>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12D">
            <w:pPr>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12E">
            <w:pPr>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12F">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130">
            <w:pPr>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131">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132">
            <w:pPr>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133">
      <w:pPr>
        <w:jc w:val="center"/>
        <w:rPr/>
      </w:pPr>
      <w:r w:rsidDel="00000000" w:rsidR="00000000" w:rsidRPr="00000000">
        <w:rPr>
          <w:sz w:val="22"/>
          <w:szCs w:val="22"/>
          <w:rtl w:val="0"/>
        </w:rPr>
        <w:t xml:space="preserve">Table 4d. RID Comparison across Emerging Economies (2018)</w:t>
      </w:r>
      <w:r w:rsidDel="00000000" w:rsidR="00000000" w:rsidRPr="00000000">
        <w:rPr>
          <w:rtl w:val="0"/>
        </w:rPr>
      </w:r>
    </w:p>
    <w:p w:rsidR="00000000" w:rsidDel="00000000" w:rsidP="00000000" w:rsidRDefault="00000000" w:rsidRPr="00000000" w14:paraId="00000134">
      <w:pPr>
        <w:pageBreakBefore w:val="0"/>
        <w:jc w:val="both"/>
        <w:rPr>
          <w:sz w:val="22"/>
          <w:szCs w:val="22"/>
        </w:rPr>
      </w:pPr>
      <w:r w:rsidDel="00000000" w:rsidR="00000000" w:rsidRPr="00000000">
        <w:rPr>
          <w:rtl w:val="0"/>
        </w:rPr>
      </w:r>
    </w:p>
    <w:p w:rsidR="00000000" w:rsidDel="00000000" w:rsidP="00000000" w:rsidRDefault="00000000" w:rsidRPr="00000000" w14:paraId="00000135">
      <w:pPr>
        <w:pageBreakBefore w:val="0"/>
        <w:jc w:val="both"/>
        <w:rPr>
          <w:sz w:val="22"/>
          <w:szCs w:val="22"/>
        </w:rPr>
      </w:pPr>
      <w:r w:rsidDel="00000000" w:rsidR="00000000" w:rsidRPr="00000000">
        <w:rPr>
          <w:rtl w:val="0"/>
        </w:rPr>
      </w:r>
    </w:p>
    <w:p w:rsidR="00000000" w:rsidDel="00000000" w:rsidP="00000000" w:rsidRDefault="00000000" w:rsidRPr="00000000" w14:paraId="00000136">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37">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8">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139">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13A">
      <w:pPr>
        <w:pageBreakBefore w:val="0"/>
        <w:jc w:val="both"/>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drawing>
          <wp:inline distB="114300" distT="114300" distL="114300" distR="114300">
            <wp:extent cx="5731200" cy="2933700"/>
            <wp:effectExtent b="0" l="0" r="0" t="0"/>
            <wp:docPr id="32"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jc w:val="center"/>
        <w:rPr>
          <w:sz w:val="22"/>
          <w:szCs w:val="22"/>
        </w:rPr>
      </w:pPr>
      <w:r w:rsidDel="00000000" w:rsidR="00000000" w:rsidRPr="00000000">
        <w:rPr>
          <w:sz w:val="22"/>
          <w:szCs w:val="22"/>
          <w:rtl w:val="0"/>
        </w:rPr>
        <w:t xml:space="preserve">Table 5a.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13)</w:t>
      </w:r>
    </w:p>
    <w:p w:rsidR="00000000" w:rsidDel="00000000" w:rsidP="00000000" w:rsidRDefault="00000000" w:rsidRPr="00000000" w14:paraId="0000013D">
      <w:pPr>
        <w:jc w:val="both"/>
        <w:rPr/>
      </w:pPr>
      <w:r w:rsidDel="00000000" w:rsidR="00000000" w:rsidRPr="00000000">
        <w:rPr/>
        <w:drawing>
          <wp:inline distB="114300" distT="114300" distL="114300" distR="114300">
            <wp:extent cx="5731200" cy="2921000"/>
            <wp:effectExtent b="0" l="0" r="0" t="0"/>
            <wp:docPr id="29"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jc w:val="center"/>
        <w:rPr>
          <w:sz w:val="22"/>
          <w:szCs w:val="22"/>
        </w:rPr>
      </w:pPr>
      <w:r w:rsidDel="00000000" w:rsidR="00000000" w:rsidRPr="00000000">
        <w:rPr>
          <w:sz w:val="22"/>
          <w:szCs w:val="22"/>
          <w:rtl w:val="0"/>
        </w:rPr>
        <w:t xml:space="preserve">Table 5b.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18)</w:t>
      </w:r>
    </w:p>
    <w:p w:rsidR="00000000" w:rsidDel="00000000" w:rsidP="00000000" w:rsidRDefault="00000000" w:rsidRPr="00000000" w14:paraId="0000013F">
      <w:pPr>
        <w:pageBreakBefore w:val="0"/>
        <w:jc w:val="left"/>
        <w:rPr/>
      </w:pPr>
      <w:r w:rsidDel="00000000" w:rsidR="00000000" w:rsidRPr="00000000">
        <w:rPr>
          <w:rtl w:val="0"/>
        </w:rPr>
      </w:r>
    </w:p>
    <w:tbl>
      <w:tblPr>
        <w:tblStyle w:val="Table9"/>
        <w:tblW w:w="9825.0" w:type="dxa"/>
        <w:jc w:val="center"/>
        <w:tblLayout w:type="fixed"/>
        <w:tblLook w:val="0600"/>
      </w:tblPr>
      <w:tblGrid>
        <w:gridCol w:w="585"/>
        <w:gridCol w:w="2295"/>
        <w:gridCol w:w="2355"/>
        <w:gridCol w:w="2280"/>
        <w:gridCol w:w="2310"/>
        <w:tblGridChange w:id="0">
          <w:tblGrid>
            <w:gridCol w:w="585"/>
            <w:gridCol w:w="2295"/>
            <w:gridCol w:w="2355"/>
            <w:gridCol w:w="2280"/>
            <w:gridCol w:w="2310"/>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b w:val="1"/>
                <w:bCs w:val="1"/>
                <w:color w:val="ffffff"/>
                <w:sz w:val="20"/>
                <w:szCs w:val="20"/>
              </w:rPr>
            </w:pPr>
            <w:r w:rsidDel="00000000" w:rsidR="00000000" w:rsidRPr="00000000">
              <w:rPr>
                <w:b w:val="1"/>
                <w:bCs w:val="1"/>
                <w:color w:val="ffffff"/>
                <w:sz w:val="20"/>
                <w:szCs w:val="20"/>
                <w:rtl w:val="0"/>
              </w:rPr>
              <w:t xml:space="preserve">Rank</w:t>
            </w:r>
            <w:r w:rsidDel="00000000" w:rsidR="00000000" w:rsidRPr="00000000">
              <w:rPr>
                <w:rtl w:val="0"/>
              </w:rPr>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1">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Chile</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2">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    Argentina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3">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    Bolivia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4">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    Peru</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6">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Services and Utilities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7">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Transportation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8">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High-complexity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9">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High-complexity Products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B">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High-complexity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C">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High-complexity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D">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Services and Utilities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E">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Services and Utilities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0">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Precious 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1">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Daily Instruments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2">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Transportation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3">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Transportation</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5">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Transportation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6">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Machinery and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7">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Daily Instruments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8">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Chemical Manufacturing</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A">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Daily Instruments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B">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Chemicals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C">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Chemical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D">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Daily Instruments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F">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Machinery and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0">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Chemical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1">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Machinery and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2">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Textile</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4">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Chemical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5">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Raw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6">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Chemicals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7">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Chemicals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9">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Weapons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A">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Weapons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B">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Animals and By-products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C">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Clothing and Accessories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E">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Clothing and Accessories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F">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Energy Drilling and Mining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70">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Raw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71">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Wood Products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73">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Textile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74">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Wood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75">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Metals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76">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Machinery and Construction</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78">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Raw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79">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Clothing and Accessories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7A">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Wood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7B">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Raw Manufacturing</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D">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Animals and By-products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E">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Animals and By-products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7F">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Clothing and Accessories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0">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Animals and By-products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2">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Vegetables, Fruits and Plants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3">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Vegetables, Fruits and Plants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84">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Textile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5">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Vegetables, Fruits and Plants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7">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Food and Preparations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8">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Food and Preparations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9">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Vegetables, Fruits and Plants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A">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Food and Preparations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C">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Energy Drilling and Mining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D">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Services and Utilities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E">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Food and Preparations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F">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Energy Drilling and Mining</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91">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Chemicals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92">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Metals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93">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Energy Drilling and Mining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94">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Metals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96">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Wood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97">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Textile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98">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Weapons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99">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Weapons</w:t>
            </w:r>
            <w:r w:rsidDel="00000000" w:rsidR="00000000" w:rsidRPr="00000000">
              <w:rPr>
                <w:rtl w:val="0"/>
              </w:rPr>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9B">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Metals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9C">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Precious 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9D">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Precious 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9E">
            <w:pPr>
              <w:widowControl w:val="0"/>
              <w:spacing w:line="240" w:lineRule="auto"/>
              <w:ind w:left="180" w:right="-75" w:firstLine="0"/>
              <w:rPr>
                <w:color w:val="7b7b7b"/>
                <w:sz w:val="18"/>
                <w:szCs w:val="18"/>
              </w:rPr>
            </w:pPr>
            <w:r w:rsidDel="00000000" w:rsidR="00000000" w:rsidRPr="00000000">
              <w:rPr>
                <w:color w:val="7b7b7b"/>
                <w:sz w:val="18"/>
                <w:szCs w:val="18"/>
                <w:rtl w:val="0"/>
              </w:rPr>
              <w:t xml:space="preserve">Precious Stones</w:t>
            </w:r>
            <w:r w:rsidDel="00000000" w:rsidR="00000000" w:rsidRPr="00000000">
              <w:rPr>
                <w:rtl w:val="0"/>
              </w:rPr>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75" w:firstLine="0"/>
              <w:jc w:val="left"/>
              <w:rPr>
                <w:b w:val="1"/>
                <w:bCs w:val="1"/>
                <w:color w:val="7b7b7b"/>
                <w:sz w:val="20"/>
                <w:szCs w:val="20"/>
              </w:rPr>
            </w:pPr>
            <w:r w:rsidDel="00000000" w:rsidR="00000000" w:rsidRPr="00000000">
              <w:rPr>
                <w:b w:val="1"/>
                <w:bCs w:val="1"/>
                <w:color w:val="7b7b7b"/>
                <w:sz w:val="20"/>
                <w:szCs w:val="20"/>
                <w:rtl w:val="0"/>
              </w:rPr>
              <w:t xml:space="preserve">0.410178</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b w:val="1"/>
                <w:bCs w:val="1"/>
                <w:color w:val="7b7b7b"/>
                <w:sz w:val="20"/>
                <w:szCs w:val="20"/>
              </w:rPr>
            </w:pPr>
            <w:r w:rsidDel="00000000" w:rsidR="00000000" w:rsidRPr="00000000">
              <w:rPr>
                <w:b w:val="1"/>
                <w:bCs w:val="1"/>
                <w:color w:val="7b7b7b"/>
                <w:sz w:val="20"/>
                <w:szCs w:val="20"/>
                <w:rtl w:val="0"/>
              </w:rPr>
              <w:t xml:space="preserve">   -0.103375</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b w:val="1"/>
                <w:bCs w:val="1"/>
                <w:color w:val="7b7b7b"/>
                <w:sz w:val="20"/>
                <w:szCs w:val="20"/>
              </w:rPr>
            </w:pPr>
            <w:r w:rsidDel="00000000" w:rsidR="00000000" w:rsidRPr="00000000">
              <w:rPr>
                <w:b w:val="1"/>
                <w:bCs w:val="1"/>
                <w:color w:val="7b7b7b"/>
                <w:sz w:val="20"/>
                <w:szCs w:val="20"/>
                <w:rtl w:val="0"/>
              </w:rPr>
              <w:t xml:space="preserve">   1.052018</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b w:val="1"/>
                <w:bCs w:val="1"/>
                <w:color w:val="7b7b7b"/>
                <w:sz w:val="20"/>
                <w:szCs w:val="20"/>
              </w:rPr>
            </w:pPr>
            <w:r w:rsidDel="00000000" w:rsidR="00000000" w:rsidRPr="00000000">
              <w:rPr>
                <w:b w:val="1"/>
                <w:bCs w:val="1"/>
                <w:color w:val="7b7b7b"/>
                <w:sz w:val="20"/>
                <w:szCs w:val="20"/>
                <w:rtl w:val="0"/>
              </w:rPr>
              <w:t xml:space="preserve">0.778455</w:t>
            </w:r>
          </w:p>
        </w:tc>
      </w:tr>
    </w:tbl>
    <w:p w:rsidR="00000000" w:rsidDel="00000000" w:rsidP="00000000" w:rsidRDefault="00000000" w:rsidRPr="00000000" w14:paraId="000001A4">
      <w:pPr>
        <w:jc w:val="center"/>
        <w:rPr/>
      </w:pPr>
      <w:r w:rsidDel="00000000" w:rsidR="00000000" w:rsidRPr="00000000">
        <w:rPr>
          <w:sz w:val="22"/>
          <w:szCs w:val="22"/>
          <w:rtl w:val="0"/>
        </w:rPr>
        <w:t xml:space="preserve">Table 5c.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22)</w:t>
      </w:r>
      <w:r w:rsidDel="00000000" w:rsidR="00000000" w:rsidRPr="00000000">
        <w:rPr>
          <w:rtl w:val="0"/>
        </w:rPr>
      </w:r>
    </w:p>
    <w:p w:rsidR="00000000" w:rsidDel="00000000" w:rsidP="00000000" w:rsidRDefault="00000000" w:rsidRPr="00000000" w14:paraId="000001A5">
      <w:pPr>
        <w:pageBreakBefore w:val="0"/>
        <w:jc w:val="both"/>
        <w:rPr/>
      </w:pPr>
      <w:r w:rsidDel="00000000" w:rsidR="00000000" w:rsidRPr="00000000">
        <w:rPr>
          <w:rtl w:val="0"/>
        </w:rPr>
        <w:t xml:space="preserve">We define the ranking of opportunity gain for a country c, as the Suggested Development Vector (SDV) of c. Tables 5a-5c summarize how the SDV of </w:t>
      </w:r>
      <w:r w:rsidDel="00000000" w:rsidR="00000000" w:rsidRPr="00000000">
        <w:rPr>
          <w:rtl w:val="0"/>
        </w:rPr>
        <w:t xml:space="preserve">Chile</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1A6">
      <w:pPr>
        <w:pageBreakBefore w:val="0"/>
        <w:jc w:val="both"/>
        <w:rPr/>
      </w:pPr>
      <w:r w:rsidDel="00000000" w:rsidR="00000000" w:rsidRPr="00000000">
        <w:rPr>
          <w:rtl w:val="0"/>
        </w:rPr>
      </w:r>
    </w:p>
    <w:p w:rsidR="00000000" w:rsidDel="00000000" w:rsidP="00000000" w:rsidRDefault="00000000" w:rsidRPr="00000000" w14:paraId="000001A7">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High-complexity Products and Services and Utilities industries. It can be concluded that </w:t>
      </w:r>
      <w:r w:rsidDel="00000000" w:rsidR="00000000" w:rsidRPr="00000000">
        <w:rPr>
          <w:rtl w:val="0"/>
        </w:rPr>
        <w:t xml:space="preserve">Chile</w:t>
      </w:r>
      <w:r w:rsidDel="00000000" w:rsidR="00000000" w:rsidRPr="00000000">
        <w:rPr>
          <w:rtl w:val="0"/>
        </w:rPr>
        <w:t xml:space="preserve"> shares the characteristics of developing countries, with a balanced economic structure that leans towards moderate complexity-level industries.</w:t>
      </w:r>
    </w:p>
    <w:p w:rsidR="00000000" w:rsidDel="00000000" w:rsidP="00000000" w:rsidRDefault="00000000" w:rsidRPr="00000000" w14:paraId="000001A8">
      <w:pPr>
        <w:jc w:val="both"/>
        <w:rPr/>
      </w:pPr>
      <w:r w:rsidDel="00000000" w:rsidR="00000000" w:rsidRPr="00000000">
        <w:rPr/>
        <w:drawing>
          <wp:inline distB="114300" distT="114300" distL="114300" distR="114300">
            <wp:extent cx="5731200" cy="2273300"/>
            <wp:effectExtent b="0" l="0" r="0" t="0"/>
            <wp:docPr id="11"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jc w:val="center"/>
        <w:rPr>
          <w:sz w:val="22"/>
          <w:szCs w:val="22"/>
        </w:rPr>
      </w:pPr>
      <w:r w:rsidDel="00000000" w:rsidR="00000000" w:rsidRPr="00000000">
        <w:rPr>
          <w:sz w:val="22"/>
          <w:szCs w:val="22"/>
          <w:rtl w:val="0"/>
        </w:rPr>
        <w:t xml:space="preserve">Table 6. SDV of Other Sample Countries (2013)</w:t>
      </w:r>
    </w:p>
    <w:p w:rsidR="00000000" w:rsidDel="00000000" w:rsidP="00000000" w:rsidRDefault="00000000" w:rsidRPr="00000000" w14:paraId="000001AA">
      <w:pPr>
        <w:pageBreakBefore w:val="0"/>
        <w:jc w:val="center"/>
        <w:rPr/>
      </w:pPr>
      <w:r w:rsidDel="00000000" w:rsidR="00000000" w:rsidRPr="00000000">
        <w:rPr>
          <w:rtl w:val="0"/>
        </w:rPr>
      </w:r>
    </w:p>
    <w:p w:rsidR="00000000" w:rsidDel="00000000" w:rsidP="00000000" w:rsidRDefault="00000000" w:rsidRPr="00000000" w14:paraId="000001AB">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1AC">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AD">
      <w:pPr>
        <w:pageBreakBefore w:val="0"/>
        <w:jc w:val="both"/>
        <w:rPr/>
      </w:pPr>
      <w:r w:rsidDel="00000000" w:rsidR="00000000" w:rsidRPr="00000000">
        <w:rPr>
          <w:rtl w:val="0"/>
        </w:rPr>
      </w:r>
    </w:p>
    <w:p w:rsidR="00000000" w:rsidDel="00000000" w:rsidP="00000000" w:rsidRDefault="00000000" w:rsidRPr="00000000" w14:paraId="000001AE">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pageBreakBefore w:val="0"/>
        <w:jc w:val="center"/>
        <w:rPr/>
      </w:pPr>
      <w:r w:rsidDel="00000000" w:rsidR="00000000" w:rsidRPr="00000000">
        <w:rPr>
          <w:rtl w:val="0"/>
        </w:rPr>
      </w:r>
    </w:p>
    <w:p w:rsidR="00000000" w:rsidDel="00000000" w:rsidP="00000000" w:rsidRDefault="00000000" w:rsidRPr="00000000" w14:paraId="000001B0">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1B1">
      <w:pPr>
        <w:pageBreakBefore w:val="0"/>
        <w:jc w:val="both"/>
        <w:rPr/>
      </w:pPr>
      <w:r w:rsidDel="00000000" w:rsidR="00000000" w:rsidRPr="00000000">
        <w:rPr>
          <w:rtl w:val="0"/>
        </w:rPr>
        <w:t xml:space="preserve"> </w:t>
      </w:r>
    </w:p>
    <w:p w:rsidR="00000000" w:rsidDel="00000000" w:rsidP="00000000" w:rsidRDefault="00000000" w:rsidRPr="00000000" w14:paraId="000001B2">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1B3">
      <w:pPr>
        <w:pageBreakBefore w:val="0"/>
        <w:jc w:val="both"/>
        <w:rPr/>
      </w:pPr>
      <w:r w:rsidDel="00000000" w:rsidR="00000000" w:rsidRPr="00000000">
        <w:rPr>
          <w:rtl w:val="0"/>
        </w:rPr>
        <w:t xml:space="preserve"> </w:t>
      </w:r>
    </w:p>
    <w:p w:rsidR="00000000" w:rsidDel="00000000" w:rsidP="00000000" w:rsidRDefault="00000000" w:rsidRPr="00000000" w14:paraId="000001B4">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B5">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20"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B7">
      <w:pPr>
        <w:pageBreakBefore w:val="0"/>
        <w:rPr/>
      </w:pPr>
      <w:r w:rsidDel="00000000" w:rsidR="00000000" w:rsidRPr="00000000">
        <w:rPr>
          <w:rtl w:val="0"/>
        </w:rPr>
      </w:r>
    </w:p>
    <w:p w:rsidR="00000000" w:rsidDel="00000000" w:rsidP="00000000" w:rsidRDefault="00000000" w:rsidRPr="00000000" w14:paraId="000001B8">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B9">
      <w:pPr>
        <w:pageBreakBefore w:val="0"/>
        <w:rPr/>
      </w:pPr>
      <w:r w:rsidDel="00000000" w:rsidR="00000000" w:rsidRPr="00000000">
        <w:rPr>
          <w:rtl w:val="0"/>
        </w:rPr>
        <w:t xml:space="preserve"> </w:t>
      </w:r>
    </w:p>
    <w:p w:rsidR="00000000" w:rsidDel="00000000" w:rsidP="00000000" w:rsidRDefault="00000000" w:rsidRPr="00000000" w14:paraId="000001BA">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1BB">
      <w:pPr>
        <w:pageBreakBefore w:val="0"/>
        <w:rPr/>
      </w:pPr>
      <w:r w:rsidDel="00000000" w:rsidR="00000000" w:rsidRPr="00000000">
        <w:rPr>
          <w:rtl w:val="0"/>
        </w:rPr>
      </w:r>
    </w:p>
    <w:p w:rsidR="00000000" w:rsidDel="00000000" w:rsidP="00000000" w:rsidRDefault="00000000" w:rsidRPr="00000000" w14:paraId="000001BC">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1BD">
      <w:pPr>
        <w:jc w:val="both"/>
        <w:rPr>
          <w:b w:val="1"/>
          <w:bCs w:val="1"/>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r w:rsidDel="00000000" w:rsidR="00000000" w:rsidRPr="00000000">
        <w:rPr>
          <w:rtl w:val="0"/>
        </w:rPr>
      </w:r>
    </w:p>
    <w:p w:rsidR="00000000" w:rsidDel="00000000" w:rsidP="00000000" w:rsidRDefault="00000000" w:rsidRPr="00000000" w14:paraId="000001BE">
      <w:pPr>
        <w:pageBreakBefore w:val="0"/>
        <w:jc w:val="both"/>
        <w:rPr>
          <w:b w:val="1"/>
          <w:bCs w:val="1"/>
        </w:rPr>
      </w:pPr>
      <w:r w:rsidDel="00000000" w:rsidR="00000000" w:rsidRPr="00000000">
        <w:rPr>
          <w:rtl w:val="0"/>
        </w:rPr>
      </w:r>
    </w:p>
    <w:p w:rsidR="00000000" w:rsidDel="00000000" w:rsidP="00000000" w:rsidRDefault="00000000" w:rsidRPr="00000000" w14:paraId="000001BF">
      <w:pPr>
        <w:pageBreakBefore w:val="0"/>
        <w:jc w:val="both"/>
        <w:rPr>
          <w:b w:val="1"/>
          <w:bCs w:val="1"/>
        </w:rPr>
      </w:pPr>
      <w:r w:rsidDel="00000000" w:rsidR="00000000" w:rsidRPr="00000000">
        <w:rPr>
          <w:rtl w:val="0"/>
        </w:rPr>
      </w:r>
    </w:p>
    <w:p w:rsidR="00000000" w:rsidDel="00000000" w:rsidP="00000000" w:rsidRDefault="00000000" w:rsidRPr="00000000" w14:paraId="000001C0">
      <w:pPr>
        <w:pageBreakBefore w:val="0"/>
        <w:jc w:val="both"/>
        <w:rPr>
          <w:b w:val="1"/>
          <w:bCs w:val="1"/>
        </w:rPr>
      </w:pPr>
      <w:r w:rsidDel="00000000" w:rsidR="00000000" w:rsidRPr="00000000">
        <w:rPr>
          <w:rtl w:val="0"/>
        </w:rPr>
      </w:r>
    </w:p>
    <w:p w:rsidR="00000000" w:rsidDel="00000000" w:rsidP="00000000" w:rsidRDefault="00000000" w:rsidRPr="00000000" w14:paraId="000001C1">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C2">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1C3">
      <w:pPr>
        <w:pageBreakBefore w:val="0"/>
        <w:jc w:val="both"/>
        <w:rPr/>
      </w:pPr>
      <w:r w:rsidDel="00000000" w:rsidR="00000000" w:rsidRPr="00000000">
        <w:rPr>
          <w:rtl w:val="0"/>
        </w:rPr>
      </w:r>
    </w:p>
    <w:tbl>
      <w:tblPr>
        <w:tblStyle w:val="Table10"/>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4">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5">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EA">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1EB">
      <w:pPr>
        <w:pageBreakBefore w:val="0"/>
        <w:jc w:val="center"/>
        <w:rPr/>
      </w:pPr>
      <w:r w:rsidDel="00000000" w:rsidR="00000000" w:rsidRPr="00000000">
        <w:rPr>
          <w:rtl w:val="0"/>
        </w:rPr>
      </w:r>
    </w:p>
    <w:p w:rsidR="00000000" w:rsidDel="00000000" w:rsidP="00000000" w:rsidRDefault="00000000" w:rsidRPr="00000000" w14:paraId="000001EC">
      <w:pPr>
        <w:pageBreakBefore w:val="0"/>
        <w:jc w:val="both"/>
        <w:rPr/>
      </w:pPr>
      <w:r w:rsidDel="00000000" w:rsidR="00000000" w:rsidRPr="00000000">
        <w:rPr>
          <w:rtl w:val="0"/>
        </w:rPr>
        <w:t xml:space="preserve">Figures 4a-4c show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Chile</w:t>
      </w:r>
      <w:r w:rsidDel="00000000" w:rsidR="00000000" w:rsidRPr="00000000">
        <w:rPr>
          <w:rtl w:val="0"/>
        </w:rPr>
        <w:t xml:space="preserve"> in 2013, 2018, and 2022. We can see that for different percentages of heuristic total export growth, the ECIs of </w:t>
      </w:r>
      <w:r w:rsidDel="00000000" w:rsidR="00000000" w:rsidRPr="00000000">
        <w:rPr>
          <w:rtl w:val="0"/>
        </w:rPr>
        <w:t xml:space="preserve">Chile</w:t>
      </w:r>
      <w:r w:rsidDel="00000000" w:rsidR="00000000" w:rsidRPr="00000000">
        <w:rPr>
          <w:rtl w:val="0"/>
        </w:rPr>
        <w:t xml:space="preserve"> actually have different increments. Across all 3 years, an increase in investments corresponds to an increase in the number of industries. We note that Services and Utilities are a strong focus in 2013 and 2018 but do not appear in 2022. Instead, Chile should invest in Precious Stones and Textiles, which are lower-complexity industries</w:t>
      </w:r>
    </w:p>
    <w:p w:rsidR="00000000" w:rsidDel="00000000" w:rsidP="00000000" w:rsidRDefault="00000000" w:rsidRPr="00000000" w14:paraId="000001ED">
      <w:pPr>
        <w:pageBreakBefore w:val="0"/>
        <w:jc w:val="both"/>
        <w:rPr/>
      </w:pPr>
      <w:r w:rsidDel="00000000" w:rsidR="00000000" w:rsidRPr="00000000">
        <w:rPr>
          <w:rtl w:val="0"/>
        </w:rPr>
      </w:r>
    </w:p>
    <w:p w:rsidR="00000000" w:rsidDel="00000000" w:rsidP="00000000" w:rsidRDefault="00000000" w:rsidRPr="00000000" w14:paraId="000001EE">
      <w:pPr>
        <w:pageBreakBefore w:val="0"/>
        <w:jc w:val="both"/>
        <w:rPr/>
      </w:pPr>
      <w:r w:rsidDel="00000000" w:rsidR="00000000" w:rsidRPr="00000000">
        <w:rPr>
          <w:rtl w:val="0"/>
        </w:rPr>
        <w:t xml:space="preserve">For 2013, 5 percent export growth results in a ECI improvement pattern starting from around -0.28 and ends at around 0.02. As the budget is increased to 10 percent export growth, the ECI of Chile can achieve a slightly higher level, which is around 0.16. With much more growth budget, like 15 or 20 percent growth, Chile is able to achieve an even much higher stage, which is around 0.41. </w:t>
      </w:r>
    </w:p>
    <w:p w:rsidR="00000000" w:rsidDel="00000000" w:rsidP="00000000" w:rsidRDefault="00000000" w:rsidRPr="00000000" w14:paraId="000001EF">
      <w:pPr>
        <w:jc w:val="both"/>
        <w:rPr/>
      </w:pPr>
      <w:r w:rsidDel="00000000" w:rsidR="00000000" w:rsidRPr="00000000">
        <w:rPr>
          <w:rtl w:val="0"/>
        </w:rPr>
        <w:t xml:space="preserve"> </w:t>
      </w:r>
    </w:p>
    <w:p w:rsidR="00000000" w:rsidDel="00000000" w:rsidP="00000000" w:rsidRDefault="00000000" w:rsidRPr="00000000" w14:paraId="000001F0">
      <w:pPr>
        <w:jc w:val="both"/>
        <w:rPr/>
      </w:pPr>
      <w:r w:rsidDel="00000000" w:rsidR="00000000" w:rsidRPr="00000000">
        <w:rPr>
          <w:rtl w:val="0"/>
        </w:rPr>
        <w:t xml:space="preserve">For the case of 5 percent export growth, clothing and accessories, services and utilities account for most of the portfolio. For 10 percent export growth, the portfolio becomes more diverse. In addition to the products mentioned before, chemicals and daily instruments are added as main components as well. With 15 percent growth, one of the main factors in the portfolio of 10 percent growth budget, daily instruments, is replaced by machinery and construction. When the budget increases to 20 percent, the portfolio becomes pretty comprehensive, which mainly contains chemicals, animal and by-products, textile and machinery and construction etc. In these four ECI improvement trajectories, we also notice that the largest improvement comes from raw manufacturing, suggesting that with a low economic improvement anticipation, Chile should focus more on developing these products. A more detailed numerical representation of the portfolio is shown in Table 8a.</w:t>
      </w:r>
    </w:p>
    <w:p w:rsidR="00000000" w:rsidDel="00000000" w:rsidP="00000000" w:rsidRDefault="00000000" w:rsidRPr="00000000" w14:paraId="000001F1">
      <w:pPr>
        <w:jc w:val="both"/>
        <w:rPr/>
      </w:pPr>
      <w:r w:rsidDel="00000000" w:rsidR="00000000" w:rsidRPr="00000000">
        <w:rPr>
          <w:rtl w:val="0"/>
        </w:rPr>
      </w:r>
    </w:p>
    <w:p w:rsidR="00000000" w:rsidDel="00000000" w:rsidP="00000000" w:rsidRDefault="00000000" w:rsidRPr="00000000" w14:paraId="000001F2">
      <w:pPr>
        <w:jc w:val="both"/>
        <w:rPr/>
      </w:pPr>
      <w:r w:rsidDel="00000000" w:rsidR="00000000" w:rsidRPr="00000000">
        <w:rPr/>
        <w:drawing>
          <wp:inline distB="114300" distT="114300" distL="114300" distR="114300">
            <wp:extent cx="5731200" cy="1892300"/>
            <wp:effectExtent b="0" l="0" r="0" t="0"/>
            <wp:docPr id="1"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pageBreakBefore w:val="0"/>
        <w:jc w:val="both"/>
        <w:rPr/>
      </w:pPr>
      <w:r w:rsidDel="00000000" w:rsidR="00000000" w:rsidRPr="00000000">
        <w:rPr>
          <w:rtl w:val="0"/>
        </w:rPr>
      </w:r>
    </w:p>
    <w:p w:rsidR="00000000" w:rsidDel="00000000" w:rsidP="00000000" w:rsidRDefault="00000000" w:rsidRPr="00000000" w14:paraId="000001F4">
      <w:pPr>
        <w:jc w:val="both"/>
        <w:rPr/>
      </w:pPr>
      <w:r w:rsidDel="00000000" w:rsidR="00000000" w:rsidRPr="00000000">
        <w:rPr/>
        <w:drawing>
          <wp:inline distB="114300" distT="114300" distL="114300" distR="114300">
            <wp:extent cx="5731200" cy="1803400"/>
            <wp:effectExtent b="0" l="0" r="0" t="0"/>
            <wp:docPr id="8" name="image11.png"/>
            <a:graphic>
              <a:graphicData uri="http://schemas.openxmlformats.org/drawingml/2006/picture">
                <pic:pic>
                  <pic:nvPicPr>
                    <pic:cNvPr id="0" name="image11.png"/>
                    <pic:cNvPicPr preferRelativeResize="0"/>
                  </pic:nvPicPr>
                  <pic:blipFill>
                    <a:blip r:embed="rId20"/>
                    <a:srcRect b="7538" l="3156"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pageBreakBefore w:val="0"/>
        <w:jc w:val="center"/>
        <w:rPr>
          <w:sz w:val="22"/>
          <w:szCs w:val="22"/>
        </w:rPr>
      </w:pPr>
      <w:r w:rsidDel="00000000" w:rsidR="00000000" w:rsidRPr="00000000">
        <w:rPr>
          <w:sz w:val="22"/>
          <w:szCs w:val="22"/>
          <w:rtl w:val="0"/>
        </w:rPr>
        <w:t xml:space="preserve">Figure 4a. Greedy-Based ECI Improvement Results of </w:t>
      </w:r>
      <w:r w:rsidDel="00000000" w:rsidR="00000000" w:rsidRPr="00000000">
        <w:rPr>
          <w:sz w:val="22"/>
          <w:szCs w:val="22"/>
          <w:rtl w:val="0"/>
        </w:rPr>
        <w:t xml:space="preserve">Chile</w:t>
      </w:r>
      <w:r w:rsidDel="00000000" w:rsidR="00000000" w:rsidRPr="00000000">
        <w:rPr>
          <w:sz w:val="22"/>
          <w:szCs w:val="22"/>
          <w:rtl w:val="0"/>
        </w:rPr>
        <w:t xml:space="preserve"> with Different Budgets (2013)</w:t>
      </w:r>
    </w:p>
    <w:p w:rsidR="00000000" w:rsidDel="00000000" w:rsidP="00000000" w:rsidRDefault="00000000" w:rsidRPr="00000000" w14:paraId="000001F6">
      <w:pPr>
        <w:pageBreakBefore w:val="0"/>
        <w:jc w:val="center"/>
        <w:rPr>
          <w:sz w:val="22"/>
          <w:szCs w:val="22"/>
        </w:rPr>
      </w:pPr>
      <w:r w:rsidDel="00000000" w:rsidR="00000000" w:rsidRPr="00000000">
        <w:rPr>
          <w:rtl w:val="0"/>
        </w:rPr>
      </w:r>
    </w:p>
    <w:p w:rsidR="00000000" w:rsidDel="00000000" w:rsidP="00000000" w:rsidRDefault="00000000" w:rsidRPr="00000000" w14:paraId="000001F7">
      <w:pPr>
        <w:jc w:val="both"/>
        <w:rPr/>
      </w:pPr>
      <w:r w:rsidDel="00000000" w:rsidR="00000000" w:rsidRPr="00000000">
        <w:rPr/>
        <w:drawing>
          <wp:inline distB="114300" distT="114300" distL="114300" distR="114300">
            <wp:extent cx="5731200" cy="1333500"/>
            <wp:effectExtent b="0" l="0" r="0" t="0"/>
            <wp:docPr id="16"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jc w:val="center"/>
        <w:rPr>
          <w:sz w:val="22"/>
          <w:szCs w:val="22"/>
        </w:rPr>
      </w:pPr>
      <w:r w:rsidDel="00000000" w:rsidR="00000000" w:rsidRPr="00000000">
        <w:rPr>
          <w:rtl w:val="0"/>
        </w:rPr>
        <w:t xml:space="preserve">T</w:t>
      </w:r>
      <w:r w:rsidDel="00000000" w:rsidR="00000000" w:rsidRPr="00000000">
        <w:rPr>
          <w:sz w:val="22"/>
          <w:szCs w:val="22"/>
          <w:rtl w:val="0"/>
        </w:rPr>
        <w:t xml:space="preserve">able 8a. Portfolio of </w:t>
      </w:r>
      <w:r w:rsidDel="00000000" w:rsidR="00000000" w:rsidRPr="00000000">
        <w:rPr>
          <w:sz w:val="22"/>
          <w:szCs w:val="22"/>
          <w:rtl w:val="0"/>
        </w:rPr>
        <w:t xml:space="preserve">Chile</w:t>
      </w:r>
      <w:r w:rsidDel="00000000" w:rsidR="00000000" w:rsidRPr="00000000">
        <w:rPr>
          <w:sz w:val="22"/>
          <w:szCs w:val="22"/>
          <w:rtl w:val="0"/>
        </w:rPr>
        <w:t xml:space="preserve"> (2013)</w:t>
      </w:r>
    </w:p>
    <w:p w:rsidR="00000000" w:rsidDel="00000000" w:rsidP="00000000" w:rsidRDefault="00000000" w:rsidRPr="00000000" w14:paraId="000001F9">
      <w:pPr>
        <w:pageBreakBefore w:val="0"/>
        <w:jc w:val="both"/>
        <w:rPr/>
      </w:pPr>
      <w:r w:rsidDel="00000000" w:rsidR="00000000" w:rsidRPr="00000000">
        <w:rPr>
          <w:rtl w:val="0"/>
        </w:rPr>
      </w:r>
    </w:p>
    <w:p w:rsidR="00000000" w:rsidDel="00000000" w:rsidP="00000000" w:rsidRDefault="00000000" w:rsidRPr="00000000" w14:paraId="000001FA">
      <w:pPr>
        <w:jc w:val="both"/>
        <w:rPr/>
      </w:pPr>
      <w:r w:rsidDel="00000000" w:rsidR="00000000" w:rsidRPr="00000000">
        <w:rPr>
          <w:rtl w:val="0"/>
        </w:rPr>
        <w:t xml:space="preserve">For further suggestions on Chile’s development in the future. We also offer the optimization result based on its export data in 2018. Below is the economic panel for Chile in 2018. With 5 percent export growth, Chile should mainly focus on developing clothing and accessories as well as services and utilities, which is similar to the result in 2013. As the budget grows to 10 percent, the main components contain precious stones, raw manufacturing, chemical manufacturing and services and utilities. For situations with higher budgets of investment, like 15 or 20 percent growth, although improvement patterns are similar, the portfolio obtained from a higher budget tends to be more comprehensive. With 15 percent export growth, the main components in the portfolio include daily instruments, chemical manufacturing and services and utilities. However, for the case of 20 percent growth, the allocation puts more weight on services and utilities, rather than daily instruments. A more detailed numerical representation of the portfolio is shown in Table 9.</w:t>
      </w:r>
    </w:p>
    <w:p w:rsidR="00000000" w:rsidDel="00000000" w:rsidP="00000000" w:rsidRDefault="00000000" w:rsidRPr="00000000" w14:paraId="000001FB">
      <w:pPr>
        <w:pageBreakBefore w:val="0"/>
        <w:jc w:val="both"/>
        <w:rPr/>
      </w:pPr>
      <w:r w:rsidDel="00000000" w:rsidR="00000000" w:rsidRPr="00000000">
        <w:rPr>
          <w:rtl w:val="0"/>
        </w:rPr>
      </w:r>
    </w:p>
    <w:p w:rsidR="00000000" w:rsidDel="00000000" w:rsidP="00000000" w:rsidRDefault="00000000" w:rsidRPr="00000000" w14:paraId="000001FC">
      <w:pPr>
        <w:pageBreakBefore w:val="0"/>
        <w:jc w:val="both"/>
        <w:rPr/>
      </w:pPr>
      <w:r w:rsidDel="00000000" w:rsidR="00000000" w:rsidRPr="00000000">
        <w:rPr/>
        <w:drawing>
          <wp:inline distB="114300" distT="114300" distL="114300" distR="114300">
            <wp:extent cx="5731200" cy="1892300"/>
            <wp:effectExtent b="0" l="0" r="0" t="0"/>
            <wp:docPr id="17"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731200" cy="1892300"/>
                    </a:xfrm>
                    <a:prstGeom prst="rect"/>
                    <a:ln/>
                  </pic:spPr>
                </pic:pic>
              </a:graphicData>
            </a:graphic>
          </wp:inline>
        </w:drawing>
      </w:r>
      <w:r w:rsidDel="00000000" w:rsidR="00000000" w:rsidRPr="00000000">
        <w:rPr/>
        <w:drawing>
          <wp:inline distB="114300" distT="114300" distL="114300" distR="114300">
            <wp:extent cx="5731200" cy="1739900"/>
            <wp:effectExtent b="0" l="0" r="0" t="0"/>
            <wp:docPr id="31" name="image23.png"/>
            <a:graphic>
              <a:graphicData uri="http://schemas.openxmlformats.org/drawingml/2006/picture">
                <pic:pic>
                  <pic:nvPicPr>
                    <pic:cNvPr id="0" name="image23.png"/>
                    <pic:cNvPicPr preferRelativeResize="0"/>
                  </pic:nvPicPr>
                  <pic:blipFill>
                    <a:blip r:embed="rId23"/>
                    <a:srcRect b="9548" l="1495"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jc w:val="center"/>
        <w:rPr>
          <w:sz w:val="22"/>
          <w:szCs w:val="22"/>
        </w:rPr>
      </w:pPr>
      <w:r w:rsidDel="00000000" w:rsidR="00000000" w:rsidRPr="00000000">
        <w:rPr>
          <w:sz w:val="22"/>
          <w:szCs w:val="22"/>
          <w:rtl w:val="0"/>
        </w:rPr>
        <w:t xml:space="preserve">Figure 4b. Greedy-Based ECI Improvement Results of </w:t>
      </w:r>
      <w:r w:rsidDel="00000000" w:rsidR="00000000" w:rsidRPr="00000000">
        <w:rPr>
          <w:sz w:val="22"/>
          <w:szCs w:val="22"/>
          <w:rtl w:val="0"/>
        </w:rPr>
        <w:t xml:space="preserve">Chile</w:t>
      </w:r>
      <w:r w:rsidDel="00000000" w:rsidR="00000000" w:rsidRPr="00000000">
        <w:rPr>
          <w:sz w:val="22"/>
          <w:szCs w:val="22"/>
          <w:rtl w:val="0"/>
        </w:rPr>
        <w:t xml:space="preserve"> with Different Budgets (2018)</w:t>
      </w:r>
    </w:p>
    <w:p w:rsidR="00000000" w:rsidDel="00000000" w:rsidP="00000000" w:rsidRDefault="00000000" w:rsidRPr="00000000" w14:paraId="000001FE">
      <w:pPr>
        <w:jc w:val="center"/>
        <w:rPr>
          <w:sz w:val="22"/>
          <w:szCs w:val="22"/>
        </w:rPr>
      </w:pPr>
      <w:r w:rsidDel="00000000" w:rsidR="00000000" w:rsidRPr="00000000">
        <w:rPr>
          <w:rtl w:val="0"/>
        </w:rPr>
      </w:r>
    </w:p>
    <w:p w:rsidR="00000000" w:rsidDel="00000000" w:rsidP="00000000" w:rsidRDefault="00000000" w:rsidRPr="00000000" w14:paraId="000001FF">
      <w:pPr>
        <w:jc w:val="both"/>
        <w:rPr/>
      </w:pPr>
      <w:r w:rsidDel="00000000" w:rsidR="00000000" w:rsidRPr="00000000">
        <w:rPr/>
        <w:drawing>
          <wp:inline distB="114300" distT="114300" distL="114300" distR="114300">
            <wp:extent cx="5731200" cy="1435100"/>
            <wp:effectExtent b="0" l="0" r="0" t="0"/>
            <wp:docPr id="25"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pageBreakBefore w:val="0"/>
        <w:jc w:val="center"/>
        <w:rPr>
          <w:sz w:val="22"/>
          <w:szCs w:val="22"/>
        </w:rPr>
      </w:pPr>
      <w:r w:rsidDel="00000000" w:rsidR="00000000" w:rsidRPr="00000000">
        <w:rPr>
          <w:rtl w:val="0"/>
        </w:rPr>
        <w:t xml:space="preserve">T</w:t>
      </w:r>
      <w:r w:rsidDel="00000000" w:rsidR="00000000" w:rsidRPr="00000000">
        <w:rPr>
          <w:sz w:val="22"/>
          <w:szCs w:val="22"/>
          <w:rtl w:val="0"/>
        </w:rPr>
        <w:t xml:space="preserve">able 8b. Portfolio of </w:t>
      </w:r>
      <w:r w:rsidDel="00000000" w:rsidR="00000000" w:rsidRPr="00000000">
        <w:rPr>
          <w:sz w:val="22"/>
          <w:szCs w:val="22"/>
          <w:rtl w:val="0"/>
        </w:rPr>
        <w:t xml:space="preserve">Chile</w:t>
      </w:r>
      <w:r w:rsidDel="00000000" w:rsidR="00000000" w:rsidRPr="00000000">
        <w:rPr>
          <w:sz w:val="22"/>
          <w:szCs w:val="22"/>
          <w:rtl w:val="0"/>
        </w:rPr>
        <w:t xml:space="preserve"> (2018)</w:t>
      </w:r>
    </w:p>
    <w:p w:rsidR="00000000" w:rsidDel="00000000" w:rsidP="00000000" w:rsidRDefault="00000000" w:rsidRPr="00000000" w14:paraId="00000201">
      <w:pPr>
        <w:pageBreakBefore w:val="0"/>
        <w:rPr/>
      </w:pPr>
      <w:r w:rsidDel="00000000" w:rsidR="00000000" w:rsidRPr="00000000">
        <w:rPr>
          <w:rtl w:val="0"/>
        </w:rPr>
      </w:r>
    </w:p>
    <w:p w:rsidR="00000000" w:rsidDel="00000000" w:rsidP="00000000" w:rsidRDefault="00000000" w:rsidRPr="00000000" w14:paraId="00000202">
      <w:pPr>
        <w:pageBreakBefore w:val="0"/>
        <w:rPr/>
      </w:pPr>
      <w:r w:rsidDel="00000000" w:rsidR="00000000" w:rsidRPr="00000000">
        <w:rPr>
          <w:rtl w:val="0"/>
        </w:rPr>
        <w:t xml:space="preserve">To compare with the performance in 2013 and 2018, we also re-examine suggested strategies f</w:t>
      </w:r>
      <w:r w:rsidDel="00000000" w:rsidR="00000000" w:rsidRPr="00000000">
        <w:rPr>
          <w:rtl w:val="0"/>
        </w:rPr>
        <w:t xml:space="preserve">or 202</w:t>
      </w:r>
      <w:r w:rsidDel="00000000" w:rsidR="00000000" w:rsidRPr="00000000">
        <w:rPr>
          <w:rtl w:val="0"/>
        </w:rPr>
        <w:t xml:space="preserve">2. </w:t>
      </w:r>
      <w:r w:rsidDel="00000000" w:rsidR="00000000" w:rsidRPr="00000000">
        <w:rPr>
          <w:rtl w:val="0"/>
        </w:rPr>
        <w:t xml:space="preserve">For 2022, </w:t>
      </w:r>
      <w:r w:rsidDel="00000000" w:rsidR="00000000" w:rsidRPr="00000000">
        <w:rPr>
          <w:rtl w:val="0"/>
        </w:rPr>
        <w:t xml:space="preserve">a 5 percent increase in export would emphasize Precious Stones and Textiles, followed by Chemicals for 10, 15, and 20 percent export growth, and Food and Prepartions for 15 and 20 percent. These strategies go in line with the suggested trajectories based on ECI. The appearance of Chemicals in high growth percents suggests that Chile is a rapidly advancing country that has opportunity to develop high-complexity industries if it continues. A more detailed numerical representation of the portfolio for </w:t>
      </w:r>
      <w:r w:rsidDel="00000000" w:rsidR="00000000" w:rsidRPr="00000000">
        <w:rPr>
          <w:rtl w:val="0"/>
        </w:rPr>
        <w:t xml:space="preserve">Chile</w:t>
      </w:r>
      <w:r w:rsidDel="00000000" w:rsidR="00000000" w:rsidRPr="00000000">
        <w:rPr>
          <w:rtl w:val="0"/>
        </w:rPr>
        <w:t xml:space="preserve"> is shown in Table 8c.</w:t>
      </w:r>
      <w:r w:rsidDel="00000000" w:rsidR="00000000" w:rsidRPr="00000000">
        <w:rPr>
          <w:rtl w:val="0"/>
        </w:rPr>
      </w:r>
    </w:p>
    <w:p w:rsidR="00000000" w:rsidDel="00000000" w:rsidP="00000000" w:rsidRDefault="00000000" w:rsidRPr="00000000" w14:paraId="00000203">
      <w:pPr>
        <w:pageBreakBefore w:val="0"/>
        <w:rPr>
          <w:sz w:val="22"/>
          <w:szCs w:val="22"/>
        </w:rPr>
      </w:pPr>
      <w:r w:rsidDel="00000000" w:rsidR="00000000" w:rsidRPr="00000000">
        <w:rPr/>
        <w:drawing>
          <wp:inline distB="114300" distT="114300" distL="114300" distR="114300">
            <wp:extent cx="5734050" cy="2133600"/>
            <wp:effectExtent b="0" l="0" r="0" t="0"/>
            <wp:docPr id="14" name="image22.png"/>
            <a:graphic>
              <a:graphicData uri="http://schemas.openxmlformats.org/drawingml/2006/picture">
                <pic:pic>
                  <pic:nvPicPr>
                    <pic:cNvPr id="0" name="image22.png"/>
                    <pic:cNvPicPr preferRelativeResize="0"/>
                  </pic:nvPicPr>
                  <pic:blipFill>
                    <a:blip r:embed="rId25"/>
                    <a:srcRect b="25581" l="0" r="0" t="0"/>
                    <a:stretch>
                      <a:fillRect/>
                    </a:stretch>
                  </pic:blipFill>
                  <pic:spPr>
                    <a:xfrm>
                      <a:off x="0" y="0"/>
                      <a:ext cx="573405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jc w:val="center"/>
        <w:rPr>
          <w:sz w:val="22"/>
          <w:szCs w:val="22"/>
        </w:rPr>
      </w:pPr>
      <w:r w:rsidDel="00000000" w:rsidR="00000000" w:rsidRPr="00000000">
        <w:rPr>
          <w:sz w:val="22"/>
          <w:szCs w:val="22"/>
        </w:rPr>
        <w:drawing>
          <wp:inline distB="114300" distT="114300" distL="114300" distR="114300">
            <wp:extent cx="5731200" cy="2159000"/>
            <wp:effectExtent b="0" l="0" r="0" t="0"/>
            <wp:docPr id="27"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jc w:val="center"/>
        <w:rPr>
          <w:sz w:val="22"/>
          <w:szCs w:val="22"/>
        </w:rPr>
      </w:pPr>
      <w:r w:rsidDel="00000000" w:rsidR="00000000" w:rsidRPr="00000000">
        <w:rPr>
          <w:sz w:val="22"/>
          <w:szCs w:val="22"/>
          <w:rtl w:val="0"/>
        </w:rPr>
        <w:t xml:space="preserve">Figure 4c. Greedy-Based ECI Improvement Results of </w:t>
      </w:r>
      <w:r w:rsidDel="00000000" w:rsidR="00000000" w:rsidRPr="00000000">
        <w:rPr>
          <w:sz w:val="22"/>
          <w:szCs w:val="22"/>
          <w:rtl w:val="0"/>
        </w:rPr>
        <w:t xml:space="preserve">Chile</w:t>
      </w:r>
      <w:r w:rsidDel="00000000" w:rsidR="00000000" w:rsidRPr="00000000">
        <w:rPr>
          <w:sz w:val="22"/>
          <w:szCs w:val="22"/>
          <w:rtl w:val="0"/>
        </w:rPr>
        <w:t xml:space="preserve"> with Different Budgets (2022)</w:t>
      </w:r>
    </w:p>
    <w:p w:rsidR="00000000" w:rsidDel="00000000" w:rsidP="00000000" w:rsidRDefault="00000000" w:rsidRPr="00000000" w14:paraId="00000206">
      <w:pPr>
        <w:jc w:val="left"/>
        <w:rPr>
          <w:sz w:val="22"/>
          <w:szCs w:val="22"/>
        </w:rPr>
      </w:pPr>
      <w:r w:rsidDel="00000000" w:rsidR="00000000" w:rsidRPr="00000000">
        <w:rPr>
          <w:rtl w:val="0"/>
        </w:rPr>
      </w:r>
    </w:p>
    <w:tbl>
      <w:tblPr>
        <w:tblStyle w:val="Table11"/>
        <w:tblW w:w="9510.0" w:type="dxa"/>
        <w:jc w:val="center"/>
        <w:tblLayout w:type="fixed"/>
        <w:tblLook w:val="0600"/>
      </w:tblPr>
      <w:tblGrid>
        <w:gridCol w:w="2430"/>
        <w:gridCol w:w="1770"/>
        <w:gridCol w:w="1770"/>
        <w:gridCol w:w="1770"/>
        <w:gridCol w:w="1770"/>
        <w:tblGridChange w:id="0">
          <w:tblGrid>
            <w:gridCol w:w="2430"/>
            <w:gridCol w:w="1770"/>
            <w:gridCol w:w="1770"/>
            <w:gridCol w:w="1770"/>
            <w:gridCol w:w="1770"/>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07">
            <w:pPr>
              <w:jc w:val="center"/>
              <w:rPr>
                <w:sz w:val="20"/>
                <w:szCs w:val="20"/>
              </w:rPr>
            </w:pPr>
            <w:r w:rsidDel="00000000" w:rsidR="00000000" w:rsidRPr="00000000">
              <w:rPr>
                <w:b w:val="1"/>
                <w:bCs w:val="1"/>
                <w:sz w:val="20"/>
                <w:szCs w:val="20"/>
                <w:rtl w:val="0"/>
              </w:rPr>
              <w:t xml:space="preserve">Chile</w:t>
            </w:r>
            <w:r w:rsidDel="00000000" w:rsidR="00000000" w:rsidRPr="00000000">
              <w:rPr>
                <w:b w:val="1"/>
                <w:bCs w:val="1"/>
                <w:sz w:val="20"/>
                <w:szCs w:val="20"/>
                <w:rtl w:val="0"/>
              </w:rPr>
              <w:t xml:space="preserve"> (2022)</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0D">
            <w:pPr>
              <w:jc w:val="center"/>
              <w:rPr>
                <w:b w:val="1"/>
                <w:bCs w:val="1"/>
                <w:sz w:val="20"/>
                <w:szCs w:val="20"/>
              </w:rPr>
            </w:pPr>
            <w:r w:rsidDel="00000000" w:rsidR="00000000" w:rsidRPr="00000000">
              <w:rPr>
                <w:b w:val="1"/>
                <w:bCs w:val="1"/>
                <w:sz w:val="20"/>
                <w:szCs w:val="20"/>
                <w:rtl w:val="0"/>
              </w:rPr>
              <w:t xml:space="preserve">0.410178</w:t>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Food and Preparations</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217">
            <w:pPr>
              <w:widowControl w:val="0"/>
              <w:jc w:val="center"/>
              <w:rPr>
                <w:sz w:val="18"/>
                <w:szCs w:val="18"/>
              </w:rPr>
            </w:pPr>
            <w:r w:rsidDel="00000000" w:rsidR="00000000" w:rsidRPr="00000000">
              <w:rPr>
                <w:sz w:val="18"/>
                <w:szCs w:val="18"/>
                <w:rtl w:val="0"/>
              </w:rPr>
              <w:t xml:space="preserve">0.00E+00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218">
            <w:pPr>
              <w:widowControl w:val="0"/>
              <w:jc w:val="center"/>
              <w:rPr>
                <w:sz w:val="18"/>
                <w:szCs w:val="18"/>
              </w:rPr>
            </w:pPr>
            <w:r w:rsidDel="00000000" w:rsidR="00000000" w:rsidRPr="00000000">
              <w:rPr>
                <w:sz w:val="18"/>
                <w:szCs w:val="18"/>
                <w:rtl w:val="0"/>
              </w:rPr>
              <w:t xml:space="preserve">3.65E+08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219">
            <w:pPr>
              <w:widowControl w:val="0"/>
              <w:jc w:val="center"/>
              <w:rPr>
                <w:sz w:val="18"/>
                <w:szCs w:val="18"/>
              </w:rPr>
            </w:pPr>
            <w:r w:rsidDel="00000000" w:rsidR="00000000" w:rsidRPr="00000000">
              <w:rPr>
                <w:sz w:val="18"/>
                <w:szCs w:val="18"/>
                <w:rtl w:val="0"/>
              </w:rPr>
              <w:t xml:space="preserve">5.24E+09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21A">
            <w:pPr>
              <w:widowControl w:val="0"/>
              <w:jc w:val="center"/>
              <w:rPr>
                <w:sz w:val="18"/>
                <w:szCs w:val="18"/>
              </w:rPr>
            </w:pPr>
            <w:r w:rsidDel="00000000" w:rsidR="00000000" w:rsidRPr="00000000">
              <w:rPr>
                <w:sz w:val="18"/>
                <w:szCs w:val="18"/>
                <w:rtl w:val="0"/>
              </w:rPr>
              <w:t xml:space="preserve">9.49E+09</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Chemicals</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21C">
            <w:pPr>
              <w:widowControl w:val="0"/>
              <w:jc w:val="center"/>
              <w:rPr>
                <w:sz w:val="18"/>
                <w:szCs w:val="18"/>
              </w:rPr>
            </w:pPr>
            <w:r w:rsidDel="00000000" w:rsidR="00000000" w:rsidRPr="00000000">
              <w:rPr>
                <w:sz w:val="18"/>
                <w:szCs w:val="18"/>
                <w:rtl w:val="0"/>
              </w:rPr>
              <w:t xml:space="preserve">0.00E+00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21D">
            <w:pPr>
              <w:widowControl w:val="0"/>
              <w:jc w:val="center"/>
              <w:rPr>
                <w:sz w:val="18"/>
                <w:szCs w:val="18"/>
              </w:rPr>
            </w:pPr>
            <w:r w:rsidDel="00000000" w:rsidR="00000000" w:rsidRPr="00000000">
              <w:rPr>
                <w:sz w:val="18"/>
                <w:szCs w:val="18"/>
                <w:rtl w:val="0"/>
              </w:rPr>
              <w:t xml:space="preserve">5.84E+09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21E">
            <w:pPr>
              <w:widowControl w:val="0"/>
              <w:jc w:val="center"/>
              <w:rPr>
                <w:sz w:val="18"/>
                <w:szCs w:val="18"/>
              </w:rPr>
            </w:pPr>
            <w:r w:rsidDel="00000000" w:rsidR="00000000" w:rsidRPr="00000000">
              <w:rPr>
                <w:sz w:val="18"/>
                <w:szCs w:val="18"/>
                <w:rtl w:val="0"/>
              </w:rPr>
              <w:t xml:space="preserve">8.98E+09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21F">
            <w:pPr>
              <w:widowControl w:val="0"/>
              <w:jc w:val="center"/>
              <w:rPr>
                <w:sz w:val="18"/>
                <w:szCs w:val="18"/>
              </w:rPr>
            </w:pPr>
            <w:r w:rsidDel="00000000" w:rsidR="00000000" w:rsidRPr="00000000">
              <w:rPr>
                <w:sz w:val="18"/>
                <w:szCs w:val="18"/>
                <w:rtl w:val="0"/>
              </w:rPr>
              <w:t xml:space="preserve">5.84E+09</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Raw Materials</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221">
            <w:pPr>
              <w:widowControl w:val="0"/>
              <w:jc w:val="center"/>
              <w:rPr>
                <w:sz w:val="18"/>
                <w:szCs w:val="18"/>
              </w:rPr>
            </w:pPr>
            <w:r w:rsidDel="00000000" w:rsidR="00000000" w:rsidRPr="00000000">
              <w:rPr>
                <w:sz w:val="18"/>
                <w:szCs w:val="18"/>
                <w:rtl w:val="0"/>
              </w:rPr>
              <w:t xml:space="preserve">0.00E+00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222">
            <w:pPr>
              <w:widowControl w:val="0"/>
              <w:jc w:val="center"/>
              <w:rPr>
                <w:sz w:val="18"/>
                <w:szCs w:val="18"/>
              </w:rPr>
            </w:pPr>
            <w:r w:rsidDel="00000000" w:rsidR="00000000" w:rsidRPr="00000000">
              <w:rPr>
                <w:sz w:val="18"/>
                <w:szCs w:val="18"/>
                <w:rtl w:val="0"/>
              </w:rPr>
              <w:t xml:space="preserve">0.00E+00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223">
            <w:pPr>
              <w:widowControl w:val="0"/>
              <w:jc w:val="center"/>
              <w:rPr>
                <w:sz w:val="18"/>
                <w:szCs w:val="18"/>
              </w:rPr>
            </w:pPr>
            <w:r w:rsidDel="00000000" w:rsidR="00000000" w:rsidRPr="00000000">
              <w:rPr>
                <w:sz w:val="18"/>
                <w:szCs w:val="18"/>
                <w:rtl w:val="0"/>
              </w:rPr>
              <w:t xml:space="preserve">1.50E+09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224">
            <w:pPr>
              <w:widowControl w:val="0"/>
              <w:jc w:val="center"/>
              <w:rPr>
                <w:sz w:val="18"/>
                <w:szCs w:val="18"/>
              </w:rPr>
            </w:pPr>
            <w:r w:rsidDel="00000000" w:rsidR="00000000" w:rsidRPr="00000000">
              <w:rPr>
                <w:sz w:val="18"/>
                <w:szCs w:val="18"/>
                <w:rtl w:val="0"/>
              </w:rPr>
              <w:t xml:space="preserve">7.30E+08</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Textile</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226">
            <w:pPr>
              <w:widowControl w:val="0"/>
              <w:jc w:val="center"/>
              <w:rPr>
                <w:sz w:val="18"/>
                <w:szCs w:val="18"/>
              </w:rPr>
            </w:pPr>
            <w:r w:rsidDel="00000000" w:rsidR="00000000" w:rsidRPr="00000000">
              <w:rPr>
                <w:sz w:val="18"/>
                <w:szCs w:val="18"/>
                <w:rtl w:val="0"/>
              </w:rPr>
              <w:t xml:space="preserve">3.10E+09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227">
            <w:pPr>
              <w:widowControl w:val="0"/>
              <w:jc w:val="center"/>
              <w:rPr>
                <w:sz w:val="18"/>
                <w:szCs w:val="18"/>
              </w:rPr>
            </w:pPr>
            <w:r w:rsidDel="00000000" w:rsidR="00000000" w:rsidRPr="00000000">
              <w:rPr>
                <w:sz w:val="18"/>
                <w:szCs w:val="18"/>
                <w:rtl w:val="0"/>
              </w:rPr>
              <w:t xml:space="preserve">1.83E+09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228">
            <w:pPr>
              <w:widowControl w:val="0"/>
              <w:jc w:val="center"/>
              <w:rPr>
                <w:sz w:val="18"/>
                <w:szCs w:val="18"/>
              </w:rPr>
            </w:pPr>
            <w:r w:rsidDel="00000000" w:rsidR="00000000" w:rsidRPr="00000000">
              <w:rPr>
                <w:sz w:val="18"/>
                <w:szCs w:val="18"/>
                <w:rtl w:val="0"/>
              </w:rPr>
              <w:t xml:space="preserve">2.25E+09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229">
            <w:pPr>
              <w:widowControl w:val="0"/>
              <w:jc w:val="center"/>
              <w:rPr>
                <w:sz w:val="18"/>
                <w:szCs w:val="18"/>
              </w:rPr>
            </w:pPr>
            <w:r w:rsidDel="00000000" w:rsidR="00000000" w:rsidRPr="00000000">
              <w:rPr>
                <w:sz w:val="18"/>
                <w:szCs w:val="18"/>
                <w:rtl w:val="0"/>
              </w:rPr>
              <w:t xml:space="preserve">2.19E+09</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Precious Stone</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22B">
            <w:pPr>
              <w:widowControl w:val="0"/>
              <w:jc w:val="center"/>
              <w:rPr>
                <w:sz w:val="18"/>
                <w:szCs w:val="18"/>
              </w:rPr>
            </w:pPr>
            <w:r w:rsidDel="00000000" w:rsidR="00000000" w:rsidRPr="00000000">
              <w:rPr>
                <w:sz w:val="18"/>
                <w:szCs w:val="18"/>
                <w:rtl w:val="0"/>
              </w:rPr>
              <w:t xml:space="preserve">6.21E+09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22C">
            <w:pPr>
              <w:widowControl w:val="0"/>
              <w:jc w:val="center"/>
              <w:rPr>
                <w:sz w:val="18"/>
                <w:szCs w:val="18"/>
              </w:rPr>
            </w:pPr>
            <w:r w:rsidDel="00000000" w:rsidR="00000000" w:rsidRPr="00000000">
              <w:rPr>
                <w:sz w:val="18"/>
                <w:szCs w:val="18"/>
                <w:rtl w:val="0"/>
              </w:rPr>
              <w:t xml:space="preserve">2.56E+09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22D">
            <w:pPr>
              <w:widowControl w:val="0"/>
              <w:jc w:val="center"/>
              <w:rPr>
                <w:sz w:val="18"/>
                <w:szCs w:val="18"/>
              </w:rPr>
            </w:pPr>
            <w:r w:rsidDel="00000000" w:rsidR="00000000" w:rsidRPr="00000000">
              <w:rPr>
                <w:sz w:val="18"/>
                <w:szCs w:val="18"/>
                <w:rtl w:val="0"/>
              </w:rPr>
              <w:t xml:space="preserve">3.74E+09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22E">
            <w:pPr>
              <w:widowControl w:val="0"/>
              <w:jc w:val="center"/>
              <w:rPr>
                <w:sz w:val="18"/>
                <w:szCs w:val="18"/>
              </w:rPr>
            </w:pPr>
            <w:r w:rsidDel="00000000" w:rsidR="00000000" w:rsidRPr="00000000">
              <w:rPr>
                <w:sz w:val="18"/>
                <w:szCs w:val="18"/>
                <w:rtl w:val="0"/>
              </w:rPr>
              <w:t xml:space="preserve">2.92E+09</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230">
            <w:pPr>
              <w:widowControl w:val="0"/>
              <w:jc w:val="center"/>
              <w:rPr>
                <w:sz w:val="18"/>
                <w:szCs w:val="18"/>
              </w:rPr>
            </w:pPr>
            <w:r w:rsidDel="00000000" w:rsidR="00000000" w:rsidRPr="00000000">
              <w:rPr>
                <w:sz w:val="18"/>
                <w:szCs w:val="18"/>
                <w:rtl w:val="0"/>
              </w:rPr>
              <w:t xml:space="preserve">0.00E+00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231">
            <w:pPr>
              <w:widowControl w:val="0"/>
              <w:jc w:val="center"/>
              <w:rPr>
                <w:sz w:val="18"/>
                <w:szCs w:val="18"/>
              </w:rPr>
            </w:pPr>
            <w:r w:rsidDel="00000000" w:rsidR="00000000" w:rsidRPr="00000000">
              <w:rPr>
                <w:sz w:val="18"/>
                <w:szCs w:val="18"/>
                <w:rtl w:val="0"/>
              </w:rPr>
              <w:t xml:space="preserve">3.65E+08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232">
            <w:pPr>
              <w:widowControl w:val="0"/>
              <w:jc w:val="center"/>
              <w:rPr>
                <w:sz w:val="18"/>
                <w:szCs w:val="18"/>
              </w:rPr>
            </w:pPr>
            <w:r w:rsidDel="00000000" w:rsidR="00000000" w:rsidRPr="00000000">
              <w:rPr>
                <w:sz w:val="18"/>
                <w:szCs w:val="18"/>
                <w:rtl w:val="0"/>
              </w:rPr>
              <w:t xml:space="preserve">7.49E+08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233">
            <w:pPr>
              <w:widowControl w:val="0"/>
              <w:jc w:val="center"/>
              <w:rPr>
                <w:sz w:val="18"/>
                <w:szCs w:val="18"/>
              </w:rPr>
            </w:pPr>
            <w:r w:rsidDel="00000000" w:rsidR="00000000" w:rsidRPr="00000000">
              <w:rPr>
                <w:sz w:val="18"/>
                <w:szCs w:val="18"/>
                <w:rtl w:val="0"/>
              </w:rPr>
              <w:t xml:space="preserve">7.30E+08</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Increased ECI</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235">
            <w:pPr>
              <w:widowControl w:val="0"/>
              <w:spacing w:line="240" w:lineRule="auto"/>
              <w:jc w:val="center"/>
              <w:rPr>
                <w:b w:val="1"/>
                <w:bCs w:val="1"/>
                <w:sz w:val="20"/>
                <w:szCs w:val="20"/>
              </w:rPr>
            </w:pPr>
            <w:r w:rsidDel="00000000" w:rsidR="00000000" w:rsidRPr="00000000">
              <w:rPr>
                <w:b w:val="1"/>
                <w:bCs w:val="1"/>
                <w:sz w:val="20"/>
                <w:szCs w:val="20"/>
                <w:rtl w:val="0"/>
              </w:rPr>
              <w:t xml:space="preserve">0.61025234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236">
            <w:pPr>
              <w:widowControl w:val="0"/>
              <w:spacing w:line="240" w:lineRule="auto"/>
              <w:jc w:val="center"/>
              <w:rPr>
                <w:b w:val="1"/>
                <w:bCs w:val="1"/>
                <w:sz w:val="20"/>
                <w:szCs w:val="20"/>
              </w:rPr>
            </w:pPr>
            <w:r w:rsidDel="00000000" w:rsidR="00000000" w:rsidRPr="00000000">
              <w:rPr>
                <w:b w:val="1"/>
                <w:bCs w:val="1"/>
                <w:sz w:val="20"/>
                <w:szCs w:val="20"/>
                <w:rtl w:val="0"/>
              </w:rPr>
              <w:t xml:space="preserve">0.62874075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237">
            <w:pPr>
              <w:widowControl w:val="0"/>
              <w:spacing w:line="240" w:lineRule="auto"/>
              <w:jc w:val="center"/>
              <w:rPr>
                <w:b w:val="1"/>
                <w:bCs w:val="1"/>
                <w:sz w:val="20"/>
                <w:szCs w:val="20"/>
              </w:rPr>
            </w:pPr>
            <w:r w:rsidDel="00000000" w:rsidR="00000000" w:rsidRPr="00000000">
              <w:rPr>
                <w:b w:val="1"/>
                <w:bCs w:val="1"/>
                <w:sz w:val="20"/>
                <w:szCs w:val="20"/>
                <w:rtl w:val="0"/>
              </w:rPr>
              <w:t xml:space="preserve">0.63118791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238">
            <w:pPr>
              <w:widowControl w:val="0"/>
              <w:spacing w:line="240" w:lineRule="auto"/>
              <w:jc w:val="center"/>
              <w:rPr>
                <w:b w:val="1"/>
                <w:bCs w:val="1"/>
                <w:sz w:val="20"/>
                <w:szCs w:val="20"/>
              </w:rPr>
            </w:pPr>
            <w:r w:rsidDel="00000000" w:rsidR="00000000" w:rsidRPr="00000000">
              <w:rPr>
                <w:b w:val="1"/>
                <w:bCs w:val="1"/>
                <w:sz w:val="20"/>
                <w:szCs w:val="20"/>
                <w:rtl w:val="0"/>
              </w:rPr>
              <w:t xml:space="preserve">0.63118791</w:t>
            </w:r>
            <w:r w:rsidDel="00000000" w:rsidR="00000000" w:rsidRPr="00000000">
              <w:rPr>
                <w:rtl w:val="0"/>
              </w:rPr>
            </w:r>
          </w:p>
        </w:tc>
      </w:tr>
    </w:tbl>
    <w:p w:rsidR="00000000" w:rsidDel="00000000" w:rsidP="00000000" w:rsidRDefault="00000000" w:rsidRPr="00000000" w14:paraId="00000239">
      <w:pPr>
        <w:jc w:val="center"/>
        <w:rPr>
          <w:sz w:val="22"/>
          <w:szCs w:val="22"/>
        </w:rPr>
      </w:pPr>
      <w:r w:rsidDel="00000000" w:rsidR="00000000" w:rsidRPr="00000000">
        <w:rPr>
          <w:sz w:val="22"/>
          <w:szCs w:val="22"/>
          <w:rtl w:val="0"/>
        </w:rPr>
        <w:t xml:space="preserve">Table 8c. Portfolio of </w:t>
      </w:r>
      <w:r w:rsidDel="00000000" w:rsidR="00000000" w:rsidRPr="00000000">
        <w:rPr>
          <w:sz w:val="22"/>
          <w:szCs w:val="22"/>
          <w:rtl w:val="0"/>
        </w:rPr>
        <w:t xml:space="preserve">Chile</w:t>
      </w:r>
      <w:r w:rsidDel="00000000" w:rsidR="00000000" w:rsidRPr="00000000">
        <w:rPr>
          <w:sz w:val="22"/>
          <w:szCs w:val="22"/>
          <w:rtl w:val="0"/>
        </w:rPr>
        <w:t xml:space="preserve"> </w:t>
      </w:r>
      <w:r w:rsidDel="00000000" w:rsidR="00000000" w:rsidRPr="00000000">
        <w:rPr>
          <w:sz w:val="22"/>
          <w:szCs w:val="22"/>
          <w:rtl w:val="0"/>
        </w:rPr>
        <w:t xml:space="preserve">(2022)</w:t>
      </w:r>
      <w:r w:rsidDel="00000000" w:rsidR="00000000" w:rsidRPr="00000000">
        <w:rPr>
          <w:rtl w:val="0"/>
        </w:rPr>
      </w:r>
    </w:p>
    <w:p w:rsidR="00000000" w:rsidDel="00000000" w:rsidP="00000000" w:rsidRDefault="00000000" w:rsidRPr="00000000" w14:paraId="0000023A">
      <w:pPr>
        <w:jc w:val="center"/>
        <w:rPr>
          <w:sz w:val="22"/>
          <w:szCs w:val="22"/>
        </w:rPr>
      </w:pPr>
      <w:r w:rsidDel="00000000" w:rsidR="00000000" w:rsidRPr="00000000">
        <w:rPr>
          <w:rtl w:val="0"/>
        </w:rPr>
      </w:r>
    </w:p>
    <w:p w:rsidR="00000000" w:rsidDel="00000000" w:rsidP="00000000" w:rsidRDefault="00000000" w:rsidRPr="00000000" w14:paraId="0000023B">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23C">
      <w:pPr>
        <w:pageBreakBefore w:val="0"/>
        <w:spacing w:after="0" w:before="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Chile</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23D">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23E">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23F">
      <w:pPr>
        <w:jc w:val="both"/>
        <w:rPr>
          <w:b w:val="1"/>
          <w:bCs w:val="1"/>
        </w:rPr>
      </w:pPr>
      <w:r w:rsidDel="00000000" w:rsidR="00000000" w:rsidRPr="00000000">
        <w:rPr>
          <w:b w:val="1"/>
          <w:bCs w:val="1"/>
        </w:rPr>
        <w:drawing>
          <wp:inline distB="114300" distT="114300" distL="114300" distR="114300">
            <wp:extent cx="5310188" cy="2519630"/>
            <wp:effectExtent b="0" l="0" r="0" t="0"/>
            <wp:docPr id="9" name="image9.jpg"/>
            <a:graphic>
              <a:graphicData uri="http://schemas.openxmlformats.org/drawingml/2006/picture">
                <pic:pic>
                  <pic:nvPicPr>
                    <pic:cNvPr id="0" name="image9.jpg"/>
                    <pic:cNvPicPr preferRelativeResize="0"/>
                  </pic:nvPicPr>
                  <pic:blipFill>
                    <a:blip r:embed="rId27"/>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241">
      <w:pPr>
        <w:pageBreakBefore w:val="0"/>
        <w:spacing w:after="240" w:before="240" w:line="276" w:lineRule="auto"/>
        <w:rPr>
          <w:b w:val="1"/>
          <w:bCs w:val="1"/>
        </w:rPr>
      </w:pPr>
      <w:r w:rsidDel="00000000" w:rsidR="00000000" w:rsidRPr="00000000">
        <w:rPr>
          <w:rtl w:val="0"/>
        </w:rPr>
        <w:t xml:space="preserve">The graphs are formulated as follows. There are six ECI Sensitivity graphs, two for each of the following years: 2022,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242">
      <w:pPr>
        <w:pageBreakBefore w:val="0"/>
        <w:spacing w:after="0" w:before="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243">
      <w:pPr>
        <w:pageBreakBefore w:val="0"/>
        <w:spacing w:after="0" w:before="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244">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 - 50% of its original value, a few other industries originally with negative opportunity gain could likely become profitable.</w:t>
      </w:r>
    </w:p>
    <w:p w:rsidR="00000000" w:rsidDel="00000000" w:rsidP="00000000" w:rsidRDefault="00000000" w:rsidRPr="00000000" w14:paraId="00000245">
      <w:pPr>
        <w:pageBreakBefore w:val="0"/>
        <w:spacing w:line="276" w:lineRule="auto"/>
        <w:rPr/>
      </w:pPr>
      <w:r w:rsidDel="00000000" w:rsidR="00000000" w:rsidRPr="00000000">
        <w:rPr>
          <w:rtl w:val="0"/>
        </w:rPr>
        <w:t xml:space="preserve">Similar to the ECI sensitivity graphs above, we will be shocking the export of High-complexity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an SDV Sensitivity chart with Positive Shocking. Industries with positive marginal opportunity gain are colored blue, neutral is colored white, and negative is colored red. </w:t>
      </w:r>
    </w:p>
    <w:p w:rsidR="00000000" w:rsidDel="00000000" w:rsidP="00000000" w:rsidRDefault="00000000" w:rsidRPr="00000000" w14:paraId="00000246">
      <w:pPr>
        <w:pageBreakBefore w:val="0"/>
        <w:spacing w:line="276" w:lineRule="auto"/>
        <w:rPr/>
      </w:pPr>
      <w:r w:rsidDel="00000000" w:rsidR="00000000" w:rsidRPr="00000000">
        <w:rPr>
          <w:rtl w:val="0"/>
        </w:rPr>
      </w:r>
    </w:p>
    <w:p w:rsidR="00000000" w:rsidDel="00000000" w:rsidP="00000000" w:rsidRDefault="00000000" w:rsidRPr="00000000" w14:paraId="00000247">
      <w:pPr>
        <w:pageBreakBefore w:val="0"/>
        <w:jc w:val="both"/>
        <w:rPr/>
      </w:pPr>
      <w:r w:rsidDel="00000000" w:rsidR="00000000" w:rsidRPr="00000000">
        <w:rPr/>
        <w:drawing>
          <wp:inline distB="114300" distT="114300" distL="114300" distR="114300">
            <wp:extent cx="5734050" cy="1739900"/>
            <wp:effectExtent b="0" l="0" r="0" t="0"/>
            <wp:docPr id="2" name="image29.jpg"/>
            <a:graphic>
              <a:graphicData uri="http://schemas.openxmlformats.org/drawingml/2006/picture">
                <pic:pic>
                  <pic:nvPicPr>
                    <pic:cNvPr id="0" name="image29.jpg"/>
                    <pic:cNvPicPr preferRelativeResize="0"/>
                  </pic:nvPicPr>
                  <pic:blipFill>
                    <a:blip r:embed="rId28"/>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jc w:val="center"/>
        <w:rPr>
          <w:b w:val="1"/>
          <w:bCs w:val="1"/>
        </w:rPr>
      </w:pPr>
      <w:r w:rsidDel="00000000" w:rsidR="00000000" w:rsidRPr="00000000">
        <w:rPr>
          <w:sz w:val="22"/>
          <w:szCs w:val="22"/>
          <w:rtl w:val="0"/>
        </w:rPr>
        <w:t xml:space="preserve">Table 9.</w:t>
      </w:r>
      <w:r w:rsidDel="00000000" w:rsidR="00000000" w:rsidRPr="00000000">
        <w:rPr>
          <w:sz w:val="22"/>
          <w:szCs w:val="22"/>
          <w:rtl w:val="0"/>
        </w:rPr>
        <w:t xml:space="preserve"> Sample Incremental SDV Sensitivity for High-Complexity Products (2018)</w:t>
      </w:r>
      <w:r w:rsidDel="00000000" w:rsidR="00000000" w:rsidRPr="00000000">
        <w:rPr>
          <w:rtl w:val="0"/>
        </w:rPr>
      </w:r>
    </w:p>
    <w:p w:rsidR="00000000" w:rsidDel="00000000" w:rsidP="00000000" w:rsidRDefault="00000000" w:rsidRPr="00000000" w14:paraId="00000249">
      <w:pPr>
        <w:pageBreakBefore w:val="0"/>
        <w:spacing w:after="0" w:before="0" w:line="276" w:lineRule="auto"/>
        <w:rPr>
          <w:b w:val="1"/>
          <w:bCs w:val="1"/>
        </w:rPr>
      </w:pPr>
      <w:r w:rsidDel="00000000" w:rsidR="00000000" w:rsidRPr="00000000">
        <w:rPr>
          <w:rtl w:val="0"/>
        </w:rPr>
      </w:r>
    </w:p>
    <w:p w:rsidR="00000000" w:rsidDel="00000000" w:rsidP="00000000" w:rsidRDefault="00000000" w:rsidRPr="00000000" w14:paraId="0000024A">
      <w:pPr>
        <w:pageBreakBefore w:val="0"/>
        <w:spacing w:after="0" w:before="0" w:line="276" w:lineRule="auto"/>
        <w:rPr>
          <w:b w:val="1"/>
          <w:bCs w:val="1"/>
        </w:rPr>
      </w:pPr>
      <w:r w:rsidDel="00000000" w:rsidR="00000000" w:rsidRPr="00000000">
        <w:rPr>
          <w:b w:val="1"/>
          <w:bCs w:val="1"/>
          <w:rtl w:val="0"/>
        </w:rPr>
        <w:t xml:space="preserve">Contingency Plan</w:t>
      </w:r>
    </w:p>
    <w:p w:rsidR="00000000" w:rsidDel="00000000" w:rsidP="00000000" w:rsidRDefault="00000000" w:rsidRPr="00000000" w14:paraId="0000024B">
      <w:pPr>
        <w:pageBreakBefore w:val="0"/>
        <w:spacing w:after="0" w:before="0"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a contingency strategy for countries to deal with possible abrupt declines of crucial industries. In some cases, the SDV remains unchanged even when a zero-opportunity-gain industry declines to 20% in terms of export. We can then conclude the industry is not indispensable to the country. As a clarification, the three consecutive N/As mean that the country doesn’t even need to respond to a collapse in the industry. Countries tend to have distinct solutions to the ups and downs of the same industry. To create the contingency strategy table, we decrease the export level for each industry in the country’s current production space by 60% respectively. The three highest-ranking industries in the new SDV are then returned. </w:t>
      </w:r>
    </w:p>
    <w:p w:rsidR="00000000" w:rsidDel="00000000" w:rsidP="00000000" w:rsidRDefault="00000000" w:rsidRPr="00000000" w14:paraId="0000024C">
      <w:pPr>
        <w:pageBreakBefore w:val="0"/>
        <w:spacing w:line="276" w:lineRule="auto"/>
        <w:rPr/>
      </w:pPr>
      <w:r w:rsidDel="00000000" w:rsidR="00000000" w:rsidRPr="00000000">
        <w:rPr>
          <w:rtl w:val="0"/>
        </w:rPr>
      </w:r>
    </w:p>
    <w:tbl>
      <w:tblPr>
        <w:tblStyle w:val="Table12"/>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4D">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4E">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4F">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50">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1">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5">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9">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D">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1">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5">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9">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D">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1">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5">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9">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D">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8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81">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83">
            <w:pPr>
              <w:widowControl w:val="0"/>
              <w:spacing w:line="276" w:lineRule="auto"/>
              <w:ind w:left="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84">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85">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8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88">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89">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8B">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8C">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8D">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8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91">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9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9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5">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6">
            <w:pPr>
              <w:widowControl w:val="0"/>
              <w:spacing w:line="276" w:lineRule="auto"/>
              <w:ind w:left="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7">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8">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bl>
    <w:p w:rsidR="00000000" w:rsidDel="00000000" w:rsidP="00000000" w:rsidRDefault="00000000" w:rsidRPr="00000000" w14:paraId="00000299">
      <w:pPr>
        <w:jc w:val="center"/>
        <w:rPr>
          <w:b w:val="1"/>
          <w:bCs w:val="1"/>
          <w:sz w:val="28"/>
          <w:szCs w:val="28"/>
        </w:rPr>
      </w:pPr>
      <w:r w:rsidDel="00000000" w:rsidR="00000000" w:rsidRPr="00000000">
        <w:rPr>
          <w:sz w:val="22"/>
          <w:szCs w:val="22"/>
          <w:rtl w:val="0"/>
        </w:rPr>
        <w:t xml:space="preserve">Table 10. Sample Contingency Strategy (2018)</w:t>
      </w:r>
      <w:r w:rsidDel="00000000" w:rsidR="00000000" w:rsidRPr="00000000">
        <w:rPr>
          <w:rtl w:val="0"/>
        </w:rPr>
      </w:r>
    </w:p>
    <w:p w:rsidR="00000000" w:rsidDel="00000000" w:rsidP="00000000" w:rsidRDefault="00000000" w:rsidRPr="00000000" w14:paraId="0000029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9B">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29C">
      <w:pPr>
        <w:pageBreakBefore w:val="0"/>
        <w:jc w:val="both"/>
        <w:rPr/>
      </w:pPr>
      <w:r w:rsidDel="00000000" w:rsidR="00000000" w:rsidRPr="00000000">
        <w:rPr>
          <w:rtl w:val="0"/>
        </w:rPr>
        <w:t xml:space="preserve">We examine </w:t>
      </w:r>
      <w:r w:rsidDel="00000000" w:rsidR="00000000" w:rsidRPr="00000000">
        <w:rPr>
          <w:rtl w:val="0"/>
        </w:rPr>
        <w:t xml:space="preserve">Chile</w:t>
      </w:r>
      <w:r w:rsidDel="00000000" w:rsidR="00000000" w:rsidRPr="00000000">
        <w:rPr>
          <w:rtl w:val="0"/>
        </w:rPr>
        <w:t xml:space="preserve">'s ECI Decremental and Incremental Sensitivity Charts for 2022. An increase in High-complexity Products will lead to the highest change in ECI, followed by Precious Stones. The low sensitivity effect of manipulating most industries contrasts previous years. Increases in Precious Stones will likely lead to increases in ECI, which is concurrent with our previous analysis. On the other hand, increasing High-complexity Products leads to a decrease in ECI, which can be interpreted as a warning to invest in moderate-complexity products first, such as Textiles or Precious Stones. For the negative shock cases, Energy, Drilling, and Mining and Chemicals become most impactful. This is interesting because both are relatively complex industries. In 2018, a negative shock to Energy, Drilling, and Mining lead to increases in ECI but in 2022, the same effect leads to decreases. This suggests that the industry has become more integral to the national economy. </w:t>
      </w:r>
    </w:p>
    <w:p w:rsidR="00000000" w:rsidDel="00000000" w:rsidP="00000000" w:rsidRDefault="00000000" w:rsidRPr="00000000" w14:paraId="0000029D">
      <w:pPr>
        <w:pageBreakBefore w:val="0"/>
        <w:jc w:val="both"/>
        <w:rPr/>
      </w:pPr>
      <w:r w:rsidDel="00000000" w:rsidR="00000000" w:rsidRPr="00000000">
        <w:rPr>
          <w:rtl w:val="0"/>
        </w:rPr>
      </w:r>
    </w:p>
    <w:p w:rsidR="00000000" w:rsidDel="00000000" w:rsidP="00000000" w:rsidRDefault="00000000" w:rsidRPr="00000000" w14:paraId="0000029E">
      <w:pPr>
        <w:pageBreakBefore w:val="0"/>
        <w:jc w:val="both"/>
        <w:rPr/>
      </w:pPr>
      <w:r w:rsidDel="00000000" w:rsidR="00000000" w:rsidRPr="00000000">
        <w:rPr/>
        <w:drawing>
          <wp:inline distB="114300" distT="114300" distL="114300" distR="114300">
            <wp:extent cx="5731200" cy="2032000"/>
            <wp:effectExtent b="0" l="0" r="0" t="0"/>
            <wp:docPr id="13"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Chile</w:t>
      </w:r>
      <w:r w:rsidDel="00000000" w:rsidR="00000000" w:rsidRPr="00000000">
        <w:rPr>
          <w:sz w:val="22"/>
          <w:szCs w:val="22"/>
          <w:rtl w:val="0"/>
        </w:rPr>
        <w:t xml:space="preserve"> (2022)</w:t>
      </w:r>
    </w:p>
    <w:p w:rsidR="00000000" w:rsidDel="00000000" w:rsidP="00000000" w:rsidRDefault="00000000" w:rsidRPr="00000000" w14:paraId="000002A0">
      <w:pPr>
        <w:jc w:val="center"/>
        <w:rPr>
          <w:sz w:val="22"/>
          <w:szCs w:val="22"/>
        </w:rPr>
      </w:pPr>
      <w:r w:rsidDel="00000000" w:rsidR="00000000" w:rsidRPr="00000000">
        <w:rPr>
          <w:sz w:val="22"/>
          <w:szCs w:val="22"/>
        </w:rPr>
        <w:drawing>
          <wp:inline distB="114300" distT="114300" distL="114300" distR="114300">
            <wp:extent cx="5731200" cy="2032000"/>
            <wp:effectExtent b="0" l="0" r="0" t="0"/>
            <wp:docPr id="18"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Chile</w:t>
      </w:r>
      <w:r w:rsidDel="00000000" w:rsidR="00000000" w:rsidRPr="00000000">
        <w:rPr>
          <w:sz w:val="22"/>
          <w:szCs w:val="22"/>
          <w:rtl w:val="0"/>
        </w:rPr>
        <w:t xml:space="preserve"> (2022)</w:t>
      </w:r>
      <w:r w:rsidDel="00000000" w:rsidR="00000000" w:rsidRPr="00000000">
        <w:rPr>
          <w:rtl w:val="0"/>
        </w:rPr>
      </w:r>
    </w:p>
    <w:p w:rsidR="00000000" w:rsidDel="00000000" w:rsidP="00000000" w:rsidRDefault="00000000" w:rsidRPr="00000000" w14:paraId="000002A2">
      <w:pPr>
        <w:pageBreakBefore w:val="0"/>
        <w:jc w:val="both"/>
        <w:rPr/>
      </w:pPr>
      <w:r w:rsidDel="00000000" w:rsidR="00000000" w:rsidRPr="00000000">
        <w:rPr>
          <w:rtl w:val="0"/>
        </w:rPr>
      </w:r>
    </w:p>
    <w:p w:rsidR="00000000" w:rsidDel="00000000" w:rsidP="00000000" w:rsidRDefault="00000000" w:rsidRPr="00000000" w14:paraId="000002A3">
      <w:pPr>
        <w:jc w:val="both"/>
        <w:rPr/>
      </w:pPr>
      <w:r w:rsidDel="00000000" w:rsidR="00000000" w:rsidRPr="00000000">
        <w:rPr>
          <w:rtl w:val="0"/>
        </w:rPr>
        <w:t xml:space="preserve">Below is Chile’s 2018 ECI Sensitivity Charts. Firstly in the positive chart, we notice immediately an increase in export in none of the industries lead to an increase in ECI score. We need to increase exports in a combination of industries in order to truly increase ECI score. Additionally an increase of export in many of the industries lead to slight decreases in ECI. </w:t>
      </w:r>
    </w:p>
    <w:p w:rsidR="00000000" w:rsidDel="00000000" w:rsidP="00000000" w:rsidRDefault="00000000" w:rsidRPr="00000000" w14:paraId="000002A4">
      <w:pPr>
        <w:pageBreakBefore w:val="0"/>
        <w:jc w:val="both"/>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Next we consider Chile’s 2018 Negative Shock chart. We see that Chile is especially sensitive to drawdown in Raw Manufacturing, Weapons, and Chemicals suggesting that these are key industries for the stability of the country’s ECI score. </w:t>
      </w:r>
    </w:p>
    <w:p w:rsidR="00000000" w:rsidDel="00000000" w:rsidP="00000000" w:rsidRDefault="00000000" w:rsidRPr="00000000" w14:paraId="000002A6">
      <w:pPr>
        <w:pageBreakBefore w:val="0"/>
        <w:rPr/>
      </w:pPr>
      <w:r w:rsidDel="00000000" w:rsidR="00000000" w:rsidRPr="00000000">
        <w:rPr>
          <w:rtl w:val="0"/>
        </w:rPr>
      </w:r>
    </w:p>
    <w:p w:rsidR="00000000" w:rsidDel="00000000" w:rsidP="00000000" w:rsidRDefault="00000000" w:rsidRPr="00000000" w14:paraId="000002A7">
      <w:pPr>
        <w:jc w:val="both"/>
        <w:rPr>
          <w:b w:val="1"/>
          <w:bCs w:val="1"/>
        </w:rPr>
      </w:pPr>
      <w:r w:rsidDel="00000000" w:rsidR="00000000" w:rsidRPr="00000000">
        <w:rPr>
          <w:b w:val="1"/>
          <w:bCs w:val="1"/>
        </w:rPr>
        <w:drawing>
          <wp:inline distB="114300" distT="114300" distL="114300" distR="114300">
            <wp:extent cx="5731200" cy="3073400"/>
            <wp:effectExtent b="0" l="0" r="0" t="0"/>
            <wp:docPr id="3" name="image20.jpg"/>
            <a:graphic>
              <a:graphicData uri="http://schemas.openxmlformats.org/drawingml/2006/picture">
                <pic:pic>
                  <pic:nvPicPr>
                    <pic:cNvPr id="0" name="image20.jpg"/>
                    <pic:cNvPicPr preferRelativeResize="0"/>
                  </pic:nvPicPr>
                  <pic:blipFill>
                    <a:blip r:embed="rId31"/>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jc w:val="center"/>
        <w:rPr>
          <w:b w:val="0"/>
          <w:bCs w:val="0"/>
          <w:i w:val="1"/>
          <w:iCs w:val="1"/>
          <w:color w:val="444499"/>
          <w:sz w:val="18"/>
          <w:szCs w:val="18"/>
        </w:rPr>
      </w:pPr>
      <w:r w:rsidDel="00000000" w:rsidR="00000000" w:rsidRPr="00000000">
        <w:rPr>
          <w:sz w:val="22"/>
          <w:szCs w:val="22"/>
          <w:rtl w:val="0"/>
        </w:rPr>
        <w:t xml:space="preserve">Figure 7a. Incremental ECI Sensitivity for </w:t>
      </w:r>
      <w:r w:rsidDel="00000000" w:rsidR="00000000" w:rsidRPr="00000000">
        <w:rPr>
          <w:sz w:val="22"/>
          <w:szCs w:val="22"/>
          <w:rtl w:val="0"/>
        </w:rPr>
        <w:t xml:space="preserve">Chile</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2A9">
      <w:pPr>
        <w:pageBreakBefore w:val="0"/>
        <w:jc w:val="both"/>
        <w:rPr>
          <w:b w:val="1"/>
          <w:bCs w:val="1"/>
        </w:rPr>
      </w:pPr>
      <w:r w:rsidDel="00000000" w:rsidR="00000000" w:rsidRPr="00000000">
        <w:rPr>
          <w:rtl w:val="0"/>
        </w:rPr>
      </w:r>
    </w:p>
    <w:p w:rsidR="00000000" w:rsidDel="00000000" w:rsidP="00000000" w:rsidRDefault="00000000" w:rsidRPr="00000000" w14:paraId="000002AA">
      <w:pPr>
        <w:jc w:val="both"/>
        <w:rPr>
          <w:b w:val="1"/>
          <w:bCs w:val="1"/>
        </w:rPr>
      </w:pPr>
      <w:r w:rsidDel="00000000" w:rsidR="00000000" w:rsidRPr="00000000">
        <w:rPr>
          <w:b w:val="1"/>
          <w:bCs w:val="1"/>
        </w:rPr>
        <w:drawing>
          <wp:inline distB="114300" distT="114300" distL="114300" distR="114300">
            <wp:extent cx="5731200" cy="2908300"/>
            <wp:effectExtent b="0" l="0" r="0" t="0"/>
            <wp:docPr id="21" name="image5.jpg"/>
            <a:graphic>
              <a:graphicData uri="http://schemas.openxmlformats.org/drawingml/2006/picture">
                <pic:pic>
                  <pic:nvPicPr>
                    <pic:cNvPr id="0" name="image5.jpg"/>
                    <pic:cNvPicPr preferRelativeResize="0"/>
                  </pic:nvPicPr>
                  <pic:blipFill>
                    <a:blip r:embed="rId32"/>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jc w:val="center"/>
        <w:rPr>
          <w:b w:val="0"/>
          <w:bCs w:val="0"/>
          <w:i w:val="1"/>
          <w:iCs w:val="1"/>
          <w:color w:val="444499"/>
          <w:sz w:val="20"/>
          <w:szCs w:val="20"/>
        </w:rPr>
      </w:pPr>
      <w:r w:rsidDel="00000000" w:rsidR="00000000" w:rsidRPr="00000000">
        <w:rPr>
          <w:sz w:val="22"/>
          <w:szCs w:val="22"/>
          <w:rtl w:val="0"/>
        </w:rPr>
        <w:t xml:space="preserve">Figure 7b. Decremental ECI Sensitivity for </w:t>
      </w:r>
      <w:r w:rsidDel="00000000" w:rsidR="00000000" w:rsidRPr="00000000">
        <w:rPr>
          <w:sz w:val="22"/>
          <w:szCs w:val="22"/>
          <w:rtl w:val="0"/>
        </w:rPr>
        <w:t xml:space="preserve">Chile</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2AC">
      <w:pPr>
        <w:pageBreakBefore w:val="0"/>
        <w:jc w:val="cente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Next we consider the 2013 ECI Sensitivity graphs. In the positive shocking case we see very similar behaviour as in 2018 although it is quite amplified. We see that increase in export for most industries actually decreases the ECI score. </w:t>
      </w:r>
    </w:p>
    <w:p w:rsidR="00000000" w:rsidDel="00000000" w:rsidP="00000000" w:rsidRDefault="00000000" w:rsidRPr="00000000" w14:paraId="000002AE">
      <w:pPr>
        <w:pageBreakBefore w:val="0"/>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In the negative shocking case we see again Chile is quite sensitive to decreases in Raw Manufacturing and Chemicals, even more so than we see in 2018. Large decreases in Energy, Drilling &amp; Mining seem to increase the ECI score suggesting that this is a suboptimal industry for Chile to expand into.  </w:t>
      </w:r>
    </w:p>
    <w:p w:rsidR="00000000" w:rsidDel="00000000" w:rsidP="00000000" w:rsidRDefault="00000000" w:rsidRPr="00000000" w14:paraId="000002B0">
      <w:pPr>
        <w:pageBreakBefore w:val="0"/>
        <w:rPr>
          <w:b w:val="1"/>
          <w:bCs w:val="1"/>
        </w:rPr>
      </w:pPr>
      <w:r w:rsidDel="00000000" w:rsidR="00000000" w:rsidRPr="00000000">
        <w:rPr>
          <w:b w:val="1"/>
          <w:bCs w:val="1"/>
        </w:rPr>
        <w:drawing>
          <wp:inline distB="114300" distT="114300" distL="114300" distR="114300">
            <wp:extent cx="5731200" cy="2921000"/>
            <wp:effectExtent b="0" l="0" r="0" t="0"/>
            <wp:docPr id="10" name="image10.jpg"/>
            <a:graphic>
              <a:graphicData uri="http://schemas.openxmlformats.org/drawingml/2006/picture">
                <pic:pic>
                  <pic:nvPicPr>
                    <pic:cNvPr id="0" name="image10.jpg"/>
                    <pic:cNvPicPr preferRelativeResize="0"/>
                  </pic:nvPicPr>
                  <pic:blipFill>
                    <a:blip r:embed="rId33"/>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jc w:val="center"/>
        <w:rPr/>
      </w:pPr>
      <w:r w:rsidDel="00000000" w:rsidR="00000000" w:rsidRPr="00000000">
        <w:rPr>
          <w:sz w:val="22"/>
          <w:szCs w:val="22"/>
          <w:rtl w:val="0"/>
        </w:rPr>
        <w:t xml:space="preserve">Figure 8a. Incremental ECI Sensitivity for </w:t>
      </w:r>
      <w:r w:rsidDel="00000000" w:rsidR="00000000" w:rsidRPr="00000000">
        <w:rPr>
          <w:sz w:val="22"/>
          <w:szCs w:val="22"/>
          <w:rtl w:val="0"/>
        </w:rPr>
        <w:t xml:space="preserve">Chile</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2B2">
      <w:pPr>
        <w:pageBreakBefore w:val="0"/>
        <w:jc w:val="center"/>
        <w:rPr/>
      </w:pPr>
      <w:r w:rsidDel="00000000" w:rsidR="00000000" w:rsidRPr="00000000">
        <w:rPr>
          <w:rtl w:val="0"/>
        </w:rPr>
      </w:r>
    </w:p>
    <w:p w:rsidR="00000000" w:rsidDel="00000000" w:rsidP="00000000" w:rsidRDefault="00000000" w:rsidRPr="00000000" w14:paraId="000002B3">
      <w:pPr>
        <w:jc w:val="both"/>
        <w:rPr>
          <w:b w:val="1"/>
          <w:bCs w:val="1"/>
        </w:rPr>
      </w:pPr>
      <w:r w:rsidDel="00000000" w:rsidR="00000000" w:rsidRPr="00000000">
        <w:rPr>
          <w:b w:val="1"/>
          <w:bCs w:val="1"/>
        </w:rPr>
        <w:drawing>
          <wp:inline distB="114300" distT="114300" distL="114300" distR="114300">
            <wp:extent cx="5731200" cy="2971800"/>
            <wp:effectExtent b="0" l="0" r="0" t="0"/>
            <wp:docPr id="6" name="image12.jpg"/>
            <a:graphic>
              <a:graphicData uri="http://schemas.openxmlformats.org/drawingml/2006/picture">
                <pic:pic>
                  <pic:nvPicPr>
                    <pic:cNvPr id="0" name="image12.jpg"/>
                    <pic:cNvPicPr preferRelativeResize="0"/>
                  </pic:nvPicPr>
                  <pic:blipFill>
                    <a:blip r:embed="rId34"/>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jc w:val="center"/>
        <w:rPr>
          <w:sz w:val="22"/>
          <w:szCs w:val="22"/>
        </w:rPr>
      </w:pPr>
      <w:r w:rsidDel="00000000" w:rsidR="00000000" w:rsidRPr="00000000">
        <w:rPr>
          <w:sz w:val="22"/>
          <w:szCs w:val="22"/>
          <w:rtl w:val="0"/>
        </w:rPr>
        <w:t xml:space="preserve">Figure 8b. Decremental ECI Sensitivity for </w:t>
      </w:r>
      <w:r w:rsidDel="00000000" w:rsidR="00000000" w:rsidRPr="00000000">
        <w:rPr>
          <w:sz w:val="22"/>
          <w:szCs w:val="22"/>
          <w:rtl w:val="0"/>
        </w:rPr>
        <w:t xml:space="preserve">Chile</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2B5">
      <w:pPr>
        <w:pageBreakBefore w:val="0"/>
        <w:jc w:val="both"/>
        <w:rPr/>
      </w:pPr>
      <w:r w:rsidDel="00000000" w:rsidR="00000000" w:rsidRPr="00000000">
        <w:rPr>
          <w:rtl w:val="0"/>
        </w:rPr>
      </w:r>
    </w:p>
    <w:p w:rsidR="00000000" w:rsidDel="00000000" w:rsidP="00000000" w:rsidRDefault="00000000" w:rsidRPr="00000000" w14:paraId="000002B6">
      <w:pPr>
        <w:pageBreakBefore w:val="0"/>
        <w:jc w:val="both"/>
        <w:rPr/>
      </w:pPr>
      <w:r w:rsidDel="00000000" w:rsidR="00000000" w:rsidRPr="00000000">
        <w:rPr>
          <w:rtl w:val="0"/>
        </w:rPr>
      </w:r>
    </w:p>
    <w:p w:rsidR="00000000" w:rsidDel="00000000" w:rsidP="00000000" w:rsidRDefault="00000000" w:rsidRPr="00000000" w14:paraId="000002B7">
      <w:pPr>
        <w:pageBreakBefore w:val="0"/>
        <w:jc w:val="both"/>
        <w:rPr>
          <w:b w:val="1"/>
          <w:bCs w:val="1"/>
        </w:rPr>
      </w:pPr>
      <w:r w:rsidDel="00000000" w:rsidR="00000000" w:rsidRPr="00000000">
        <w:rPr>
          <w:b w:val="1"/>
          <w:bCs w:val="1"/>
          <w:rtl w:val="0"/>
        </w:rPr>
        <w:t xml:space="preserve">4.4 Contingency Strategy</w:t>
      </w:r>
    </w:p>
    <w:p w:rsidR="00000000" w:rsidDel="00000000" w:rsidP="00000000" w:rsidRDefault="00000000" w:rsidRPr="00000000" w14:paraId="000002B8">
      <w:pPr>
        <w:pageBreakBefore w:val="0"/>
        <w:jc w:val="both"/>
        <w:rPr/>
      </w:pPr>
      <w:r w:rsidDel="00000000" w:rsidR="00000000" w:rsidRPr="00000000">
        <w:rPr>
          <w:rtl w:val="0"/>
        </w:rPr>
        <w:t xml:space="preserve">Decreasing export of each industry in </w:t>
      </w:r>
      <w:r w:rsidDel="00000000" w:rsidR="00000000" w:rsidRPr="00000000">
        <w:rPr>
          <w:rtl w:val="0"/>
        </w:rPr>
        <w:t xml:space="preserve">Chile</w:t>
      </w:r>
      <w:r w:rsidDel="00000000" w:rsidR="00000000" w:rsidRPr="00000000">
        <w:rPr>
          <w:rtl w:val="0"/>
        </w:rPr>
        <w:t xml:space="preserve">’s current production space by 60% respectively, we derive the contingency strategy shown below.  </w:t>
      </w:r>
    </w:p>
    <w:p w:rsidR="00000000" w:rsidDel="00000000" w:rsidP="00000000" w:rsidRDefault="00000000" w:rsidRPr="00000000" w14:paraId="000002B9">
      <w:pPr>
        <w:pageBreakBefore w:val="0"/>
        <w:jc w:val="both"/>
        <w:rPr/>
      </w:pPr>
      <w:r w:rsidDel="00000000" w:rsidR="00000000" w:rsidRPr="00000000">
        <w:rPr>
          <w:rtl w:val="0"/>
        </w:rPr>
      </w:r>
    </w:p>
    <w:p w:rsidR="00000000" w:rsidDel="00000000" w:rsidP="00000000" w:rsidRDefault="00000000" w:rsidRPr="00000000" w14:paraId="000002BA">
      <w:pPr>
        <w:jc w:val="center"/>
        <w:rPr>
          <w:b w:val="1"/>
          <w:bCs w:val="1"/>
          <w:sz w:val="28"/>
          <w:szCs w:val="28"/>
        </w:rPr>
      </w:pPr>
      <w:r w:rsidDel="00000000" w:rsidR="00000000" w:rsidRPr="00000000">
        <w:rPr>
          <w:b w:val="1"/>
          <w:bCs w:val="1"/>
          <w:sz w:val="28"/>
          <w:szCs w:val="28"/>
        </w:rPr>
        <w:drawing>
          <wp:inline distB="114300" distT="114300" distL="114300" distR="114300">
            <wp:extent cx="5208588" cy="2757488"/>
            <wp:effectExtent b="0" l="0" r="0" t="0"/>
            <wp:docPr id="23" name="image16.jpg"/>
            <a:graphic>
              <a:graphicData uri="http://schemas.openxmlformats.org/drawingml/2006/picture">
                <pic:pic>
                  <pic:nvPicPr>
                    <pic:cNvPr id="0" name="image16.jpg"/>
                    <pic:cNvPicPr preferRelativeResize="0"/>
                  </pic:nvPicPr>
                  <pic:blipFill>
                    <a:blip r:embed="rId35"/>
                    <a:srcRect b="0" l="0" r="0" t="0"/>
                    <a:stretch>
                      <a:fillRect/>
                    </a:stretch>
                  </pic:blipFill>
                  <pic:spPr>
                    <a:xfrm>
                      <a:off x="0" y="0"/>
                      <a:ext cx="5208588" cy="2757488"/>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pageBreakBefore w:val="0"/>
        <w:jc w:val="center"/>
        <w:rPr>
          <w:sz w:val="22"/>
          <w:szCs w:val="22"/>
        </w:rPr>
      </w:pPr>
      <w:r w:rsidDel="00000000" w:rsidR="00000000" w:rsidRPr="00000000">
        <w:rPr>
          <w:sz w:val="22"/>
          <w:szCs w:val="22"/>
          <w:rtl w:val="0"/>
        </w:rPr>
        <w:t xml:space="preserve">Table 13. </w:t>
      </w:r>
      <w:r w:rsidDel="00000000" w:rsidR="00000000" w:rsidRPr="00000000">
        <w:rPr>
          <w:sz w:val="22"/>
          <w:szCs w:val="22"/>
          <w:rtl w:val="0"/>
        </w:rPr>
        <w:t xml:space="preserve">Chile</w:t>
      </w:r>
      <w:r w:rsidDel="00000000" w:rsidR="00000000" w:rsidRPr="00000000">
        <w:rPr>
          <w:sz w:val="22"/>
          <w:szCs w:val="22"/>
          <w:rtl w:val="0"/>
        </w:rPr>
        <w:t xml:space="preserve">’s Contingency Strategy (2018)</w:t>
      </w:r>
    </w:p>
    <w:p w:rsidR="00000000" w:rsidDel="00000000" w:rsidP="00000000" w:rsidRDefault="00000000" w:rsidRPr="00000000" w14:paraId="000002BC">
      <w:pPr>
        <w:jc w:val="left"/>
        <w:rPr/>
      </w:pPr>
      <w:r w:rsidDel="00000000" w:rsidR="00000000" w:rsidRPr="00000000">
        <w:rPr>
          <w:rtl w:val="0"/>
        </w:rPr>
      </w:r>
    </w:p>
    <w:p w:rsidR="00000000" w:rsidDel="00000000" w:rsidP="00000000" w:rsidRDefault="00000000" w:rsidRPr="00000000" w14:paraId="000002BD">
      <w:pPr>
        <w:pageBreakBefore w:val="0"/>
        <w:jc w:val="center"/>
        <w:rPr>
          <w:sz w:val="28"/>
          <w:szCs w:val="28"/>
        </w:rPr>
      </w:pPr>
      <w:r w:rsidDel="00000000" w:rsidR="00000000" w:rsidRPr="00000000">
        <w:rPr>
          <w:rtl w:val="0"/>
        </w:rPr>
      </w:r>
    </w:p>
    <w:p w:rsidR="00000000" w:rsidDel="00000000" w:rsidP="00000000" w:rsidRDefault="00000000" w:rsidRPr="00000000" w14:paraId="000002BE">
      <w:pPr>
        <w:pageBreakBefore w:val="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BF">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2C0">
      <w:pPr>
        <w:pageBreakBefore w:val="0"/>
        <w:jc w:val="both"/>
        <w:rPr>
          <w:b w:val="1"/>
          <w:bCs w:val="1"/>
        </w:rPr>
      </w:pPr>
      <w:r w:rsidDel="00000000" w:rsidR="00000000" w:rsidRPr="00000000">
        <w:rPr>
          <w:rtl w:val="0"/>
        </w:rPr>
      </w:r>
    </w:p>
    <w:p w:rsidR="00000000" w:rsidDel="00000000" w:rsidP="00000000" w:rsidRDefault="00000000" w:rsidRPr="00000000" w14:paraId="000002C1">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2C2">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2C3">
      <w:pPr>
        <w:pageBreakBefore w:val="0"/>
        <w:jc w:val="both"/>
        <w:rPr/>
      </w:pPr>
      <w:r w:rsidDel="00000000" w:rsidR="00000000" w:rsidRPr="00000000">
        <w:rPr>
          <w:rtl w:val="0"/>
        </w:rPr>
      </w:r>
    </w:p>
    <w:p w:rsidR="00000000" w:rsidDel="00000000" w:rsidP="00000000" w:rsidRDefault="00000000" w:rsidRPr="00000000" w14:paraId="000002C4">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w:t>
      </w:r>
      <w:r w:rsidDel="00000000" w:rsidR="00000000" w:rsidRPr="00000000">
        <w:rPr>
          <w:rtl w:val="0"/>
        </w:rPr>
        <w:t xml:space="preserve">[Percentage]</w:t>
      </w:r>
      <w:r w:rsidDel="00000000" w:rsidR="00000000" w:rsidRPr="00000000">
        <w:rPr>
          <w:rtl w:val="0"/>
        </w:rPr>
        <w:t xml:space="preserve">%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2C5">
      <w:pPr>
        <w:pageBreakBefore w:val="0"/>
        <w:jc w:val="both"/>
        <w:rPr/>
      </w:pPr>
      <w:r w:rsidDel="00000000" w:rsidR="00000000" w:rsidRPr="00000000">
        <w:rPr>
          <w:rtl w:val="0"/>
        </w:rPr>
      </w:r>
    </w:p>
    <w:tbl>
      <w:tblPr>
        <w:tblStyle w:val="Table13"/>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2C6">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2C8">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2C9">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5.963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2CA">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0.054</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2CB">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0.0163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2CC">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0.045</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2CD">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2CE">
      <w:pPr>
        <w:pageBreakBefore w:val="0"/>
        <w:jc w:val="left"/>
        <w:rPr/>
      </w:pPr>
      <w:r w:rsidDel="00000000" w:rsidR="00000000" w:rsidRPr="00000000">
        <w:rPr>
          <w:rtl w:val="0"/>
        </w:rPr>
      </w:r>
    </w:p>
    <w:p w:rsidR="00000000" w:rsidDel="00000000" w:rsidP="00000000" w:rsidRDefault="00000000" w:rsidRPr="00000000" w14:paraId="000002CF">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619125</wp:posOffset>
            </wp:positionH>
            <wp:positionV relativeFrom="paragraph">
              <wp:posOffset>38100</wp:posOffset>
            </wp:positionV>
            <wp:extent cx="4520925" cy="3005138"/>
            <wp:effectExtent b="0" l="0" r="0" t="0"/>
            <wp:wrapTopAndBottom distB="0" distT="0"/>
            <wp:docPr id="28"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4520925" cy="3005138"/>
                    </a:xfrm>
                    <a:prstGeom prst="rect"/>
                    <a:ln/>
                  </pic:spPr>
                </pic:pic>
              </a:graphicData>
            </a:graphic>
          </wp:anchor>
        </w:drawing>
      </w:r>
    </w:p>
    <w:p w:rsidR="00000000" w:rsidDel="00000000" w:rsidP="00000000" w:rsidRDefault="00000000" w:rsidRPr="00000000" w14:paraId="000002D0">
      <w:pPr>
        <w:pageBreakBefore w:val="0"/>
        <w:jc w:val="both"/>
        <w:rPr/>
      </w:pPr>
      <w:r w:rsidDel="00000000" w:rsidR="00000000" w:rsidRPr="00000000">
        <w:rPr>
          <w:rtl w:val="0"/>
        </w:rPr>
      </w:r>
    </w:p>
    <w:p w:rsidR="00000000" w:rsidDel="00000000" w:rsidP="00000000" w:rsidRDefault="00000000" w:rsidRPr="00000000" w14:paraId="000002D1">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Chile</w:t>
      </w:r>
      <w:r w:rsidDel="00000000" w:rsidR="00000000" w:rsidRPr="00000000">
        <w:rPr>
          <w:b w:val="1"/>
          <w:bCs w:val="1"/>
          <w:rtl w:val="0"/>
        </w:rPr>
        <w:t xml:space="preserve"> and Its Implications</w:t>
      </w:r>
    </w:p>
    <w:p w:rsidR="00000000" w:rsidDel="00000000" w:rsidP="00000000" w:rsidRDefault="00000000" w:rsidRPr="00000000" w14:paraId="000002D2">
      <w:pPr>
        <w:pageBreakBefore w:val="0"/>
        <w:jc w:val="both"/>
        <w:rPr/>
      </w:pPr>
      <w:r w:rsidDel="00000000" w:rsidR="00000000" w:rsidRPr="00000000">
        <w:rPr>
          <w:rtl w:val="0"/>
        </w:rPr>
        <w:t xml:space="preserve">During the first examined period, </w:t>
      </w:r>
      <w:r w:rsidDel="00000000" w:rsidR="00000000" w:rsidRPr="00000000">
        <w:rPr>
          <w:rtl w:val="0"/>
        </w:rPr>
        <w:t xml:space="preserve">Chile</w:t>
      </w:r>
      <w:r w:rsidDel="00000000" w:rsidR="00000000" w:rsidRPr="00000000">
        <w:rPr>
          <w:rtl w:val="0"/>
        </w:rPr>
        <w:t xml:space="preserve">, for instance, has an average level of structural optimality as compared with its developed peers. As the regression in Figure 10a suggests (the red curve represents export increase and the blue curve stands for opportunity gain of the corresponding industry), </w:t>
      </w:r>
      <w:r w:rsidDel="00000000" w:rsidR="00000000" w:rsidRPr="00000000">
        <w:rPr>
          <w:rtl w:val="0"/>
        </w:rPr>
        <w:t xml:space="preserve">Chile</w:t>
      </w:r>
      <w:r w:rsidDel="00000000" w:rsidR="00000000" w:rsidRPr="00000000">
        <w:rPr>
          <w:rtl w:val="0"/>
        </w:rPr>
        <w:t xml:space="preserve"> demonstrates an average level of correlation with the suggested developmental path, having an adjusted R-square of around 3.34%</w:t>
      </w:r>
    </w:p>
    <w:p w:rsidR="00000000" w:rsidDel="00000000" w:rsidP="00000000" w:rsidRDefault="00000000" w:rsidRPr="00000000" w14:paraId="000002D3">
      <w:pPr>
        <w:pageBreakBefore w:val="0"/>
        <w:jc w:val="both"/>
        <w:rPr/>
      </w:pPr>
      <w:r w:rsidDel="00000000" w:rsidR="00000000" w:rsidRPr="00000000">
        <w:rPr>
          <w:rtl w:val="0"/>
        </w:rPr>
      </w:r>
    </w:p>
    <w:p w:rsidR="00000000" w:rsidDel="00000000" w:rsidP="00000000" w:rsidRDefault="00000000" w:rsidRPr="00000000" w14:paraId="000002D4">
      <w:pPr>
        <w:pageBreakBefore w:val="0"/>
        <w:jc w:val="both"/>
        <w:rPr/>
      </w:pPr>
      <w:r w:rsidDel="00000000" w:rsidR="00000000" w:rsidRPr="00000000">
        <w:rPr>
          <w:rtl w:val="0"/>
        </w:rPr>
        <w:t xml:space="preserve">Chile</w:t>
      </w:r>
      <w:r w:rsidDel="00000000" w:rsidR="00000000" w:rsidRPr="00000000">
        <w:rPr>
          <w:rtl w:val="0"/>
        </w:rPr>
        <w:t xml:space="preserve"> ranks in the second quartile among all countries in terms of SOI and has made a average rate of economic progress among its emerging peers from 2013 to 2018 with a</w:t>
      </w:r>
      <w:r w:rsidDel="00000000" w:rsidR="00000000" w:rsidRPr="00000000">
        <w:rPr>
          <w:rtl w:val="0"/>
        </w:rPr>
        <w:t xml:space="preserve"> 5-year GDP growth rate of</w:t>
      </w:r>
      <w:r w:rsidDel="00000000" w:rsidR="00000000" w:rsidRPr="00000000">
        <w:rPr>
          <w:rtl w:val="0"/>
        </w:rPr>
        <w:t xml:space="preserve"> 19.8%, which is consistent with the regression result in Figure 4b. This is in direct contrast to emerging economies such as Turkey, where there is a high SOI of around 21.8% and corresponding GDP growth of 37.7% from 2013 to 2018, making it one of the fastest developing economies during the period. </w:t>
      </w:r>
    </w:p>
    <w:p w:rsidR="00000000" w:rsidDel="00000000" w:rsidP="00000000" w:rsidRDefault="00000000" w:rsidRPr="00000000" w14:paraId="000002D5">
      <w:pPr>
        <w:pageBreakBefore w:val="0"/>
        <w:jc w:val="both"/>
        <w:rPr/>
      </w:pPr>
      <w:r w:rsidDel="00000000" w:rsidR="00000000" w:rsidRPr="00000000">
        <w:rPr>
          <w:rtl w:val="0"/>
        </w:rPr>
      </w:r>
    </w:p>
    <w:p w:rsidR="00000000" w:rsidDel="00000000" w:rsidP="00000000" w:rsidRDefault="00000000" w:rsidRPr="00000000" w14:paraId="000002D6">
      <w:pPr>
        <w:pageBreakBefore w:val="0"/>
        <w:jc w:val="both"/>
        <w:rPr/>
      </w:pPr>
      <w:r w:rsidDel="00000000" w:rsidR="00000000" w:rsidRPr="00000000">
        <w:rPr>
          <w:rtl w:val="0"/>
        </w:rPr>
        <w:t xml:space="preserve">Specifically, </w:t>
      </w:r>
      <w:r w:rsidDel="00000000" w:rsidR="00000000" w:rsidRPr="00000000">
        <w:rPr>
          <w:rtl w:val="0"/>
        </w:rPr>
        <w:t xml:space="preserve">Chile</w:t>
      </w:r>
      <w:r w:rsidDel="00000000" w:rsidR="00000000" w:rsidRPr="00000000">
        <w:rPr>
          <w:rtl w:val="0"/>
        </w:rPr>
        <w:t xml:space="preserve">'s moderate economic progress from 2013 to 2018 can be at least partially explained by a development strategy that demonstrates a considerable but not perfect level of matches with our suggested developmental path. In specific, </w:t>
      </w:r>
      <w:r w:rsidDel="00000000" w:rsidR="00000000" w:rsidRPr="00000000">
        <w:rPr>
          <w:rtl w:val="0"/>
        </w:rPr>
        <w:t xml:space="preserve">Chile</w:t>
      </w:r>
      <w:r w:rsidDel="00000000" w:rsidR="00000000" w:rsidRPr="00000000">
        <w:rPr>
          <w:rtl w:val="0"/>
        </w:rPr>
        <w:t xml:space="preserve"> invested heavily in the Services and Utilities industry, while it should have focused more on moderately complex industry groups such as Precious Stones industry. </w:t>
      </w:r>
    </w:p>
    <w:p w:rsidR="00000000" w:rsidDel="00000000" w:rsidP="00000000" w:rsidRDefault="00000000" w:rsidRPr="00000000" w14:paraId="000002D7">
      <w:pPr>
        <w:pageBreakBefore w:val="0"/>
        <w:jc w:val="both"/>
        <w:rPr/>
      </w:pPr>
      <w:r w:rsidDel="00000000" w:rsidR="00000000" w:rsidRPr="00000000">
        <w:rPr>
          <w:rtl w:val="0"/>
        </w:rPr>
      </w:r>
    </w:p>
    <w:p w:rsidR="00000000" w:rsidDel="00000000" w:rsidP="00000000" w:rsidRDefault="00000000" w:rsidRPr="00000000" w14:paraId="000002D8">
      <w:pPr>
        <w:jc w:val="both"/>
        <w:rPr/>
      </w:pPr>
      <w:r w:rsidDel="00000000" w:rsidR="00000000" w:rsidRPr="00000000">
        <w:rPr/>
        <w:drawing>
          <wp:inline distB="114300" distT="114300" distL="114300" distR="114300">
            <wp:extent cx="5731200" cy="2133600"/>
            <wp:effectExtent b="0" l="0" r="0" t="0"/>
            <wp:docPr id="5"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jc w:val="center"/>
        <w:rPr>
          <w:sz w:val="22"/>
          <w:szCs w:val="22"/>
        </w:rPr>
      </w:pPr>
      <w:r w:rsidDel="00000000" w:rsidR="00000000" w:rsidRPr="00000000">
        <w:rPr>
          <w:sz w:val="22"/>
          <w:szCs w:val="22"/>
          <w:rtl w:val="0"/>
        </w:rPr>
        <w:t xml:space="preserve">Figure 10a. SOI of </w:t>
      </w:r>
      <w:r w:rsidDel="00000000" w:rsidR="00000000" w:rsidRPr="00000000">
        <w:rPr>
          <w:sz w:val="22"/>
          <w:szCs w:val="22"/>
          <w:rtl w:val="0"/>
        </w:rPr>
        <w:t xml:space="preserve">Chile</w:t>
      </w:r>
      <w:r w:rsidDel="00000000" w:rsidR="00000000" w:rsidRPr="00000000">
        <w:rPr>
          <w:sz w:val="22"/>
          <w:szCs w:val="22"/>
          <w:rtl w:val="0"/>
        </w:rPr>
        <w:t xml:space="preserve"> (2013-2018)</w:t>
      </w:r>
    </w:p>
    <w:p w:rsidR="00000000" w:rsidDel="00000000" w:rsidP="00000000" w:rsidRDefault="00000000" w:rsidRPr="00000000" w14:paraId="000002DA">
      <w:pPr>
        <w:jc w:val="center"/>
        <w:rPr>
          <w:sz w:val="22"/>
          <w:szCs w:val="22"/>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For the 2019-2022 years, </w:t>
      </w:r>
      <w:r w:rsidDel="00000000" w:rsidR="00000000" w:rsidRPr="00000000">
        <w:rPr>
          <w:rtl w:val="0"/>
        </w:rPr>
        <w:t xml:space="preserve">Chile</w:t>
      </w:r>
      <w:r w:rsidDel="00000000" w:rsidR="00000000" w:rsidRPr="00000000">
        <w:rPr>
          <w:rtl w:val="0"/>
        </w:rPr>
        <w:t xml:space="preserve"> had a strong presence in the Precious Stones and Machinery and Construction industries, which is partially aligned with our previously recommended development strategy. We attribute Chile’s small GDP growth and significant ECI growth to this alignment. In the future, Chile should continue to invest in Machinery and Construction because it demonstrates high opportunity gain. It should take a more conservative approach to Precious Stones; while it has previously been a rewarding industry, it now has lower opportunity gain. Additionally, in the budget allocation section of this report, we also saw that Precious Stones played a progressively smaller role with each increase in export growth. Chile should also consider other moderately complex industries with high opportunity gains, such as Daily Instruments, to improve its growth.</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Higher than before, its adjusted R-squared value of 11.28% now indicates a high correlation between the GDP growth and the implemented development path. Progress is slow on a global scale during this period, but </w:t>
      </w:r>
      <w:r w:rsidDel="00000000" w:rsidR="00000000" w:rsidRPr="00000000">
        <w:rPr>
          <w:rtl w:val="0"/>
        </w:rPr>
        <w:t xml:space="preserve">Chile</w:t>
      </w:r>
      <w:r w:rsidDel="00000000" w:rsidR="00000000" w:rsidRPr="00000000">
        <w:rPr>
          <w:rtl w:val="0"/>
        </w:rPr>
        <w:t xml:space="preserve"> demonstrates a greater ability to adjust to negative economic shocks by improving SOI and increasing GDP growth than it did between 2013 and 2018.</w:t>
      </w: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jc w:val="center"/>
        <w:rPr/>
      </w:pPr>
      <w:r w:rsidDel="00000000" w:rsidR="00000000" w:rsidRPr="00000000">
        <w:rPr/>
        <w:drawing>
          <wp:inline distB="114300" distT="114300" distL="114300" distR="114300">
            <wp:extent cx="5731200" cy="2298700"/>
            <wp:effectExtent b="0" l="0" r="0" t="0"/>
            <wp:docPr id="7"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jc w:val="center"/>
        <w:rPr>
          <w:sz w:val="22"/>
          <w:szCs w:val="22"/>
        </w:rPr>
      </w:pPr>
      <w:r w:rsidDel="00000000" w:rsidR="00000000" w:rsidRPr="00000000">
        <w:rPr>
          <w:sz w:val="22"/>
          <w:szCs w:val="22"/>
          <w:rtl w:val="0"/>
        </w:rPr>
        <w:t xml:space="preserve">Figure 10b. SOI of </w:t>
      </w:r>
      <w:r w:rsidDel="00000000" w:rsidR="00000000" w:rsidRPr="00000000">
        <w:rPr>
          <w:sz w:val="22"/>
          <w:szCs w:val="22"/>
          <w:rtl w:val="0"/>
        </w:rPr>
        <w:t xml:space="preserve">Chile</w:t>
      </w:r>
      <w:r w:rsidDel="00000000" w:rsidR="00000000" w:rsidRPr="00000000">
        <w:rPr>
          <w:sz w:val="22"/>
          <w:szCs w:val="22"/>
          <w:rtl w:val="0"/>
        </w:rPr>
        <w:t xml:space="preserve"> (2019-2022)</w:t>
      </w:r>
    </w:p>
    <w:p w:rsidR="00000000" w:rsidDel="00000000" w:rsidP="00000000" w:rsidRDefault="00000000" w:rsidRPr="00000000" w14:paraId="000002E2">
      <w:pPr>
        <w:pageBreakBefore w:val="0"/>
        <w:jc w:val="both"/>
        <w:rPr>
          <w:b w:val="1"/>
          <w:bCs w:val="1"/>
        </w:rPr>
      </w:pPr>
      <w:r w:rsidDel="00000000" w:rsidR="00000000" w:rsidRPr="00000000">
        <w:rPr>
          <w:rtl w:val="0"/>
        </w:rPr>
      </w:r>
    </w:p>
    <w:p w:rsidR="00000000" w:rsidDel="00000000" w:rsidP="00000000" w:rsidRDefault="00000000" w:rsidRPr="00000000" w14:paraId="000002E3">
      <w:pPr>
        <w:pageBreakBefore w:val="0"/>
        <w:jc w:val="both"/>
        <w:rPr>
          <w:b w:val="1"/>
          <w:bCs w:val="1"/>
        </w:rPr>
      </w:pPr>
      <w:r w:rsidDel="00000000" w:rsidR="00000000" w:rsidRPr="00000000">
        <w:rPr>
          <w:rtl w:val="0"/>
        </w:rPr>
      </w:r>
    </w:p>
    <w:p w:rsidR="00000000" w:rsidDel="00000000" w:rsidP="00000000" w:rsidRDefault="00000000" w:rsidRPr="00000000" w14:paraId="000002E4">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E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2E6">
      <w:pPr>
        <w:pageBreakBefore w:val="0"/>
        <w:jc w:val="both"/>
        <w:rPr/>
      </w:pPr>
      <w:r w:rsidDel="00000000" w:rsidR="00000000" w:rsidRPr="00000000">
        <w:rPr>
          <w:rtl w:val="0"/>
        </w:rPr>
      </w:r>
    </w:p>
    <w:p w:rsidR="00000000" w:rsidDel="00000000" w:rsidP="00000000" w:rsidRDefault="00000000" w:rsidRPr="00000000" w14:paraId="000002E7">
      <w:pPr>
        <w:jc w:val="both"/>
        <w:rPr/>
      </w:pPr>
      <w:r w:rsidDel="00000000" w:rsidR="00000000" w:rsidRPr="00000000">
        <w:rPr>
          <w:rtl w:val="0"/>
        </w:rPr>
        <w:t xml:space="preserve">In conclusion, Chile has demonstrated a moderate level of economic growth in terms of annual GDP increase during the period from 2013 to 2018, concurrent with an increase in economic complexity as compared with other emerging economies. </w:t>
      </w:r>
      <w:r w:rsidDel="00000000" w:rsidR="00000000" w:rsidRPr="00000000">
        <w:rPr>
          <w:rtl w:val="0"/>
        </w:rPr>
        <w:t xml:space="preserve">For 2019-2021, the growth in GDP has increased alongside a large boost in ECI, </w:t>
      </w:r>
      <w:r w:rsidDel="00000000" w:rsidR="00000000" w:rsidRPr="00000000">
        <w:rPr>
          <w:rtl w:val="0"/>
        </w:rPr>
        <w:t xml:space="preserve">in line with its comparable countries and higher than some of the leading economies in the world</w:t>
      </w:r>
      <w:r w:rsidDel="00000000" w:rsidR="00000000" w:rsidRPr="00000000">
        <w:rPr>
          <w:rtl w:val="0"/>
        </w:rPr>
        <w:t xml:space="preserve">.</w:t>
      </w:r>
    </w:p>
    <w:p w:rsidR="00000000" w:rsidDel="00000000" w:rsidP="00000000" w:rsidRDefault="00000000" w:rsidRPr="00000000" w14:paraId="000002E8">
      <w:pPr>
        <w:pageBreakBefore w:val="0"/>
        <w:jc w:val="both"/>
        <w:rPr/>
      </w:pPr>
      <w:r w:rsidDel="00000000" w:rsidR="00000000" w:rsidRPr="00000000">
        <w:rPr>
          <w:rtl w:val="0"/>
        </w:rPr>
      </w:r>
    </w:p>
    <w:p w:rsidR="00000000" w:rsidDel="00000000" w:rsidP="00000000" w:rsidRDefault="00000000" w:rsidRPr="00000000" w14:paraId="000002E9">
      <w:pPr>
        <w:jc w:val="both"/>
        <w:rPr/>
      </w:pPr>
      <w:r w:rsidDel="00000000" w:rsidR="00000000" w:rsidRPr="00000000">
        <w:rPr>
          <w:rtl w:val="0"/>
        </w:rPr>
        <w:t xml:space="preserve">The mixed progress during the first period, we believe, can be partially explained through the analysis of the economic and product complexity structure of Chile on the industry group level. The product classification system we adopt allows us to measure the realized industry development for various industry groups and to observe that Chile consistently relied on developing the Services and Utilities and Transportation industries in 2013 to 2018, while its developed counterparts and emerging economies around the globe adopted much more complex and progressive paths. </w:t>
      </w:r>
    </w:p>
    <w:p w:rsidR="00000000" w:rsidDel="00000000" w:rsidP="00000000" w:rsidRDefault="00000000" w:rsidRPr="00000000" w14:paraId="000002EA">
      <w:pPr>
        <w:pageBreakBefore w:val="0"/>
        <w:jc w:val="both"/>
        <w:rPr/>
      </w:pPr>
      <w:r w:rsidDel="00000000" w:rsidR="00000000" w:rsidRPr="00000000">
        <w:rPr>
          <w:rtl w:val="0"/>
        </w:rPr>
      </w:r>
    </w:p>
    <w:p w:rsidR="00000000" w:rsidDel="00000000" w:rsidP="00000000" w:rsidRDefault="00000000" w:rsidRPr="00000000" w14:paraId="000002EB">
      <w:pPr>
        <w:jc w:val="both"/>
        <w:rPr/>
      </w:pPr>
      <w:r w:rsidDel="00000000" w:rsidR="00000000" w:rsidRPr="00000000">
        <w:rPr>
          <w:rtl w:val="0"/>
        </w:rPr>
        <w:t xml:space="preserve">Based on our analysis of the opportunity gain and a sensitivity analysis of major industry groups for 2013-2018, Chile can further its gains by prioritizing a combination of sectors, most notably Services and Utilities and Chemical Manufacturing and Precious Stones. We further note that Chile has a slightly mismatched development strategy that indicates an average (compared to other emerging economies) level of structural optimality on the complexity level, having an adjusted R-square of around 3.34%. Since a significant positive correlation exists between five-year GDP growth and the structural optimality index of an economy as we define and calculate, Chile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2EC">
      <w:pPr>
        <w:pageBreakBefore w:val="0"/>
        <w:jc w:val="both"/>
        <w:rPr/>
      </w:pPr>
      <w:r w:rsidDel="00000000" w:rsidR="00000000" w:rsidRPr="00000000">
        <w:rPr>
          <w:rtl w:val="0"/>
        </w:rPr>
      </w:r>
    </w:p>
    <w:p w:rsidR="00000000" w:rsidDel="00000000" w:rsidP="00000000" w:rsidRDefault="00000000" w:rsidRPr="00000000" w14:paraId="000002ED">
      <w:pPr>
        <w:jc w:val="both"/>
        <w:rPr/>
      </w:pPr>
      <w:r w:rsidDel="00000000" w:rsidR="00000000" w:rsidRPr="00000000">
        <w:rPr>
          <w:rtl w:val="0"/>
        </w:rPr>
        <w:t xml:space="preserve">During the second examined period from 2019 to 2021, </w:t>
      </w:r>
      <w:r w:rsidDel="00000000" w:rsidR="00000000" w:rsidRPr="00000000">
        <w:rPr>
          <w:rtl w:val="0"/>
        </w:rPr>
        <w:t xml:space="preserve">Chile</w:t>
      </w:r>
      <w:r w:rsidDel="00000000" w:rsidR="00000000" w:rsidRPr="00000000">
        <w:rPr>
          <w:rtl w:val="0"/>
        </w:rPr>
        <w:t xml:space="preserve"> performed stronger than before and compared to other countries, particularly Bolivia and Peru. We infer that during the  COVID-19 period, Chile focused on developing a mix of moderately complex industries with its fiscal stimulus package. We also note that </w:t>
      </w:r>
      <w:r w:rsidDel="00000000" w:rsidR="00000000" w:rsidRPr="00000000">
        <w:rPr>
          <w:rtl w:val="0"/>
        </w:rPr>
        <w:t xml:space="preserve">Chile</w:t>
      </w:r>
      <w:r w:rsidDel="00000000" w:rsidR="00000000" w:rsidRPr="00000000">
        <w:rPr>
          <w:rtl w:val="0"/>
        </w:rPr>
        <w:t xml:space="preserve"> has increased its investment in the sectors identified earlier, leading to a strong boost from Precious Stones, but still leaving some room for additional strategic improvement. The opportunity gain in the SOI suggests that greater growth could have been achieved through Machinery and Construction, while the budget allocation suggests that slow or moderate growth can be maximized by continued investments in Precious Stones. The surprising growth also increased the adjusted R-squared value to 11.28% in 2021 from 3.34% in 2018, demonstrating the pursued strategies </w:t>
      </w:r>
      <w:r w:rsidDel="00000000" w:rsidR="00000000" w:rsidRPr="00000000">
        <w:rPr>
          <w:rtl w:val="0"/>
        </w:rPr>
        <w:t xml:space="preserve">contributed</w:t>
      </w:r>
      <w:r w:rsidDel="00000000" w:rsidR="00000000" w:rsidRPr="00000000">
        <w:rPr>
          <w:rtl w:val="0"/>
        </w:rPr>
        <w:t xml:space="preserve"> to the GDP. With the revised focus, </w:t>
      </w:r>
      <w:r w:rsidDel="00000000" w:rsidR="00000000" w:rsidRPr="00000000">
        <w:rPr>
          <w:rtl w:val="0"/>
        </w:rPr>
        <w:t xml:space="preserve">Chile</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ongoing economic expansion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EE">
      <w:pPr>
        <w:pageBreakBefore w:val="0"/>
        <w:jc w:val="both"/>
        <w:rPr/>
      </w:pPr>
      <w:r w:rsidDel="00000000" w:rsidR="00000000" w:rsidRPr="00000000">
        <w:rPr>
          <w:rtl w:val="0"/>
        </w:rPr>
      </w:r>
    </w:p>
    <w:p w:rsidR="00000000" w:rsidDel="00000000" w:rsidP="00000000" w:rsidRDefault="00000000" w:rsidRPr="00000000" w14:paraId="000002EF">
      <w:pPr>
        <w:pageBreakBefore w:val="0"/>
        <w:jc w:val="both"/>
        <w:rPr/>
      </w:pPr>
      <w:r w:rsidDel="00000000" w:rsidR="00000000" w:rsidRPr="00000000">
        <w:rPr>
          <w:rtl w:val="0"/>
        </w:rPr>
      </w:r>
    </w:p>
    <w:p w:rsidR="00000000" w:rsidDel="00000000" w:rsidP="00000000" w:rsidRDefault="00000000" w:rsidRPr="00000000" w14:paraId="000002F0">
      <w:pPr>
        <w:pageBreakBefore w:val="0"/>
        <w:jc w:val="both"/>
        <w:rPr/>
      </w:pPr>
      <w:r w:rsidDel="00000000" w:rsidR="00000000" w:rsidRPr="00000000">
        <w:rPr>
          <w:rtl w:val="0"/>
        </w:rPr>
      </w:r>
    </w:p>
    <w:p w:rsidR="00000000" w:rsidDel="00000000" w:rsidP="00000000" w:rsidRDefault="00000000" w:rsidRPr="00000000" w14:paraId="000002F1">
      <w:pPr>
        <w:pageBreakBefore w:val="0"/>
        <w:jc w:val="both"/>
        <w:rPr/>
      </w:pPr>
      <w:r w:rsidDel="00000000" w:rsidR="00000000" w:rsidRPr="00000000">
        <w:rPr>
          <w:rtl w:val="0"/>
        </w:rPr>
      </w:r>
    </w:p>
    <w:p w:rsidR="00000000" w:rsidDel="00000000" w:rsidP="00000000" w:rsidRDefault="00000000" w:rsidRPr="00000000" w14:paraId="000002F2">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F3">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2F4">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F5">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2F6">
      <w:pPr>
        <w:pageBreakBefore w:val="0"/>
        <w:jc w:val="both"/>
        <w:rPr>
          <w:color w:val="000000"/>
          <w:highlight w:val="white"/>
        </w:rPr>
      </w:pPr>
      <w:r w:rsidDel="00000000" w:rsidR="00000000" w:rsidRPr="00000000">
        <w:rPr>
          <w:rtl w:val="0"/>
        </w:rPr>
      </w:r>
    </w:p>
    <w:p w:rsidR="00000000" w:rsidDel="00000000" w:rsidP="00000000" w:rsidRDefault="00000000" w:rsidRPr="00000000" w14:paraId="000002F7">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2F8">
      <w:pPr>
        <w:pageBreakBefore w:val="0"/>
        <w:jc w:val="both"/>
        <w:rPr>
          <w:color w:val="000000"/>
          <w:highlight w:val="white"/>
        </w:rPr>
      </w:pPr>
      <w:r w:rsidDel="00000000" w:rsidR="00000000" w:rsidRPr="00000000">
        <w:rPr>
          <w:rtl w:val="0"/>
        </w:rPr>
      </w:r>
    </w:p>
    <w:p w:rsidR="00000000" w:rsidDel="00000000" w:rsidP="00000000" w:rsidRDefault="00000000" w:rsidRPr="00000000" w14:paraId="000002F9">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2FA">
      <w:pPr>
        <w:pageBreakBefore w:val="0"/>
        <w:jc w:val="both"/>
        <w:rPr>
          <w:color w:val="000000"/>
          <w:highlight w:val="white"/>
        </w:rPr>
      </w:pPr>
      <w:r w:rsidDel="00000000" w:rsidR="00000000" w:rsidRPr="00000000">
        <w:rPr>
          <w:rtl w:val="0"/>
        </w:rPr>
      </w:r>
    </w:p>
    <w:p w:rsidR="00000000" w:rsidDel="00000000" w:rsidP="00000000" w:rsidRDefault="00000000" w:rsidRPr="00000000" w14:paraId="000002FB">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2FC">
      <w:pPr>
        <w:pageBreakBefore w:val="0"/>
        <w:jc w:val="both"/>
        <w:rPr>
          <w:color w:val="000000"/>
          <w:highlight w:val="white"/>
        </w:rPr>
      </w:pPr>
      <w:r w:rsidDel="00000000" w:rsidR="00000000" w:rsidRPr="00000000">
        <w:rPr>
          <w:rtl w:val="0"/>
        </w:rPr>
      </w:r>
    </w:p>
    <w:p w:rsidR="00000000" w:rsidDel="00000000" w:rsidP="00000000" w:rsidRDefault="00000000" w:rsidRPr="00000000" w14:paraId="000002FD">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2FE">
      <w:pPr>
        <w:pageBreakBefore w:val="0"/>
        <w:jc w:val="both"/>
        <w:rPr>
          <w:color w:val="000000"/>
          <w:highlight w:val="white"/>
        </w:rPr>
      </w:pPr>
      <w:r w:rsidDel="00000000" w:rsidR="00000000" w:rsidRPr="00000000">
        <w:rPr>
          <w:rtl w:val="0"/>
        </w:rPr>
      </w:r>
    </w:p>
    <w:p w:rsidR="00000000" w:rsidDel="00000000" w:rsidP="00000000" w:rsidRDefault="00000000" w:rsidRPr="00000000" w14:paraId="000002FF">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300">
      <w:pPr>
        <w:pageBreakBefore w:val="0"/>
        <w:jc w:val="both"/>
        <w:rPr>
          <w:color w:val="000000"/>
          <w:highlight w:val="white"/>
        </w:rPr>
      </w:pPr>
      <w:r w:rsidDel="00000000" w:rsidR="00000000" w:rsidRPr="00000000">
        <w:rPr>
          <w:rtl w:val="0"/>
        </w:rPr>
      </w:r>
    </w:p>
    <w:p w:rsidR="00000000" w:rsidDel="00000000" w:rsidP="00000000" w:rsidRDefault="00000000" w:rsidRPr="00000000" w14:paraId="00000301">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302">
      <w:pPr>
        <w:pageBreakBefore w:val="0"/>
        <w:jc w:val="both"/>
        <w:rPr>
          <w:color w:val="000000"/>
          <w:highlight w:val="white"/>
        </w:rPr>
      </w:pPr>
      <w:r w:rsidDel="00000000" w:rsidR="00000000" w:rsidRPr="00000000">
        <w:rPr>
          <w:rtl w:val="0"/>
        </w:rPr>
      </w:r>
    </w:p>
    <w:p w:rsidR="00000000" w:rsidDel="00000000" w:rsidP="00000000" w:rsidRDefault="00000000" w:rsidRPr="00000000" w14:paraId="00000303">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304">
      <w:pPr>
        <w:pageBreakBefore w:val="0"/>
        <w:jc w:val="both"/>
        <w:rPr/>
      </w:pPr>
      <w:r w:rsidDel="00000000" w:rsidR="00000000" w:rsidRPr="00000000">
        <w:rPr>
          <w:rtl w:val="0"/>
        </w:rPr>
      </w:r>
    </w:p>
    <w:sectPr>
      <w:headerReference r:id="rId39" w:type="default"/>
      <w:footerReference r:id="rId40" w:type="default"/>
      <w:footerReference r:id="rId41" w:type="first"/>
      <w:footerReference r:id="rId42"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B">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8">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image" Target="media/image11.png"/><Relationship Id="rId42" Type="http://schemas.openxmlformats.org/officeDocument/2006/relationships/footer" Target="footer1.xml"/><Relationship Id="rId41" Type="http://schemas.openxmlformats.org/officeDocument/2006/relationships/footer" Target="footer3.xml"/><Relationship Id="rId22" Type="http://schemas.openxmlformats.org/officeDocument/2006/relationships/image" Target="media/image17.png"/><Relationship Id="rId21" Type="http://schemas.openxmlformats.org/officeDocument/2006/relationships/image" Target="media/image24.png"/><Relationship Id="rId24" Type="http://schemas.openxmlformats.org/officeDocument/2006/relationships/image" Target="media/image21.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26" Type="http://schemas.openxmlformats.org/officeDocument/2006/relationships/image" Target="media/image18.png"/><Relationship Id="rId25" Type="http://schemas.openxmlformats.org/officeDocument/2006/relationships/image" Target="media/image22.png"/><Relationship Id="rId28" Type="http://schemas.openxmlformats.org/officeDocument/2006/relationships/image" Target="media/image29.jpg"/><Relationship Id="rId27"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15.png"/><Relationship Id="rId7" Type="http://schemas.openxmlformats.org/officeDocument/2006/relationships/image" Target="media/image26.png"/><Relationship Id="rId8" Type="http://schemas.openxmlformats.org/officeDocument/2006/relationships/image" Target="media/image14.png"/><Relationship Id="rId31" Type="http://schemas.openxmlformats.org/officeDocument/2006/relationships/image" Target="media/image20.jpg"/><Relationship Id="rId30" Type="http://schemas.openxmlformats.org/officeDocument/2006/relationships/image" Target="media/image3.png"/><Relationship Id="rId11" Type="http://schemas.openxmlformats.org/officeDocument/2006/relationships/image" Target="media/image27.png"/><Relationship Id="rId33" Type="http://schemas.openxmlformats.org/officeDocument/2006/relationships/image" Target="media/image10.jpg"/><Relationship Id="rId10" Type="http://schemas.openxmlformats.org/officeDocument/2006/relationships/image" Target="media/image13.png"/><Relationship Id="rId32" Type="http://schemas.openxmlformats.org/officeDocument/2006/relationships/image" Target="media/image5.jpg"/><Relationship Id="rId13" Type="http://schemas.openxmlformats.org/officeDocument/2006/relationships/image" Target="media/image30.png"/><Relationship Id="rId35" Type="http://schemas.openxmlformats.org/officeDocument/2006/relationships/image" Target="media/image16.jpg"/><Relationship Id="rId12" Type="http://schemas.openxmlformats.org/officeDocument/2006/relationships/image" Target="media/image2.png"/><Relationship Id="rId34" Type="http://schemas.openxmlformats.org/officeDocument/2006/relationships/image" Target="media/image12.jpg"/><Relationship Id="rId15" Type="http://schemas.openxmlformats.org/officeDocument/2006/relationships/image" Target="media/image28.png"/><Relationship Id="rId37" Type="http://schemas.openxmlformats.org/officeDocument/2006/relationships/image" Target="media/image33.png"/><Relationship Id="rId14" Type="http://schemas.openxmlformats.org/officeDocument/2006/relationships/image" Target="media/image32.png"/><Relationship Id="rId36" Type="http://schemas.openxmlformats.org/officeDocument/2006/relationships/image" Target="media/image19.png"/><Relationship Id="rId17" Type="http://schemas.openxmlformats.org/officeDocument/2006/relationships/image" Target="media/image6.png"/><Relationship Id="rId39" Type="http://schemas.openxmlformats.org/officeDocument/2006/relationships/header" Target="header1.xml"/><Relationship Id="rId16" Type="http://schemas.openxmlformats.org/officeDocument/2006/relationships/image" Target="media/image7.jpg"/><Relationship Id="rId38" Type="http://schemas.openxmlformats.org/officeDocument/2006/relationships/image" Target="media/image1.png"/><Relationship Id="rId19" Type="http://schemas.openxmlformats.org/officeDocument/2006/relationships/image" Target="media/image25.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