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20.png"/>
            <a:graphic>
              <a:graphicData uri="http://schemas.openxmlformats.org/drawingml/2006/picture">
                <pic:pic>
                  <pic:nvPicPr>
                    <pic:cNvPr id="0" name="image20.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Estonia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Alexandra Garcia, Kelly Mi, Margarita Demkina, Allison Lin,  Jane Zhang, Daniel Xu, Ryo Shibata, Navia Zhang</w:t>
      </w:r>
    </w:p>
    <w:p w:rsidR="00000000" w:rsidDel="00000000" w:rsidP="00000000" w:rsidRDefault="00000000" w:rsidRPr="00000000" w14:paraId="00000009">
      <w:pPr>
        <w:pageBreakBefore w:val="0"/>
        <w:rPr>
          <w:sz w:val="40"/>
          <w:szCs w:val="40"/>
        </w:rPr>
      </w:pP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rPr>
          <w:rFonts w:ascii="PT Sans Narrow" w:cs="PT Sans Narrow" w:eastAsia="PT Sans Narrow" w:hAnsi="PT Sans Narrow"/>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Estonia</w:t>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uncover the economic path Estonia went through during the period from 2013 to 2022. Specifically, we dive into the topic through a macroeconomic overview of Estonia from the perspective of Gross Domestic Product (GDP) and Economic Complexity Index (ECI), which reflect countries’ production capability and production structure, respectively. We divide the period into two subperiods: 2013-2018 and 2019-2022. These subperiods are meant to capture differences in pre- and post-pandemic economic progress and resulting optimal development paths. We find that during the period of our interest, Estonia d</w:t>
      </w:r>
      <w:r w:rsidDel="00000000" w:rsidR="00000000" w:rsidRPr="00000000">
        <w:rPr>
          <w:rtl w:val="0"/>
        </w:rPr>
        <w:t xml:space="preserve">emonstrated a moderate level of economic growth with an average annual GDP growth rate of 2.36% between 2013 and 2018 and 5.48% between 2019 and 2022, concurrent with a decrease in economic complexity in both periods, as compared with other major developed economies. </w:t>
      </w: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we believe, can be partially explained through analysis of the economic complexity structure of Estonia on the industry group level. The product classification system we adopt allows us to measure the realized development for various industry groups and to observe that </w:t>
      </w:r>
      <w:r w:rsidDel="00000000" w:rsidR="00000000" w:rsidRPr="00000000">
        <w:rPr>
          <w:rtl w:val="0"/>
        </w:rPr>
        <w:t xml:space="preserve">Estonia</w:t>
      </w:r>
      <w:r w:rsidDel="00000000" w:rsidR="00000000" w:rsidRPr="00000000">
        <w:rPr>
          <w:rtl w:val="0"/>
        </w:rPr>
        <w:t xml:space="preserve"> consistently relied on developing the Transportation industry during the 2013-2018 period and the Textile industry in the 2019-2022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a sensitivity analysis of major industry groups, Estonia can further its gains by </w:t>
      </w:r>
      <w:r w:rsidDel="00000000" w:rsidR="00000000" w:rsidRPr="00000000">
        <w:rPr>
          <w:rtl w:val="0"/>
        </w:rPr>
        <w:t xml:space="preserve">prioritizing </w:t>
      </w:r>
      <w:r w:rsidDel="00000000" w:rsidR="00000000" w:rsidRPr="00000000">
        <w:rPr>
          <w:rtl w:val="0"/>
        </w:rPr>
        <w:t xml:space="preserve">Energy Drilling and Mining and Precious Stones. We further note that Estonia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w:t>
      </w:r>
      <w:r w:rsidDel="00000000" w:rsidR="00000000" w:rsidRPr="00000000">
        <w:rPr>
          <w:rtl w:val="0"/>
        </w:rPr>
        <w:t xml:space="preserve">4.8% in 2018 and 4.7% in 2022.</w:t>
      </w:r>
      <w:r w:rsidDel="00000000" w:rsidR="00000000" w:rsidRPr="00000000">
        <w:rPr>
          <w:rtl w:val="0"/>
        </w:rPr>
        <w:t xml:space="preserve"> A significant positive correlation exists between GDP growth and the structural optimality index of an economy as we define and calculate, but Estonia still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We aim to uncover the economic path Estonia went through during the periods from 2013 to 2018 and 2019 to 2022. Specifically, we dive into the topic through a macroeconomic overview of Estonia from the perspective of Gross Domestic Product (GDP) and Economic Complexity Index (ECI), which reflect countries’ production capability and production structure, respectively. We then analyze the industrial framework of Estonia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Estonia,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B">
      <w:pPr>
        <w:pageBreakBefore w:val="0"/>
        <w:jc w:val="both"/>
        <w:rPr/>
      </w:pPr>
      <w:r w:rsidDel="00000000" w:rsidR="00000000" w:rsidRPr="00000000">
        <w:rPr>
          <w:rtl w:val="0"/>
        </w:rPr>
        <w:t xml:space="preserve">Figure 1a illustrates the time-series GDP results for Estonia and two of its peer countries (the Lithuania, Latvia) from 2013-2018. Similar to other Baltic countries, Estonia</w:t>
      </w:r>
      <w:r w:rsidDel="00000000" w:rsidR="00000000" w:rsidRPr="00000000">
        <w:rPr>
          <w:rtl w:val="0"/>
        </w:rPr>
        <w:t xml:space="preserve"> has seen steady growth in GDP. In fact, Estonia’s average annual growth rate of 4.58% over the five-year period is clearly higher than its peers, which are 4.21% and 3.87% for Latvia and Lithuania, respectively.</w:t>
      </w: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ind w:left="720" w:firstLine="720"/>
        <w:jc w:val="both"/>
        <w:rPr/>
      </w:pPr>
      <w:r w:rsidDel="00000000" w:rsidR="00000000" w:rsidRPr="00000000">
        <w:rPr/>
        <w:drawing>
          <wp:inline distB="114300" distT="114300" distL="114300" distR="114300">
            <wp:extent cx="3705225" cy="2514600"/>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705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t xml:space="preserve">Figure 1a: GDP Comparison Among Peer Countries (2013-2018)</w:t>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Figure 1b illustrates the time-series GDP results for the period of 2019-2022. Estonia observes a higher average annual growth rate of 5.48% than in the previous period</w:t>
      </w:r>
      <w:r w:rsidDel="00000000" w:rsidR="00000000" w:rsidRPr="00000000">
        <w:rPr>
          <w:rtl w:val="0"/>
        </w:rPr>
        <w:t xml:space="preserve">. Its performance is average relative to its peers, with Latvia growing at 4.79% and Lithuania at 6.63%.</w:t>
      </w:r>
      <w:r w:rsidDel="00000000" w:rsidR="00000000" w:rsidRPr="00000000">
        <w:rPr>
          <w:rtl w:val="0"/>
        </w:rPr>
      </w:r>
    </w:p>
    <w:p w:rsidR="00000000" w:rsidDel="00000000" w:rsidP="00000000" w:rsidRDefault="00000000" w:rsidRPr="00000000" w14:paraId="00000023">
      <w:pPr>
        <w:ind w:left="720" w:firstLine="720"/>
        <w:jc w:val="both"/>
        <w:rPr/>
      </w:pPr>
      <w:r w:rsidDel="00000000" w:rsidR="00000000" w:rsidRPr="00000000">
        <w:rPr/>
        <w:drawing>
          <wp:inline distB="114300" distT="114300" distL="114300" distR="114300">
            <wp:extent cx="3590282" cy="2692712"/>
            <wp:effectExtent b="0" l="0" r="0" t="0"/>
            <wp:docPr id="2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Figure 1b: GDP Comparison Among Peer Countrie (2019-2022)</w:t>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9">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Estonia. As illustrated in Figure 2a below, Estonia (-140.32% ECI change) exhibited a significant decrease in terms of its production capability from 2013 to 2018, which is similar to Lithuania (-169.63%), and similar, but significantly better than Latvia (-446.78%).</w:t>
      </w:r>
      <w:r w:rsidDel="00000000" w:rsidR="00000000" w:rsidRPr="00000000">
        <w:rPr>
          <w:rtl w:val="0"/>
        </w:rPr>
      </w:r>
    </w:p>
    <w:p w:rsidR="00000000" w:rsidDel="00000000" w:rsidP="00000000" w:rsidRDefault="00000000" w:rsidRPr="00000000" w14:paraId="0000002A">
      <w:pPr>
        <w:pageBreakBefore w:val="0"/>
        <w:ind w:left="720" w:firstLine="720"/>
        <w:jc w:val="both"/>
        <w:rPr/>
      </w:pPr>
      <w:r w:rsidDel="00000000" w:rsidR="00000000" w:rsidRPr="00000000">
        <w:rPr/>
        <w:drawing>
          <wp:inline distB="114300" distT="114300" distL="114300" distR="114300">
            <wp:extent cx="3752850" cy="2514600"/>
            <wp:effectExtent b="0" l="0" r="0" t="0"/>
            <wp:docPr id="36"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2a: ECI Comparison (2013-2018)         </w:t>
      </w:r>
    </w:p>
    <w:p w:rsidR="00000000" w:rsidDel="00000000" w:rsidP="00000000" w:rsidRDefault="00000000" w:rsidRPr="00000000" w14:paraId="0000002D">
      <w:pPr>
        <w:pageBreakBefore w:val="0"/>
        <w:jc w:val="center"/>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 2b illustrates ECI changes from 2019 to 2022. Estonia exhibited a significant decrease of 338.09%, while Lithuania performed slightly better with a decrease of 170.09% and Latvia saw the only increase of 104.82%.</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ind w:left="720" w:firstLine="720"/>
        <w:jc w:val="both"/>
        <w:rPr/>
      </w:pPr>
      <w:r w:rsidDel="00000000" w:rsidR="00000000" w:rsidRPr="00000000">
        <w:rPr/>
        <w:drawing>
          <wp:inline distB="114300" distT="114300" distL="114300" distR="114300">
            <wp:extent cx="3590282" cy="2692712"/>
            <wp:effectExtent b="0" l="0" r="0" t="0"/>
            <wp:docPr id="2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       Figure 2b: ECI Comparison (2019-2022)       </w:t>
      </w: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Figure 3a offers a further comparison of GDP Growth and ECI over the time span from 2013 to 2018 for Estonia. The increase in GDP during the period from 2013 to 2018 is accompanied by a sharp decline in ECI. The results show that the economic growth experienced by Estonia during the period from 2013 to 2018 is not very consistent with the predictions by ECI and Estonia did not effectively make strides to develop a competitive product space that helps to accumulate complicated knowledge and technology.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ageBreakBefore w:val="0"/>
        <w:ind w:firstLine="720"/>
        <w:jc w:val="center"/>
        <w:rPr/>
      </w:pPr>
      <w:r w:rsidDel="00000000" w:rsidR="00000000" w:rsidRPr="00000000">
        <w:rPr/>
        <w:drawing>
          <wp:inline distB="114300" distT="114300" distL="114300" distR="114300">
            <wp:extent cx="4076700" cy="25146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0767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jc w:val="center"/>
        <w:rPr/>
      </w:pPr>
      <w:r w:rsidDel="00000000" w:rsidR="00000000" w:rsidRPr="00000000">
        <w:rPr>
          <w:rtl w:val="0"/>
        </w:rPr>
        <w:t xml:space="preserve">           </w:t>
      </w:r>
    </w:p>
    <w:p w:rsidR="00000000" w:rsidDel="00000000" w:rsidP="00000000" w:rsidRDefault="00000000" w:rsidRPr="00000000" w14:paraId="00000038">
      <w:pPr>
        <w:pageBreakBefore w:val="0"/>
        <w:jc w:val="center"/>
        <w:rPr/>
      </w:pPr>
      <w:r w:rsidDel="00000000" w:rsidR="00000000" w:rsidRPr="00000000">
        <w:rPr>
          <w:rtl w:val="0"/>
        </w:rPr>
        <w:t xml:space="preserve"> Figure 3a: GDP Growth and ECI (2013-2018)</w:t>
      </w:r>
    </w:p>
    <w:p w:rsidR="00000000" w:rsidDel="00000000" w:rsidP="00000000" w:rsidRDefault="00000000" w:rsidRPr="00000000" w14:paraId="00000039">
      <w:pPr>
        <w:pageBreakBefore w:val="0"/>
        <w:jc w:val="cente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increase in GDP during the period from 2019 to 2022 is again accompanied by a sharp decline in ECI. The results show that the economic growth experienced by Estonia during this period is again inconsistent with the predictions by ECI. In order to provide a more concrete answer to why this has happened, we will dive into an analysis of Estonia’s production structure and its product space designs in the next few chapters. </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3590282" cy="2692712"/>
            <wp:effectExtent b="0" l="0" r="0" t="0"/>
            <wp:docPr id="1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90282" cy="26927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jc w:val="center"/>
        <w:rPr/>
      </w:pPr>
      <w:r w:rsidDel="00000000" w:rsidR="00000000" w:rsidRPr="00000000">
        <w:rPr>
          <w:rtl w:val="0"/>
        </w:rPr>
      </w:r>
    </w:p>
    <w:p w:rsidR="00000000" w:rsidDel="00000000" w:rsidP="00000000" w:rsidRDefault="00000000" w:rsidRPr="00000000" w14:paraId="0000003D">
      <w:pPr>
        <w:pageBreakBefore w:val="0"/>
        <w:jc w:val="center"/>
        <w:rPr/>
      </w:pPr>
      <w:r w:rsidDel="00000000" w:rsidR="00000000" w:rsidRPr="00000000">
        <w:rPr>
          <w:rtl w:val="0"/>
        </w:rPr>
        <w:t xml:space="preserve">Figure 3b: GDP Growth and ECI (2019-2022)</w:t>
      </w:r>
    </w:p>
    <w:p w:rsidR="00000000" w:rsidDel="00000000" w:rsidP="00000000" w:rsidRDefault="00000000" w:rsidRPr="00000000" w14:paraId="0000003E">
      <w:pPr>
        <w:pageBreakBefore w:val="0"/>
        <w:jc w:val="center"/>
        <w:rPr>
          <w:highlight w:val="green"/>
        </w:rPr>
      </w:pPr>
      <w:r w:rsidDel="00000000" w:rsidR="00000000" w:rsidRPr="00000000">
        <w:rPr>
          <w:rtl w:val="0"/>
        </w:rPr>
      </w:r>
    </w:p>
    <w:p w:rsidR="00000000" w:rsidDel="00000000" w:rsidP="00000000" w:rsidRDefault="00000000" w:rsidRPr="00000000" w14:paraId="0000003F">
      <w:pPr>
        <w:pageBreakBefore w:val="0"/>
        <w:jc w:val="both"/>
        <w:rPr>
          <w:highlight w:val="green"/>
        </w:rPr>
      </w:pPr>
      <w:r w:rsidDel="00000000" w:rsidR="00000000" w:rsidRPr="00000000">
        <w:rPr>
          <w:rtl w:val="0"/>
        </w:rPr>
      </w:r>
    </w:p>
    <w:p w:rsidR="00000000" w:rsidDel="00000000" w:rsidP="00000000" w:rsidRDefault="00000000" w:rsidRPr="00000000" w14:paraId="00000040">
      <w:pPr>
        <w:pageBreakBefore w:val="0"/>
        <w:jc w:val="both"/>
        <w:rPr>
          <w:b w:val="1"/>
          <w:bCs w:val="1"/>
        </w:rPr>
      </w:pPr>
      <w:r w:rsidDel="00000000" w:rsidR="00000000" w:rsidRPr="00000000">
        <w:rPr>
          <w:rtl w:val="0"/>
        </w:rPr>
      </w:r>
    </w:p>
    <w:p w:rsidR="00000000" w:rsidDel="00000000" w:rsidP="00000000" w:rsidRDefault="00000000" w:rsidRPr="00000000" w14:paraId="0000004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4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5">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46">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47">
      <w:pPr>
        <w:pageBreakBefore w:val="0"/>
        <w:jc w:val="both"/>
        <w:rPr/>
      </w:pPr>
      <w:r w:rsidDel="00000000" w:rsidR="00000000" w:rsidRPr="00000000">
        <w:rPr>
          <w:rtl w:val="0"/>
        </w:rPr>
      </w:r>
    </w:p>
    <w:p w:rsidR="00000000" w:rsidDel="00000000" w:rsidP="00000000" w:rsidRDefault="00000000" w:rsidRPr="00000000" w14:paraId="00000048">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9">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A">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B">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A">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6">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8">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9">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A">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B">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C">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D">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E">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F">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70">
      <w:pPr>
        <w:pageBreakBefore w:val="0"/>
        <w:jc w:val="both"/>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jc w:val="center"/>
              <w:rPr/>
            </w:pPr>
            <w:r w:rsidDel="00000000" w:rsidR="00000000" w:rsidRPr="00000000">
              <w:rPr>
                <w:rtl w:val="0"/>
              </w:rPr>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107</w:t>
            </w:r>
          </w:p>
        </w:tc>
      </w:tr>
    </w:tbl>
    <w:p w:rsidR="00000000" w:rsidDel="00000000" w:rsidP="00000000" w:rsidRDefault="00000000" w:rsidRPr="00000000" w14:paraId="00000086">
      <w:pPr>
        <w:pageBreakBefore w:val="0"/>
        <w:jc w:val="center"/>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t xml:space="preserve">Figure 4a: OLS Regression Results of GDP against Percentage Volume of Exports </w:t>
      </w:r>
    </w:p>
    <w:p w:rsidR="00000000" w:rsidDel="00000000" w:rsidP="00000000" w:rsidRDefault="00000000" w:rsidRPr="00000000" w14:paraId="00000088">
      <w:pPr>
        <w:pageBreakBefore w:val="0"/>
        <w:jc w:val="both"/>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A">
            <w:pPr>
              <w:pageBreakBefore w:val="0"/>
              <w:jc w:val="center"/>
              <w:rPr/>
            </w:pPr>
            <w:r w:rsidDel="00000000" w:rsidR="00000000" w:rsidRPr="00000000">
              <w:rPr>
                <w:rtl w:val="0"/>
              </w:rPr>
            </w:r>
          </w:p>
        </w:tc>
        <w:tc>
          <w:tcPr/>
          <w:p w:rsidR="00000000" w:rsidDel="00000000" w:rsidP="00000000" w:rsidRDefault="00000000" w:rsidRPr="00000000" w14:paraId="0000008B">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C">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D">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E">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F">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90">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91">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92">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93">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94">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95">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96">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97">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8">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9">
            <w:pPr>
              <w:pageBreakBefore w:val="0"/>
              <w:jc w:val="center"/>
              <w:rPr/>
            </w:pPr>
            <w:r w:rsidDel="00000000" w:rsidR="00000000" w:rsidRPr="00000000">
              <w:rPr>
                <w:rtl w:val="0"/>
              </w:rPr>
              <w:t xml:space="preserve">21</w:t>
            </w:r>
          </w:p>
        </w:tc>
      </w:tr>
    </w:tbl>
    <w:p w:rsidR="00000000" w:rsidDel="00000000" w:rsidP="00000000" w:rsidRDefault="00000000" w:rsidRPr="00000000" w14:paraId="0000009A">
      <w:pPr>
        <w:pageBreakBefore w:val="0"/>
        <w:jc w:val="center"/>
        <w:rPr/>
      </w:pPr>
      <w:r w:rsidDel="00000000" w:rsidR="00000000" w:rsidRPr="00000000">
        <w:rPr>
          <w:rtl w:val="0"/>
        </w:rPr>
      </w:r>
    </w:p>
    <w:p w:rsidR="00000000" w:rsidDel="00000000" w:rsidP="00000000" w:rsidRDefault="00000000" w:rsidRPr="00000000" w14:paraId="0000009B">
      <w:pPr>
        <w:pageBreakBefore w:val="0"/>
        <w:jc w:val="center"/>
        <w:rPr/>
      </w:pPr>
      <w:r w:rsidDel="00000000" w:rsidR="00000000" w:rsidRPr="00000000">
        <w:rPr>
          <w:rtl w:val="0"/>
        </w:rPr>
        <w:t xml:space="preserve">Figure 4b: OLS Regression Results of GDP against Volume of Percentage Exports</w:t>
      </w:r>
    </w:p>
    <w:p w:rsidR="00000000" w:rsidDel="00000000" w:rsidP="00000000" w:rsidRDefault="00000000" w:rsidRPr="00000000" w14:paraId="0000009C">
      <w:pPr>
        <w:pageBreakBefore w:val="0"/>
        <w:jc w:val="center"/>
        <w:rPr>
          <w:sz w:val="20"/>
          <w:szCs w:val="20"/>
        </w:rPr>
      </w:pPr>
      <w:r w:rsidDel="00000000" w:rsidR="00000000" w:rsidRPr="00000000">
        <w:rPr>
          <w:rtl w:val="0"/>
        </w:rPr>
      </w:r>
    </w:p>
    <w:p w:rsidR="00000000" w:rsidDel="00000000" w:rsidP="00000000" w:rsidRDefault="00000000" w:rsidRPr="00000000" w14:paraId="0000009D">
      <w:pPr>
        <w:pageBreakBefore w:val="0"/>
        <w:jc w:val="center"/>
        <w:rPr/>
      </w:pPr>
      <w:r w:rsidDel="00000000" w:rsidR="00000000" w:rsidRPr="00000000">
        <w:rPr>
          <w:rtl w:val="0"/>
        </w:rPr>
      </w:r>
    </w:p>
    <w:p w:rsidR="00000000" w:rsidDel="00000000" w:rsidP="00000000" w:rsidRDefault="00000000" w:rsidRPr="00000000" w14:paraId="0000009E">
      <w:pPr>
        <w:pageBreakBefore w:val="0"/>
        <w:jc w:val="both"/>
        <w:rPr>
          <w:b w:val="1"/>
          <w:bCs w:val="1"/>
        </w:rPr>
      </w:pPr>
      <w:r w:rsidDel="00000000" w:rsidR="00000000" w:rsidRPr="00000000">
        <w:rPr>
          <w:rtl w:val="0"/>
        </w:rPr>
      </w:r>
    </w:p>
    <w:p w:rsidR="00000000" w:rsidDel="00000000" w:rsidP="00000000" w:rsidRDefault="00000000" w:rsidRPr="00000000" w14:paraId="0000009F">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A0">
      <w:pPr>
        <w:pageBreakBefore w:val="0"/>
        <w:jc w:val="both"/>
        <w:rPr/>
      </w:pPr>
      <w:r w:rsidDel="00000000" w:rsidR="00000000" w:rsidRPr="00000000">
        <w:rPr>
          <w:rtl w:val="0"/>
        </w:rPr>
        <w:t xml:space="preserve">Based on the product categorization aforementioned, we aim to capture Estonia’s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A1">
      <w:pPr>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jc w:val="both"/>
              <w:rPr>
                <w:b w:val="1"/>
                <w:bCs w:val="1"/>
                <w:color w:val="ffffff"/>
                <w:sz w:val="20"/>
                <w:szCs w:val="20"/>
              </w:rPr>
            </w:pPr>
            <w:r w:rsidDel="00000000" w:rsidR="00000000" w:rsidRPr="00000000">
              <w:rPr>
                <w:b w:val="1"/>
                <w:bCs w:val="1"/>
                <w:color w:val="ffffff"/>
                <w:sz w:val="20"/>
                <w:szCs w:val="20"/>
                <w:rtl w:val="0"/>
              </w:rPr>
              <w:t xml:space="preserve">RID (2018)</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0.175102</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-042325</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0.150246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-0.008332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0.137998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0.015829</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0.202939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0.017904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0.141621</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-0.032846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0.122645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-0.027080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0.125644</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-0.03086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0.142083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-0.007151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0.139673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-0.069871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0.090298</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0.033331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0.117899</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-0.019605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0.151571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-0.005756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0.121450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0.033331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0.232603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-0.004501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0.153446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0.014096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0.145257</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0.005136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0.119497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-0.006490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0.124609</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-0.042874</w:t>
            </w:r>
          </w:p>
        </w:tc>
      </w:tr>
    </w:tbl>
    <w:p w:rsidR="00000000" w:rsidDel="00000000" w:rsidP="00000000" w:rsidRDefault="00000000" w:rsidRPr="00000000" w14:paraId="000000DB">
      <w:pPr>
        <w:pageBreakBefore w:val="0"/>
        <w:ind w:left="2160" w:firstLine="720"/>
        <w:jc w:val="both"/>
        <w:rPr/>
      </w:pPr>
      <w:r w:rsidDel="00000000" w:rsidR="00000000" w:rsidRPr="00000000">
        <w:rPr>
          <w:rtl w:val="0"/>
        </w:rPr>
      </w:r>
    </w:p>
    <w:p w:rsidR="00000000" w:rsidDel="00000000" w:rsidP="00000000" w:rsidRDefault="00000000" w:rsidRPr="00000000" w14:paraId="000000DC">
      <w:pPr>
        <w:pageBreakBefore w:val="0"/>
        <w:jc w:val="center"/>
        <w:rPr/>
      </w:pPr>
      <w:r w:rsidDel="00000000" w:rsidR="00000000" w:rsidRPr="00000000">
        <w:rPr>
          <w:rtl w:val="0"/>
        </w:rPr>
        <w:t xml:space="preserve">Table 2: Realized Industry Development (RID) of Estonia (2018 &amp; 2022)</w:t>
      </w:r>
    </w:p>
    <w:p w:rsidR="00000000" w:rsidDel="00000000" w:rsidP="00000000" w:rsidRDefault="00000000" w:rsidRPr="00000000" w14:paraId="000000DD">
      <w:pPr>
        <w:pageBreakBefore w:val="0"/>
        <w:jc w:val="both"/>
        <w:rPr>
          <w:b w:val="1"/>
          <w:bCs w:val="1"/>
        </w:rPr>
      </w:pPr>
      <w:r w:rsidDel="00000000" w:rsidR="00000000" w:rsidRPr="00000000">
        <w:rPr>
          <w:rtl w:val="0"/>
        </w:rPr>
      </w:r>
    </w:p>
    <w:p w:rsidR="00000000" w:rsidDel="00000000" w:rsidP="00000000" w:rsidRDefault="00000000" w:rsidRPr="00000000" w14:paraId="000000D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DF">
      <w:pPr>
        <w:pageBreakBefore w:val="0"/>
        <w:jc w:val="both"/>
        <w:rPr/>
      </w:pPr>
      <w:r w:rsidDel="00000000" w:rsidR="00000000" w:rsidRPr="00000000">
        <w:rPr>
          <w:rtl w:val="0"/>
        </w:rPr>
        <w:t xml:space="preserve">Table 3 and 4 below summarize how the production strategy adopted by Estonia compares with leading economies and a selected group of emerging economies in the world, as measured in RID. </w:t>
      </w:r>
    </w:p>
    <w:p w:rsidR="00000000" w:rsidDel="00000000" w:rsidP="00000000" w:rsidRDefault="00000000" w:rsidRPr="00000000" w14:paraId="000000E0">
      <w:pPr>
        <w:pageBreakBefore w:val="0"/>
        <w:jc w:val="both"/>
        <w:rPr/>
      </w:pPr>
      <w:r w:rsidDel="00000000" w:rsidR="00000000" w:rsidRPr="00000000">
        <w:rPr>
          <w:rtl w:val="0"/>
        </w:rPr>
      </w:r>
    </w:p>
    <w:tbl>
      <w:tblPr>
        <w:tblStyle w:val="Table5"/>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1">
            <w:pPr>
              <w:pageBreakBefore w:val="0"/>
              <w:jc w:val="both"/>
              <w:rPr/>
            </w:pPr>
            <w:r w:rsidDel="00000000" w:rsidR="00000000" w:rsidRPr="00000000">
              <w:rPr>
                <w:rtl w:val="0"/>
              </w:rPr>
              <w:t xml:space="preserve">Ranking</w:t>
            </w:r>
          </w:p>
        </w:tc>
        <w:tc>
          <w:tcPr/>
          <w:p w:rsidR="00000000" w:rsidDel="00000000" w:rsidP="00000000" w:rsidRDefault="00000000" w:rsidRPr="00000000" w14:paraId="000000E2">
            <w:pPr>
              <w:pageBreakBefore w:val="0"/>
              <w:jc w:val="both"/>
              <w:rPr/>
            </w:pPr>
            <w:r w:rsidDel="00000000" w:rsidR="00000000" w:rsidRPr="00000000">
              <w:rPr>
                <w:rtl w:val="0"/>
              </w:rPr>
              <w:t xml:space="preserve">France</w:t>
            </w:r>
          </w:p>
        </w:tc>
        <w:tc>
          <w:tcPr/>
          <w:p w:rsidR="00000000" w:rsidDel="00000000" w:rsidP="00000000" w:rsidRDefault="00000000" w:rsidRPr="00000000" w14:paraId="000000E3">
            <w:pPr>
              <w:pageBreakBefore w:val="0"/>
              <w:jc w:val="both"/>
              <w:rPr/>
            </w:pPr>
            <w:r w:rsidDel="00000000" w:rsidR="00000000" w:rsidRPr="00000000">
              <w:rPr>
                <w:rtl w:val="0"/>
              </w:rPr>
              <w:t xml:space="preserve">US</w:t>
            </w:r>
          </w:p>
        </w:tc>
        <w:tc>
          <w:tcPr/>
          <w:p w:rsidR="00000000" w:rsidDel="00000000" w:rsidP="00000000" w:rsidRDefault="00000000" w:rsidRPr="00000000" w14:paraId="000000E4">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E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7">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E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E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E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B">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EC">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E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E">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F">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F0">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F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F2">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F3">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F4">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F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F6">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F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F8">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F9">
      <w:pPr>
        <w:pageBreakBefore w:val="0"/>
        <w:jc w:val="center"/>
        <w:rPr/>
      </w:pPr>
      <w:r w:rsidDel="00000000" w:rsidR="00000000" w:rsidRPr="00000000">
        <w:rPr>
          <w:rtl w:val="0"/>
        </w:rPr>
      </w:r>
    </w:p>
    <w:p w:rsidR="00000000" w:rsidDel="00000000" w:rsidP="00000000" w:rsidRDefault="00000000" w:rsidRPr="00000000" w14:paraId="000000FA">
      <w:pPr>
        <w:pageBreakBefore w:val="0"/>
        <w:jc w:val="center"/>
        <w:rPr/>
      </w:pPr>
      <w:r w:rsidDel="00000000" w:rsidR="00000000" w:rsidRPr="00000000">
        <w:rPr>
          <w:rtl w:val="0"/>
        </w:rPr>
        <w:t xml:space="preserve">Table 3: RID Comparison across Leading Economies (2018)</w:t>
      </w:r>
    </w:p>
    <w:p w:rsidR="00000000" w:rsidDel="00000000" w:rsidP="00000000" w:rsidRDefault="00000000" w:rsidRPr="00000000" w14:paraId="000000FB">
      <w:pPr>
        <w:pageBreakBefore w:val="0"/>
        <w:jc w:val="center"/>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tbl>
      <w:tblPr>
        <w:tblStyle w:val="Table6"/>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FD">
            <w:pPr>
              <w:pageBreakBefore w:val="0"/>
              <w:jc w:val="both"/>
              <w:rPr/>
            </w:pPr>
            <w:r w:rsidDel="00000000" w:rsidR="00000000" w:rsidRPr="00000000">
              <w:rPr>
                <w:rtl w:val="0"/>
              </w:rPr>
              <w:t xml:space="preserve">Ranking</w:t>
            </w:r>
          </w:p>
        </w:tc>
        <w:tc>
          <w:tcPr/>
          <w:p w:rsidR="00000000" w:rsidDel="00000000" w:rsidP="00000000" w:rsidRDefault="00000000" w:rsidRPr="00000000" w14:paraId="000000FE">
            <w:pPr>
              <w:pageBreakBefore w:val="0"/>
              <w:jc w:val="both"/>
              <w:rPr/>
            </w:pPr>
            <w:r w:rsidDel="00000000" w:rsidR="00000000" w:rsidRPr="00000000">
              <w:rPr>
                <w:rtl w:val="0"/>
              </w:rPr>
              <w:t xml:space="preserve">China</w:t>
            </w:r>
          </w:p>
        </w:tc>
        <w:tc>
          <w:tcPr/>
          <w:p w:rsidR="00000000" w:rsidDel="00000000" w:rsidP="00000000" w:rsidRDefault="00000000" w:rsidRPr="00000000" w14:paraId="000000FF">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100">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10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3">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4">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10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7">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10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A">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0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C">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10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0E">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0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0">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11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3">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4">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t xml:space="preserve">Table 4: RID Comparison across Emerging Economies (2018)</w:t>
      </w:r>
    </w:p>
    <w:p w:rsidR="00000000" w:rsidDel="00000000" w:rsidP="00000000" w:rsidRDefault="00000000" w:rsidRPr="00000000" w14:paraId="00000117">
      <w:pPr>
        <w:pageBreakBefore w:val="0"/>
        <w:jc w:val="both"/>
        <w:rPr/>
      </w:pPr>
      <w:r w:rsidDel="00000000" w:rsidR="00000000" w:rsidRPr="00000000">
        <w:rPr>
          <w:rtl w:val="0"/>
        </w:rPr>
      </w:r>
    </w:p>
    <w:p w:rsidR="00000000" w:rsidDel="00000000" w:rsidP="00000000" w:rsidRDefault="00000000" w:rsidRPr="00000000" w14:paraId="00000118">
      <w:pPr>
        <w:pageBreakBefore w:val="0"/>
        <w:jc w:val="both"/>
        <w:rPr>
          <w:rFonts w:ascii="Times" w:cs="Times" w:eastAsia="Times" w:hAnsi="Times"/>
          <w:b w:val="1"/>
          <w:bCs w:val="1"/>
          <w:sz w:val="28"/>
          <w:szCs w:val="28"/>
        </w:rPr>
      </w:pPr>
      <w:r w:rsidDel="00000000" w:rsidR="00000000" w:rsidRPr="00000000">
        <w:rPr>
          <w:rtl w:val="0"/>
        </w:rPr>
        <w:t xml:space="preserve">Table 4 further examines Estonia’s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119">
      <w:pPr>
        <w:pageBreakBefore w:val="0"/>
        <w:jc w:val="both"/>
        <w:rPr>
          <w:b w:val="1"/>
          <w:bCs w:val="1"/>
        </w:rPr>
      </w:pPr>
      <w:r w:rsidDel="00000000" w:rsidR="00000000" w:rsidRPr="00000000">
        <w:rPr>
          <w:rtl w:val="0"/>
        </w:rPr>
      </w:r>
    </w:p>
    <w:p w:rsidR="00000000" w:rsidDel="00000000" w:rsidP="00000000" w:rsidRDefault="00000000" w:rsidRPr="00000000" w14:paraId="000001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1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w:t>
      </w:r>
      <w:r w:rsidDel="00000000" w:rsidR="00000000" w:rsidRPr="00000000">
        <w:rPr>
          <w:highlight w:val="white"/>
          <w:rtl w:val="0"/>
        </w:rPr>
        <w:t xml:space="preserve">hape.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734050" cy="3457575"/>
            <wp:effectExtent b="0" l="0" r="0" t="0"/>
            <wp:wrapTopAndBottom distB="114300" distT="114300"/>
            <wp:docPr id="5" name="image11.png"/>
            <a:graphic>
              <a:graphicData uri="http://schemas.openxmlformats.org/drawingml/2006/picture">
                <pic:pic>
                  <pic:nvPicPr>
                    <pic:cNvPr id="0" name="image11.png"/>
                    <pic:cNvPicPr preferRelativeResize="0"/>
                  </pic:nvPicPr>
                  <pic:blipFill>
                    <a:blip r:embed="rId12"/>
                    <a:srcRect b="0" l="0" r="0" t="1359"/>
                    <a:stretch>
                      <a:fillRect/>
                    </a:stretch>
                  </pic:blipFill>
                  <pic:spPr>
                    <a:xfrm>
                      <a:off x="0" y="0"/>
                      <a:ext cx="5734050" cy="3457575"/>
                    </a:xfrm>
                    <a:prstGeom prst="rect"/>
                    <a:ln/>
                  </pic:spPr>
                </pic:pic>
              </a:graphicData>
            </a:graphic>
          </wp:anchor>
        </w:drawing>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rtl w:val="0"/>
        </w:rPr>
        <w:t xml:space="preserve">   </w:t>
      </w:r>
    </w:p>
    <w:p w:rsidR="00000000" w:rsidDel="00000000" w:rsidP="00000000" w:rsidRDefault="00000000" w:rsidRPr="00000000" w14:paraId="00000121">
      <w:pPr>
        <w:pageBreakBefore w:val="0"/>
        <w:jc w:val="center"/>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r>
    </w:p>
    <w:p w:rsidR="00000000" w:rsidDel="00000000" w:rsidP="00000000" w:rsidRDefault="00000000" w:rsidRPr="00000000" w14:paraId="00000123">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492500"/>
            <wp:effectExtent b="0" l="0" r="0" t="0"/>
            <wp:wrapTopAndBottom distB="114300" distT="114300"/>
            <wp:docPr id="31"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731200" cy="3492500"/>
                    </a:xfrm>
                    <a:prstGeom prst="rect"/>
                    <a:ln/>
                  </pic:spPr>
                </pic:pic>
              </a:graphicData>
            </a:graphic>
          </wp:anchor>
        </w:drawing>
      </w:r>
    </w:p>
    <w:p w:rsidR="00000000" w:rsidDel="00000000" w:rsidP="00000000" w:rsidRDefault="00000000" w:rsidRPr="00000000" w14:paraId="00000124">
      <w:pPr>
        <w:pageBreakBefore w:val="0"/>
        <w:jc w:val="left"/>
        <w:rPr/>
      </w:pP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126">
      <w:pPr>
        <w:pageBreakBefore w:val="0"/>
        <w:jc w:val="center"/>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Estonia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Canada shares the characters of developing countries, with a balanced economics structure that leans towards intermediate-level industries. </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center"/>
        <w:rPr/>
      </w:pPr>
      <w:r w:rsidDel="00000000" w:rsidR="00000000" w:rsidRPr="00000000">
        <w:rPr/>
        <w:drawing>
          <wp:inline distB="114300" distT="114300" distL="114300" distR="114300">
            <wp:extent cx="5731200" cy="2387600"/>
            <wp:effectExtent b="0" l="0" r="0" t="0"/>
            <wp:docPr id="32"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2C">
      <w:pPr>
        <w:pageBreakBefore w:val="0"/>
        <w:jc w:val="center"/>
        <w:rPr/>
      </w:pPr>
      <w:r w:rsidDel="00000000" w:rsidR="00000000" w:rsidRPr="00000000">
        <w:rPr>
          <w:rtl w:val="0"/>
        </w:rPr>
      </w:r>
    </w:p>
    <w:p w:rsidR="00000000" w:rsidDel="00000000" w:rsidP="00000000" w:rsidRDefault="00000000" w:rsidRPr="00000000" w14:paraId="0000012D">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drawing>
          <wp:inline distB="114300" distT="114300" distL="114300" distR="114300">
            <wp:extent cx="2528888" cy="1141284"/>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34">
      <w:pPr>
        <w:pageBreakBefore w:val="0"/>
        <w:jc w:val="both"/>
        <w:rPr/>
      </w:pPr>
      <w:r w:rsidDel="00000000" w:rsidR="00000000" w:rsidRPr="00000000">
        <w:rPr>
          <w:rtl w:val="0"/>
        </w:rPr>
        <w:t xml:space="preserve"> </w:t>
      </w:r>
    </w:p>
    <w:p w:rsidR="00000000" w:rsidDel="00000000" w:rsidP="00000000" w:rsidRDefault="00000000" w:rsidRPr="00000000" w14:paraId="00000135">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36">
      <w:pPr>
        <w:pageBreakBefore w:val="0"/>
        <w:jc w:val="both"/>
        <w:rPr/>
      </w:pPr>
      <w:r w:rsidDel="00000000" w:rsidR="00000000" w:rsidRPr="00000000">
        <w:rPr>
          <w:rtl w:val="0"/>
        </w:rPr>
        <w:t xml:space="preserve"> </w:t>
      </w:r>
    </w:p>
    <w:p w:rsidR="00000000" w:rsidDel="00000000" w:rsidP="00000000" w:rsidRDefault="00000000" w:rsidRPr="00000000" w14:paraId="00000137">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jc w:val="center"/>
        <w:rPr/>
      </w:pPr>
      <w:r w:rsidDel="00000000" w:rsidR="00000000" w:rsidRPr="00000000">
        <w:rPr/>
        <w:drawing>
          <wp:inline distB="114300" distT="114300" distL="114300" distR="114300">
            <wp:extent cx="2138363" cy="71863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3D">
      <w:pPr>
        <w:pageBreakBefore w:val="0"/>
        <w:rPr/>
      </w:pPr>
      <w:r w:rsidDel="00000000" w:rsidR="00000000" w:rsidRPr="00000000">
        <w:rPr>
          <w:rtl w:val="0"/>
        </w:rPr>
        <w:t xml:space="preserve"> </w:t>
      </w:r>
    </w:p>
    <w:p w:rsidR="00000000" w:rsidDel="00000000" w:rsidP="00000000" w:rsidRDefault="00000000" w:rsidRPr="00000000" w14:paraId="0000013E">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3F">
      <w:pPr>
        <w:pageBreakBefore w:val="0"/>
        <w:jc w:val="both"/>
        <w:rPr>
          <w:b w:val="1"/>
          <w:bCs w:val="1"/>
        </w:rPr>
      </w:pPr>
      <w:r w:rsidDel="00000000" w:rsidR="00000000" w:rsidRPr="00000000">
        <w:rPr>
          <w:rtl w:val="0"/>
        </w:rPr>
      </w:r>
    </w:p>
    <w:p w:rsidR="00000000" w:rsidDel="00000000" w:rsidP="00000000" w:rsidRDefault="00000000" w:rsidRPr="00000000" w14:paraId="00000140">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41">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142">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43">
      <w:pPr>
        <w:pageBreakBefore w:val="0"/>
        <w:jc w:val="center"/>
        <w:rPr>
          <w:b w:val="1"/>
          <w:bCs w:val="1"/>
        </w:rPr>
      </w:pPr>
      <w:r w:rsidDel="00000000" w:rsidR="00000000" w:rsidRPr="00000000">
        <w:rPr>
          <w:b w:val="1"/>
          <w:bCs w:val="1"/>
          <w:rtl w:val="0"/>
        </w:rPr>
        <w:t xml:space="preserve"> </w:t>
      </w:r>
    </w:p>
    <w:tbl>
      <w:tblPr>
        <w:tblStyle w:val="Table7"/>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6A">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6B">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6C">
      <w:pPr>
        <w:pageBreakBefore w:val="0"/>
        <w:jc w:val="both"/>
        <w:rPr>
          <w:highlight w:val="white"/>
        </w:rPr>
      </w:pPr>
      <w:r w:rsidDel="00000000" w:rsidR="00000000" w:rsidRPr="00000000">
        <w:rPr>
          <w:rtl w:val="0"/>
        </w:rPr>
      </w:r>
    </w:p>
    <w:p w:rsidR="00000000" w:rsidDel="00000000" w:rsidP="00000000" w:rsidRDefault="00000000" w:rsidRPr="00000000" w14:paraId="0000016D">
      <w:pPr>
        <w:pageBreakBefore w:val="0"/>
        <w:jc w:val="both"/>
        <w:rPr>
          <w:highlight w:val="white"/>
        </w:rPr>
      </w:pPr>
      <w:r w:rsidDel="00000000" w:rsidR="00000000" w:rsidRPr="00000000">
        <w:rPr>
          <w:highlight w:val="white"/>
          <w:rtl w:val="0"/>
        </w:rPr>
        <w:t xml:space="preserve">Below is the economic panel for Estonia in 2013. We can see that for different percentages of heuristic total export growth, the ECIs of Estonia have a similar level of increment. Overall, 5 and 10 percent export growth result in ECI improvement from 1.12 to 1.15. However, 15 and 20 percent export growth do not experience any obvious ECI improvement, as the ECI stays at 1.15 for both.</w:t>
      </w:r>
    </w:p>
    <w:p w:rsidR="00000000" w:rsidDel="00000000" w:rsidP="00000000" w:rsidRDefault="00000000" w:rsidRPr="00000000" w14:paraId="0000016E">
      <w:pPr>
        <w:pageBreakBefore w:val="0"/>
        <w:jc w:val="both"/>
        <w:rPr>
          <w:highlight w:val="white"/>
        </w:rPr>
      </w:pPr>
      <w:r w:rsidDel="00000000" w:rsidR="00000000" w:rsidRPr="00000000">
        <w:rPr>
          <w:highlight w:val="white"/>
          <w:rtl w:val="0"/>
        </w:rPr>
        <w:t xml:space="preserve"> </w:t>
      </w:r>
    </w:p>
    <w:p w:rsidR="00000000" w:rsidDel="00000000" w:rsidP="00000000" w:rsidRDefault="00000000" w:rsidRPr="00000000" w14:paraId="0000016F">
      <w:pPr>
        <w:pageBreakBefore w:val="0"/>
        <w:jc w:val="both"/>
        <w:rPr>
          <w:highlight w:val="white"/>
        </w:rPr>
      </w:pPr>
      <w:r w:rsidDel="00000000" w:rsidR="00000000" w:rsidRPr="00000000">
        <w:rPr>
          <w:highlight w:val="white"/>
          <w:rtl w:val="0"/>
        </w:rPr>
        <w:t xml:space="preserve">For the case of 5 percent export growth, Machinery &amp; Construction accounts for most of the portfolio. For 10 percent export growth, in addition to the industries that we mentioned before, more weight is put into Chemical Manufacturing. In the first ECI improvement trajectory, we also notice that the largest improvement comes from Machinery &amp; Construction, suggesting that with a low economic improvement anticipation, Estonia should focus more on developing the industry of services and utilities. For the case of 15 and 20 percent increment budgets, we realize that the development trajectories are in a similar pattern except that there are a few additional steps when there are more budgets. Different from the previous two cases, the solutions suggest that Estonia should invest more on Vegetables, Fruits and Plants, in addition to Chemical Manufacturing. A more detailed numerical representation of the portfolio is shown in Table 8.</w:t>
      </w:r>
    </w:p>
    <w:p w:rsidR="00000000" w:rsidDel="00000000" w:rsidP="00000000" w:rsidRDefault="00000000" w:rsidRPr="00000000" w14:paraId="00000170">
      <w:pPr>
        <w:pageBreakBefore w:val="0"/>
        <w:jc w:val="both"/>
        <w:rPr>
          <w:highlight w:val="white"/>
        </w:rPr>
      </w:pPr>
      <w:r w:rsidDel="00000000" w:rsidR="00000000" w:rsidRPr="00000000">
        <w:rPr>
          <w:rtl w:val="0"/>
        </w:rPr>
      </w:r>
    </w:p>
    <w:p w:rsidR="00000000" w:rsidDel="00000000" w:rsidP="00000000" w:rsidRDefault="00000000" w:rsidRPr="00000000" w14:paraId="00000171">
      <w:pPr>
        <w:pageBreakBefore w:val="0"/>
        <w:jc w:val="both"/>
        <w:rPr>
          <w:highlight w:val="white"/>
        </w:rPr>
      </w:pPr>
      <w:r w:rsidDel="00000000" w:rsidR="00000000" w:rsidRPr="00000000">
        <w:rPr>
          <w:highlight w:val="white"/>
        </w:rPr>
        <w:drawing>
          <wp:inline distB="114300" distT="114300" distL="114300" distR="114300">
            <wp:extent cx="5734050" cy="2114550"/>
            <wp:effectExtent b="0" l="0" r="0" t="0"/>
            <wp:docPr id="29" name="image29.png"/>
            <a:graphic>
              <a:graphicData uri="http://schemas.openxmlformats.org/drawingml/2006/picture">
                <pic:pic>
                  <pic:nvPicPr>
                    <pic:cNvPr id="0" name="image29.png"/>
                    <pic:cNvPicPr preferRelativeResize="0"/>
                  </pic:nvPicPr>
                  <pic:blipFill>
                    <a:blip r:embed="rId17"/>
                    <a:srcRect b="26246" l="0" r="0" t="0"/>
                    <a:stretch>
                      <a:fillRect/>
                    </a:stretch>
                  </pic:blipFill>
                  <pic:spPr>
                    <a:xfrm>
                      <a:off x="0" y="0"/>
                      <a:ext cx="57340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jc w:val="both"/>
        <w:rPr>
          <w:highlight w:val="white"/>
        </w:rPr>
      </w:pPr>
      <w:r w:rsidDel="00000000" w:rsidR="00000000" w:rsidRPr="00000000">
        <w:rPr>
          <w:highlight w:val="white"/>
        </w:rPr>
        <w:drawing>
          <wp:inline distB="114300" distT="114300" distL="114300" distR="114300">
            <wp:extent cx="5734050" cy="1895475"/>
            <wp:effectExtent b="0" l="0" r="0" t="0"/>
            <wp:docPr id="12" name="image7.png"/>
            <a:graphic>
              <a:graphicData uri="http://schemas.openxmlformats.org/drawingml/2006/picture">
                <pic:pic>
                  <pic:nvPicPr>
                    <pic:cNvPr id="0" name="image7.png"/>
                    <pic:cNvPicPr preferRelativeResize="0"/>
                  </pic:nvPicPr>
                  <pic:blipFill>
                    <a:blip r:embed="rId18"/>
                    <a:srcRect b="12335" l="0" r="0" t="0"/>
                    <a:stretch>
                      <a:fillRect/>
                    </a:stretch>
                  </pic:blipFill>
                  <pic:spPr>
                    <a:xfrm>
                      <a:off x="0" y="0"/>
                      <a:ext cx="57340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jc w:val="both"/>
        <w:rPr>
          <w:highlight w:val="white"/>
        </w:rPr>
      </w:pPr>
      <w:r w:rsidDel="00000000" w:rsidR="00000000" w:rsidRPr="00000000">
        <w:rPr>
          <w:rtl w:val="0"/>
        </w:rPr>
      </w:r>
    </w:p>
    <w:p w:rsidR="00000000" w:rsidDel="00000000" w:rsidP="00000000" w:rsidRDefault="00000000" w:rsidRPr="00000000" w14:paraId="00000174">
      <w:pPr>
        <w:pageBreakBefore w:val="0"/>
        <w:jc w:val="center"/>
        <w:rPr>
          <w:highlight w:val="white"/>
        </w:rPr>
      </w:pPr>
      <w:r w:rsidDel="00000000" w:rsidR="00000000" w:rsidRPr="00000000">
        <w:rPr>
          <w:highlight w:val="white"/>
          <w:rtl w:val="0"/>
        </w:rPr>
        <w:t xml:space="preserve">Figure 5a: Greedy Based ECI Improvement Results of Estonia in 2013 with Different Budgets</w:t>
      </w:r>
    </w:p>
    <w:p w:rsidR="00000000" w:rsidDel="00000000" w:rsidP="00000000" w:rsidRDefault="00000000" w:rsidRPr="00000000" w14:paraId="00000175">
      <w:pPr>
        <w:pageBreakBefore w:val="0"/>
        <w:jc w:val="both"/>
        <w:rPr>
          <w:highlight w:val="white"/>
        </w:rPr>
      </w:pPr>
      <w:r w:rsidDel="00000000" w:rsidR="00000000" w:rsidRPr="00000000">
        <w:rPr>
          <w:rtl w:val="0"/>
        </w:rPr>
      </w:r>
    </w:p>
    <w:p w:rsidR="00000000" w:rsidDel="00000000" w:rsidP="00000000" w:rsidRDefault="00000000" w:rsidRPr="00000000" w14:paraId="00000176">
      <w:pPr>
        <w:pageBreakBefore w:val="0"/>
        <w:jc w:val="both"/>
        <w:rPr>
          <w:highlight w:val="white"/>
        </w:rPr>
      </w:pPr>
      <w:r w:rsidDel="00000000" w:rsidR="00000000" w:rsidRPr="00000000">
        <w:rPr>
          <w:highlight w:val="white"/>
        </w:rPr>
        <w:drawing>
          <wp:inline distB="114300" distT="114300" distL="114300" distR="114300">
            <wp:extent cx="5731200" cy="1092200"/>
            <wp:effectExtent b="0" l="0" r="0" t="0"/>
            <wp:docPr id="30"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both"/>
        <w:rPr>
          <w:highlight w:val="white"/>
        </w:rPr>
      </w:pPr>
      <w:r w:rsidDel="00000000" w:rsidR="00000000" w:rsidRPr="00000000">
        <w:rPr>
          <w:rtl w:val="0"/>
        </w:rPr>
      </w:r>
    </w:p>
    <w:p w:rsidR="00000000" w:rsidDel="00000000" w:rsidP="00000000" w:rsidRDefault="00000000" w:rsidRPr="00000000" w14:paraId="00000178">
      <w:pPr>
        <w:pageBreakBefore w:val="0"/>
        <w:jc w:val="center"/>
        <w:rPr>
          <w:highlight w:val="white"/>
        </w:rPr>
      </w:pPr>
      <w:r w:rsidDel="00000000" w:rsidR="00000000" w:rsidRPr="00000000">
        <w:rPr>
          <w:highlight w:val="white"/>
          <w:rtl w:val="0"/>
        </w:rPr>
        <w:t xml:space="preserve">Table 8a: Portfolio of Estonia  (2013)</w:t>
      </w:r>
    </w:p>
    <w:p w:rsidR="00000000" w:rsidDel="00000000" w:rsidP="00000000" w:rsidRDefault="00000000" w:rsidRPr="00000000" w14:paraId="00000179">
      <w:pPr>
        <w:pageBreakBefore w:val="0"/>
        <w:jc w:val="both"/>
        <w:rPr>
          <w:highlight w:val="white"/>
        </w:rPr>
      </w:pPr>
      <w:r w:rsidDel="00000000" w:rsidR="00000000" w:rsidRPr="00000000">
        <w:rPr>
          <w:rtl w:val="0"/>
        </w:rPr>
      </w:r>
    </w:p>
    <w:p w:rsidR="00000000" w:rsidDel="00000000" w:rsidP="00000000" w:rsidRDefault="00000000" w:rsidRPr="00000000" w14:paraId="0000017A">
      <w:pPr>
        <w:pageBreakBefore w:val="0"/>
        <w:jc w:val="both"/>
        <w:rPr>
          <w:highlight w:val="white"/>
        </w:rPr>
      </w:pPr>
      <w:r w:rsidDel="00000000" w:rsidR="00000000" w:rsidRPr="00000000">
        <w:rPr>
          <w:highlight w:val="white"/>
          <w:rtl w:val="0"/>
        </w:rPr>
        <w:t xml:space="preserve">Below is the optimization result of Estonia based on export data in 2018. There is a similar pattern for the ECI improvement trajectories, which is that the improvements in 5 and 10 percent export growth are similar, and the ones in 15 and 20 are similar. But one difference is that the main components that result in ECI improvements are not quite similar. For a 5 and 10 percent export growth, the main component includes Vegetables, Fruits and Plants. For situations with higher budgets of investment, like 15 or 20 percent of growth, the portfolios are more diverse than the previous two cases, and High-Complexity Products is the most favored industry, which makes sense as a higher budget encourages more complex production. A more detailed numerical representation of the portfolio is shown in Table 9. </w:t>
      </w:r>
    </w:p>
    <w:p w:rsidR="00000000" w:rsidDel="00000000" w:rsidP="00000000" w:rsidRDefault="00000000" w:rsidRPr="00000000" w14:paraId="0000017B">
      <w:pPr>
        <w:pageBreakBefore w:val="0"/>
        <w:jc w:val="both"/>
        <w:rPr>
          <w:highlight w:val="white"/>
        </w:rPr>
      </w:pPr>
      <w:r w:rsidDel="00000000" w:rsidR="00000000" w:rsidRPr="00000000">
        <w:rPr>
          <w:highlight w:val="white"/>
        </w:rPr>
        <w:drawing>
          <wp:inline distB="114300" distT="114300" distL="114300" distR="114300">
            <wp:extent cx="5734050" cy="2066925"/>
            <wp:effectExtent b="0" l="0" r="0" t="0"/>
            <wp:docPr id="28" name="image28.png"/>
            <a:graphic>
              <a:graphicData uri="http://schemas.openxmlformats.org/drawingml/2006/picture">
                <pic:pic>
                  <pic:nvPicPr>
                    <pic:cNvPr id="0" name="image28.png"/>
                    <pic:cNvPicPr preferRelativeResize="0"/>
                  </pic:nvPicPr>
                  <pic:blipFill>
                    <a:blip r:embed="rId20"/>
                    <a:srcRect b="27907" l="0" r="0" t="0"/>
                    <a:stretch>
                      <a:fillRect/>
                    </a:stretch>
                  </pic:blipFill>
                  <pic:spPr>
                    <a:xfrm>
                      <a:off x="0" y="0"/>
                      <a:ext cx="5734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ageBreakBefore w:val="0"/>
        <w:jc w:val="both"/>
        <w:rPr>
          <w:highlight w:val="white"/>
        </w:rPr>
      </w:pPr>
      <w:r w:rsidDel="00000000" w:rsidR="00000000" w:rsidRPr="00000000">
        <w:rPr>
          <w:highlight w:val="white"/>
        </w:rPr>
        <w:drawing>
          <wp:inline distB="114300" distT="114300" distL="114300" distR="114300">
            <wp:extent cx="5734050" cy="1714500"/>
            <wp:effectExtent b="0" l="0" r="0" t="0"/>
            <wp:docPr id="14" name="image6.png"/>
            <a:graphic>
              <a:graphicData uri="http://schemas.openxmlformats.org/drawingml/2006/picture">
                <pic:pic>
                  <pic:nvPicPr>
                    <pic:cNvPr id="0" name="image6.png"/>
                    <pic:cNvPicPr preferRelativeResize="0"/>
                  </pic:nvPicPr>
                  <pic:blipFill>
                    <a:blip r:embed="rId21"/>
                    <a:srcRect b="13216" l="0" r="0" t="7489"/>
                    <a:stretch>
                      <a:fillRect/>
                    </a:stretch>
                  </pic:blipFill>
                  <pic:spPr>
                    <a:xfrm>
                      <a:off x="0" y="0"/>
                      <a:ext cx="57340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ageBreakBefore w:val="0"/>
        <w:jc w:val="both"/>
        <w:rPr>
          <w:highlight w:val="white"/>
        </w:rPr>
      </w:pPr>
      <w:r w:rsidDel="00000000" w:rsidR="00000000" w:rsidRPr="00000000">
        <w:rPr>
          <w:rtl w:val="0"/>
        </w:rPr>
      </w:r>
    </w:p>
    <w:p w:rsidR="00000000" w:rsidDel="00000000" w:rsidP="00000000" w:rsidRDefault="00000000" w:rsidRPr="00000000" w14:paraId="0000017E">
      <w:pPr>
        <w:pageBreakBefore w:val="0"/>
        <w:jc w:val="center"/>
        <w:rPr>
          <w:highlight w:val="white"/>
        </w:rPr>
      </w:pPr>
      <w:r w:rsidDel="00000000" w:rsidR="00000000" w:rsidRPr="00000000">
        <w:rPr>
          <w:highlight w:val="white"/>
          <w:rtl w:val="0"/>
        </w:rPr>
        <w:t xml:space="preserve">Figure 5b: Greedy Based ECI Improvement Results of Estonia in 2018 with Different Budgets</w:t>
      </w:r>
    </w:p>
    <w:p w:rsidR="00000000" w:rsidDel="00000000" w:rsidP="00000000" w:rsidRDefault="00000000" w:rsidRPr="00000000" w14:paraId="0000017F">
      <w:pPr>
        <w:pageBreakBefore w:val="0"/>
        <w:jc w:val="center"/>
        <w:rPr>
          <w:highlight w:val="white"/>
        </w:rPr>
      </w:pPr>
      <w:r w:rsidDel="00000000" w:rsidR="00000000" w:rsidRPr="00000000">
        <w:rPr>
          <w:rtl w:val="0"/>
        </w:rPr>
      </w:r>
    </w:p>
    <w:p w:rsidR="00000000" w:rsidDel="00000000" w:rsidP="00000000" w:rsidRDefault="00000000" w:rsidRPr="00000000" w14:paraId="00000180">
      <w:pPr>
        <w:pageBreakBefore w:val="0"/>
        <w:jc w:val="both"/>
        <w:rPr>
          <w:highlight w:val="white"/>
        </w:rPr>
      </w:pPr>
      <w:r w:rsidDel="00000000" w:rsidR="00000000" w:rsidRPr="00000000">
        <w:rPr>
          <w:highlight w:val="white"/>
        </w:rPr>
        <w:drawing>
          <wp:inline distB="114300" distT="114300" distL="114300" distR="114300">
            <wp:extent cx="5731200" cy="1066800"/>
            <wp:effectExtent b="0" l="0" r="0" t="0"/>
            <wp:docPr id="24"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center"/>
        <w:rPr>
          <w:highlight w:val="white"/>
        </w:rPr>
      </w:pPr>
      <w:r w:rsidDel="00000000" w:rsidR="00000000" w:rsidRPr="00000000">
        <w:rPr>
          <w:highlight w:val="white"/>
          <w:rtl w:val="0"/>
        </w:rPr>
        <w:t xml:space="preserve">Table 8b: Portfolio of Estonia (2018)</w:t>
      </w:r>
    </w:p>
    <w:p w:rsidR="00000000" w:rsidDel="00000000" w:rsidP="00000000" w:rsidRDefault="00000000" w:rsidRPr="00000000" w14:paraId="00000182">
      <w:pPr>
        <w:pageBreakBefore w:val="0"/>
        <w:jc w:val="center"/>
        <w:rPr>
          <w:highlight w:val="white"/>
        </w:rPr>
      </w:pPr>
      <w:r w:rsidDel="00000000" w:rsidR="00000000" w:rsidRPr="00000000">
        <w:rPr>
          <w:rtl w:val="0"/>
        </w:rPr>
      </w:r>
    </w:p>
    <w:p w:rsidR="00000000" w:rsidDel="00000000" w:rsidP="00000000" w:rsidRDefault="00000000" w:rsidRPr="00000000" w14:paraId="00000183">
      <w:pPr>
        <w:pageBreakBefore w:val="0"/>
        <w:jc w:val="center"/>
        <w:rPr>
          <w:highlight w:val="white"/>
        </w:rPr>
      </w:pPr>
      <w:r w:rsidDel="00000000" w:rsidR="00000000" w:rsidRPr="00000000">
        <w:rPr>
          <w:rtl w:val="0"/>
        </w:rPr>
      </w:r>
    </w:p>
    <w:p w:rsidR="00000000" w:rsidDel="00000000" w:rsidP="00000000" w:rsidRDefault="00000000" w:rsidRPr="00000000" w14:paraId="00000184">
      <w:pPr>
        <w:pageBreakBefore w:val="0"/>
        <w:jc w:val="center"/>
        <w:rPr>
          <w:highlight w:val="white"/>
        </w:rPr>
      </w:pPr>
      <w:r w:rsidDel="00000000" w:rsidR="00000000" w:rsidRPr="00000000">
        <w:rPr>
          <w:rtl w:val="0"/>
        </w:rPr>
      </w:r>
    </w:p>
    <w:p w:rsidR="00000000" w:rsidDel="00000000" w:rsidP="00000000" w:rsidRDefault="00000000" w:rsidRPr="00000000" w14:paraId="00000185">
      <w:pPr>
        <w:pageBreakBefore w:val="0"/>
        <w:rPr>
          <w:highlight w:val="white"/>
        </w:rPr>
      </w:pPr>
      <w:r w:rsidDel="00000000" w:rsidR="00000000" w:rsidRPr="00000000">
        <w:rPr>
          <w:highlight w:val="white"/>
          <w:rtl w:val="0"/>
        </w:rPr>
        <w:t xml:space="preserve">Finally, ECI optimization based on 2022 export data is shown below. The optimal trajectory has changed significantly, with Weapons and Precious Stones becoming key industries for a 5% export growth;  Machinery and Construction leading the way for 10% export growth; Weapons again dominating for 15% export growth; and finally a mix of Machinery and Construction, Textile, and High-Complexity Products optimizing the 20% export grow</w:t>
      </w:r>
      <w:r w:rsidDel="00000000" w:rsidR="00000000" w:rsidRPr="00000000">
        <w:rPr>
          <w:highlight w:val="white"/>
        </w:rPr>
        <w:drawing>
          <wp:inline distB="114300" distT="114300" distL="114300" distR="114300">
            <wp:extent cx="5609816" cy="2804908"/>
            <wp:effectExtent b="0" l="0" r="0" t="0"/>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609816" cy="2804908"/>
                    </a:xfrm>
                    <a:prstGeom prst="rect"/>
                    <a:ln/>
                  </pic:spPr>
                </pic:pic>
              </a:graphicData>
            </a:graphic>
          </wp:inline>
        </w:drawing>
      </w:r>
      <w:r w:rsidDel="00000000" w:rsidR="00000000" w:rsidRPr="00000000">
        <w:rPr>
          <w:highlight w:val="white"/>
        </w:rPr>
        <w:drawing>
          <wp:inline distB="114300" distT="114300" distL="114300" distR="114300">
            <wp:extent cx="5217129" cy="1963436"/>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217129" cy="1963436"/>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jc w:val="center"/>
        <w:rPr>
          <w:highlight w:val="white"/>
        </w:rPr>
      </w:pPr>
      <w:r w:rsidDel="00000000" w:rsidR="00000000" w:rsidRPr="00000000">
        <w:rPr>
          <w:highlight w:val="white"/>
          <w:rtl w:val="0"/>
        </w:rPr>
        <w:t xml:space="preserve">Figure 5c: Greedy Based ECI Improvement Results of Estonia in 2022 with Different Budgets</w:t>
      </w:r>
    </w:p>
    <w:p w:rsidR="00000000" w:rsidDel="00000000" w:rsidP="00000000" w:rsidRDefault="00000000" w:rsidRPr="00000000" w14:paraId="00000187">
      <w:pPr>
        <w:rPr>
          <w:sz w:val="22"/>
          <w:szCs w:val="22"/>
        </w:rPr>
      </w:pPr>
      <w:r w:rsidDel="00000000" w:rsidR="00000000" w:rsidRPr="00000000">
        <w:rPr>
          <w:rtl w:val="0"/>
        </w:rPr>
      </w:r>
    </w:p>
    <w:p w:rsidR="00000000" w:rsidDel="00000000" w:rsidP="00000000" w:rsidRDefault="00000000" w:rsidRPr="00000000" w14:paraId="00000188">
      <w:pPr>
        <w:jc w:val="center"/>
        <w:rPr>
          <w:sz w:val="22"/>
          <w:szCs w:val="22"/>
        </w:rPr>
      </w:pPr>
      <w:r w:rsidDel="00000000" w:rsidR="00000000" w:rsidRPr="00000000">
        <w:rPr>
          <w:sz w:val="22"/>
          <w:szCs w:val="22"/>
        </w:rPr>
        <w:drawing>
          <wp:inline distB="114300" distT="114300" distL="114300" distR="114300">
            <wp:extent cx="5604206" cy="1565139"/>
            <wp:effectExtent b="0" l="0" r="0" t="0"/>
            <wp:docPr id="35"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604206" cy="1565139"/>
                    </a:xfrm>
                    <a:prstGeom prst="rect"/>
                    <a:ln/>
                  </pic:spPr>
                </pic:pic>
              </a:graphicData>
            </a:graphic>
          </wp:inline>
        </w:drawing>
      </w:r>
      <w:r w:rsidDel="00000000" w:rsidR="00000000" w:rsidRPr="00000000">
        <w:rPr>
          <w:sz w:val="22"/>
          <w:szCs w:val="22"/>
          <w:rtl w:val="0"/>
        </w:rPr>
        <w:t xml:space="preserve">Table 8c. Portfolio of Estonia (2022)</w:t>
      </w:r>
    </w:p>
    <w:p w:rsidR="00000000" w:rsidDel="00000000" w:rsidP="00000000" w:rsidRDefault="00000000" w:rsidRPr="00000000" w14:paraId="00000189">
      <w:pPr>
        <w:jc w:val="center"/>
        <w:rPr>
          <w:sz w:val="22"/>
          <w:szCs w:val="22"/>
        </w:rPr>
      </w:pPr>
      <w:r w:rsidDel="00000000" w:rsidR="00000000" w:rsidRPr="00000000">
        <w:rPr>
          <w:rtl w:val="0"/>
        </w:rPr>
      </w:r>
    </w:p>
    <w:p w:rsidR="00000000" w:rsidDel="00000000" w:rsidP="00000000" w:rsidRDefault="00000000" w:rsidRPr="00000000" w14:paraId="0000018A">
      <w:pPr>
        <w:pageBreakBefore w:val="0"/>
        <w:jc w:val="center"/>
        <w:rPr>
          <w:highlight w:val="white"/>
        </w:rPr>
      </w:pPr>
      <w:r w:rsidDel="00000000" w:rsidR="00000000" w:rsidRPr="00000000">
        <w:rPr>
          <w:rtl w:val="0"/>
        </w:rPr>
      </w:r>
    </w:p>
    <w:p w:rsidR="00000000" w:rsidDel="00000000" w:rsidP="00000000" w:rsidRDefault="00000000" w:rsidRPr="00000000" w14:paraId="0000018B">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8C">
      <w:pPr>
        <w:pageBreakBefore w:val="0"/>
        <w:spacing w:after="240" w:before="240" w:line="276" w:lineRule="auto"/>
        <w:rPr/>
      </w:pPr>
      <w:r w:rsidDel="00000000" w:rsidR="00000000" w:rsidRPr="00000000">
        <w:rPr>
          <w:rtl w:val="0"/>
        </w:rPr>
        <w:t xml:space="preserve">In the following section our broad aim is to understand how sensitive Estonia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8D">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8E">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8F">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90">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1.jpg"/>
            <a:graphic>
              <a:graphicData uri="http://schemas.openxmlformats.org/drawingml/2006/picture">
                <pic:pic>
                  <pic:nvPicPr>
                    <pic:cNvPr id="0" name="image1.jpg"/>
                    <pic:cNvPicPr preferRelativeResize="0"/>
                  </pic:nvPicPr>
                  <pic:blipFill>
                    <a:blip r:embed="rId2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92">
      <w:pPr>
        <w:pageBreakBefore w:val="0"/>
        <w:jc w:val="both"/>
        <w:rPr>
          <w:b w:val="1"/>
          <w:bCs w:val="1"/>
        </w:rPr>
      </w:pPr>
      <w:r w:rsidDel="00000000" w:rsidR="00000000" w:rsidRPr="00000000">
        <w:rPr>
          <w:rtl w:val="0"/>
        </w:rPr>
      </w:r>
    </w:p>
    <w:p w:rsidR="00000000" w:rsidDel="00000000" w:rsidP="00000000" w:rsidRDefault="00000000" w:rsidRPr="00000000" w14:paraId="00000193">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94">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5">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96">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7">
      <w:pPr>
        <w:pageBreakBefore w:val="0"/>
        <w:spacing w:line="276" w:lineRule="auto"/>
        <w:rPr/>
      </w:pPr>
      <w:r w:rsidDel="00000000" w:rsidR="00000000" w:rsidRPr="00000000">
        <w:rPr>
          <w:rtl w:val="0"/>
        </w:rPr>
      </w:r>
    </w:p>
    <w:p w:rsidR="00000000" w:rsidDel="00000000" w:rsidP="00000000" w:rsidRDefault="00000000" w:rsidRPr="00000000" w14:paraId="00000198">
      <w:pPr>
        <w:pageBreakBefore w:val="0"/>
        <w:jc w:val="both"/>
        <w:rPr/>
      </w:pPr>
      <w:r w:rsidDel="00000000" w:rsidR="00000000" w:rsidRPr="00000000">
        <w:rPr/>
        <w:drawing>
          <wp:inline distB="114300" distT="114300" distL="114300" distR="114300">
            <wp:extent cx="5734050" cy="1739900"/>
            <wp:effectExtent b="0" l="0" r="0" t="0"/>
            <wp:docPr id="8"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9A">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9B">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9C">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9D">
      <w:pPr>
        <w:pageBreakBefore w:val="0"/>
        <w:spacing w:line="276" w:lineRule="auto"/>
        <w:rPr/>
      </w:pPr>
      <w:r w:rsidDel="00000000" w:rsidR="00000000" w:rsidRPr="00000000">
        <w:rPr>
          <w:rtl w:val="0"/>
        </w:rPr>
      </w:r>
    </w:p>
    <w:p w:rsidR="00000000" w:rsidDel="00000000" w:rsidP="00000000" w:rsidRDefault="00000000" w:rsidRPr="00000000" w14:paraId="0000019E">
      <w:pPr>
        <w:pageBreakBefore w:val="0"/>
        <w:jc w:val="center"/>
        <w:rPr>
          <w:sz w:val="22"/>
          <w:szCs w:val="22"/>
        </w:rPr>
      </w:pPr>
      <w:r w:rsidDel="00000000" w:rsidR="00000000" w:rsidRPr="00000000">
        <w:rPr>
          <w:sz w:val="22"/>
          <w:szCs w:val="22"/>
        </w:rPr>
        <w:drawing>
          <wp:inline distB="114300" distT="114300" distL="114300" distR="114300">
            <wp:extent cx="5094011" cy="2767013"/>
            <wp:effectExtent b="0" l="0" r="0" t="0"/>
            <wp:docPr id="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094011"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A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3">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A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Below are Estonia’s 2022 ECI Sensitivity Charts. The chart showing sensitivity to a positive shocking illustrates how increases in Energy Drilling and Mining leads to the most significant uptrend in ECI.</w:t>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t xml:space="preserve">The Negative Shock chart shows again that Estonia is highly sensitive regarding the Energy Drilling and Mining industry, which significantly decreases ECI in the case of a drawdown.</w:t>
      </w:r>
    </w:p>
    <w:p w:rsidR="00000000" w:rsidDel="00000000" w:rsidP="00000000" w:rsidRDefault="00000000" w:rsidRPr="00000000" w14:paraId="000001AA">
      <w:pPr>
        <w:pageBreakBefore w:val="0"/>
        <w:jc w:val="center"/>
        <w:rPr/>
      </w:pPr>
      <w:r w:rsidDel="00000000" w:rsidR="00000000" w:rsidRPr="00000000">
        <w:rPr/>
        <w:drawing>
          <wp:inline distB="114300" distT="114300" distL="114300" distR="114300">
            <wp:extent cx="5731200" cy="1473200"/>
            <wp:effectExtent b="0" l="0" r="0" t="0"/>
            <wp:docPr id="2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1473200"/>
                    </a:xfrm>
                    <a:prstGeom prst="rect"/>
                    <a:ln/>
                  </pic:spPr>
                </pic:pic>
              </a:graphicData>
            </a:graphic>
          </wp:inline>
        </w:drawing>
      </w:r>
      <w:r w:rsidDel="00000000" w:rsidR="00000000" w:rsidRPr="00000000">
        <w:rPr>
          <w:rtl w:val="0"/>
        </w:rPr>
        <w:t xml:space="preserve">Estonia Incremental ECI Sensitivity (2022)</w:t>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drawing>
          <wp:inline distB="114300" distT="114300" distL="114300" distR="114300">
            <wp:extent cx="5731200" cy="1473200"/>
            <wp:effectExtent b="0" l="0" r="0" t="0"/>
            <wp:docPr id="37"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t xml:space="preserve">Estonia Decremental ECI Sensitivity (2022)</w:t>
      </w:r>
    </w:p>
    <w:p w:rsidR="00000000" w:rsidDel="00000000" w:rsidP="00000000" w:rsidRDefault="00000000" w:rsidRPr="00000000" w14:paraId="000001AE">
      <w:pPr>
        <w:pageBreakBefore w:val="0"/>
        <w:jc w:val="both"/>
        <w:rPr/>
      </w:pPr>
      <w:r w:rsidDel="00000000" w:rsidR="00000000" w:rsidRPr="00000000">
        <w:rPr>
          <w:rtl w:val="0"/>
        </w:rPr>
      </w:r>
    </w:p>
    <w:p w:rsidR="00000000" w:rsidDel="00000000" w:rsidP="00000000" w:rsidRDefault="00000000" w:rsidRPr="00000000" w14:paraId="000001AF">
      <w:pPr>
        <w:pageBreakBefore w:val="0"/>
        <w:jc w:val="both"/>
        <w:rPr/>
      </w:pPr>
      <w:r w:rsidDel="00000000" w:rsidR="00000000" w:rsidRPr="00000000">
        <w:rPr>
          <w:rtl w:val="0"/>
        </w:rPr>
        <w:t xml:space="preserve">Estonia’s 2018 ECI Sensitivity Charts. Firstly in the positive chart, we notice immediately that increases in High Complexity Product, Food and Preparations, and Machinery lead to an uptrend in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B0">
      <w:pPr>
        <w:pageBreakBefore w:val="0"/>
        <w:jc w:val="both"/>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Next we consider Estonia’s 2018 Negative Shock chart. We see that Estonia’s ECI is slightly sensitive to drawdowns in Wood Products and Animals / By-products. More interestingly, we see that large decreases in Energy, Drilling, and Mining, Metals and Food / Preparations seem to greatly increase the ECI score. These industries are three very important industries for Estonia’s economy and thus the results that are reflected in the chart may be suggesting that there is another industry that could be very beneficial for Estonia that is far in proximity from Metals and the Energy industry.  </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jc w:val="both"/>
        <w:rPr>
          <w:b w:val="1"/>
          <w:bCs w:val="1"/>
        </w:rPr>
      </w:pPr>
      <w:r w:rsidDel="00000000" w:rsidR="00000000" w:rsidRPr="00000000">
        <w:rPr>
          <w:rtl w:val="0"/>
        </w:rPr>
      </w:r>
    </w:p>
    <w:p w:rsidR="00000000" w:rsidDel="00000000" w:rsidP="00000000" w:rsidRDefault="00000000" w:rsidRPr="00000000" w14:paraId="000001B4">
      <w:pPr>
        <w:pageBreakBefore w:val="0"/>
        <w:jc w:val="center"/>
        <w:rPr/>
      </w:pPr>
      <w:r w:rsidDel="00000000" w:rsidR="00000000" w:rsidRPr="00000000">
        <w:rPr>
          <w:rtl w:val="0"/>
        </w:rPr>
      </w:r>
    </w:p>
    <w:p w:rsidR="00000000" w:rsidDel="00000000" w:rsidP="00000000" w:rsidRDefault="00000000" w:rsidRPr="00000000" w14:paraId="000001B5">
      <w:pPr>
        <w:pageBreakBefore w:val="0"/>
        <w:jc w:val="center"/>
        <w:rPr/>
      </w:pPr>
      <w:r w:rsidDel="00000000" w:rsidR="00000000" w:rsidRPr="00000000">
        <w:rPr>
          <w:rtl w:val="0"/>
        </w:rPr>
      </w:r>
    </w:p>
    <w:p w:rsidR="00000000" w:rsidDel="00000000" w:rsidP="00000000" w:rsidRDefault="00000000" w:rsidRPr="00000000" w14:paraId="000001B6">
      <w:pPr>
        <w:pageBreakBefore w:val="0"/>
        <w:jc w:val="center"/>
        <w:rPr/>
      </w:pPr>
      <w:r w:rsidDel="00000000" w:rsidR="00000000" w:rsidRPr="00000000">
        <w:rPr>
          <w:rtl w:val="0"/>
        </w:rPr>
      </w:r>
    </w:p>
    <w:p w:rsidR="00000000" w:rsidDel="00000000" w:rsidP="00000000" w:rsidRDefault="00000000" w:rsidRPr="00000000" w14:paraId="000001B7">
      <w:pPr>
        <w:pageBreakBefore w:val="0"/>
        <w:jc w:val="center"/>
        <w:rPr/>
      </w:pPr>
      <w:r w:rsidDel="00000000" w:rsidR="00000000" w:rsidRPr="00000000">
        <w:rPr>
          <w:rtl w:val="0"/>
        </w:rPr>
      </w:r>
    </w:p>
    <w:p w:rsidR="00000000" w:rsidDel="00000000" w:rsidP="00000000" w:rsidRDefault="00000000" w:rsidRPr="00000000" w14:paraId="000001B8">
      <w:pPr>
        <w:pageBreakBefore w:val="0"/>
        <w:jc w:val="center"/>
        <w:rPr/>
      </w:pPr>
      <w:r w:rsidDel="00000000" w:rsidR="00000000" w:rsidRPr="00000000">
        <w:rPr>
          <w:rtl w:val="0"/>
        </w:rPr>
      </w:r>
    </w:p>
    <w:p w:rsidR="00000000" w:rsidDel="00000000" w:rsidP="00000000" w:rsidRDefault="00000000" w:rsidRPr="00000000" w14:paraId="000001B9">
      <w:pPr>
        <w:pageBreakBefore w:val="0"/>
        <w:jc w:val="left"/>
        <w:rPr/>
      </w:pPr>
      <w:r w:rsidDel="00000000" w:rsidR="00000000" w:rsidRPr="00000000">
        <w:rPr>
          <w:rtl w:val="0"/>
        </w:rPr>
      </w:r>
    </w:p>
    <w:p w:rsidR="00000000" w:rsidDel="00000000" w:rsidP="00000000" w:rsidRDefault="00000000" w:rsidRPr="00000000" w14:paraId="000001BA">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5731200" cy="1638300"/>
            <wp:effectExtent b="0" l="0" r="0" t="0"/>
            <wp:wrapTopAndBottom distB="0" distT="0"/>
            <wp:docPr id="39"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5731200" cy="1638300"/>
                    </a:xfrm>
                    <a:prstGeom prst="rect"/>
                    <a:ln/>
                  </pic:spPr>
                </pic:pic>
              </a:graphicData>
            </a:graphic>
          </wp:anchor>
        </w:drawing>
      </w:r>
    </w:p>
    <w:p w:rsidR="00000000" w:rsidDel="00000000" w:rsidP="00000000" w:rsidRDefault="00000000" w:rsidRPr="00000000" w14:paraId="000001BB">
      <w:pPr>
        <w:pageBreakBefore w:val="0"/>
        <w:jc w:val="center"/>
        <w:rPr>
          <w:b w:val="1"/>
          <w:bCs w:val="1"/>
        </w:rPr>
      </w:pPr>
      <w:r w:rsidDel="00000000" w:rsidR="00000000" w:rsidRPr="00000000">
        <w:rPr>
          <w:rtl w:val="0"/>
        </w:rPr>
        <w:t xml:space="preserve">Estonia Incremental ECI Sensitivity (2018)</w:t>
      </w:r>
      <w:r w:rsidDel="00000000" w:rsidR="00000000" w:rsidRPr="00000000">
        <w:rPr>
          <w:rtl w:val="0"/>
        </w:rPr>
      </w:r>
    </w:p>
    <w:p w:rsidR="00000000" w:rsidDel="00000000" w:rsidP="00000000" w:rsidRDefault="00000000" w:rsidRPr="00000000" w14:paraId="000001BC">
      <w:pPr>
        <w:pageBreakBefore w:val="0"/>
        <w:jc w:val="both"/>
        <w:rPr>
          <w:b w:val="1"/>
          <w:bCs w:val="1"/>
        </w:rPr>
      </w:pPr>
      <w:r w:rsidDel="00000000" w:rsidR="00000000" w:rsidRPr="00000000">
        <w:rPr>
          <w:b w:val="1"/>
          <w:bCs w:val="1"/>
        </w:rPr>
        <w:drawing>
          <wp:inline distB="114300" distT="114300" distL="114300" distR="114300">
            <wp:extent cx="5731200" cy="1790700"/>
            <wp:effectExtent b="0" l="0" r="0" t="0"/>
            <wp:docPr id="7"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ageBreakBefore w:val="0"/>
        <w:jc w:val="center"/>
        <w:rPr/>
      </w:pPr>
      <w:r w:rsidDel="00000000" w:rsidR="00000000" w:rsidRPr="00000000">
        <w:rPr>
          <w:rtl w:val="0"/>
        </w:rPr>
        <w:t xml:space="preserve">Estonia Decremental ECI Sensitivity (2018)</w:t>
      </w:r>
    </w:p>
    <w:p w:rsidR="00000000" w:rsidDel="00000000" w:rsidP="00000000" w:rsidRDefault="00000000" w:rsidRPr="00000000" w14:paraId="000001BE">
      <w:pPr>
        <w:pageBreakBefore w:val="0"/>
        <w:jc w:val="center"/>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Next we consider the 2013 ECI Sensitivity graphs. We see that in the positive shocking case,  the landscape of ECI sensitivity changes a bit over the five year period, with High complexity products and Machinery seeming to offer the best ECI growth prospects. Transportation does not affect ECI levels as positively as in 2018.</w:t>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t xml:space="preserve">In the 2013 negative shocking case, we see that again Estonia is very sensitive to drawdowns in High Complexity Products and Energy, Drilling, and Mining. </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b w:val="1"/>
          <w:bCs w:val="1"/>
        </w:rPr>
        <w:drawing>
          <wp:inline distB="114300" distT="114300" distL="114300" distR="114300">
            <wp:extent cx="5734050" cy="1790700"/>
            <wp:effectExtent b="0" l="0" r="0" t="0"/>
            <wp:docPr id="33"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7340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ageBreakBefore w:val="0"/>
        <w:jc w:val="center"/>
        <w:rPr/>
      </w:pPr>
      <w:r w:rsidDel="00000000" w:rsidR="00000000" w:rsidRPr="00000000">
        <w:rPr>
          <w:rtl w:val="0"/>
        </w:rPr>
        <w:t xml:space="preserve">Estonia Incremental ECI Sensitivity (2013)</w:t>
      </w:r>
    </w:p>
    <w:p w:rsidR="00000000" w:rsidDel="00000000" w:rsidP="00000000" w:rsidRDefault="00000000" w:rsidRPr="00000000" w14:paraId="000001C5">
      <w:pPr>
        <w:pageBreakBefore w:val="0"/>
        <w:jc w:val="both"/>
        <w:rPr>
          <w:b w:val="1"/>
          <w:bCs w:val="1"/>
        </w:rPr>
      </w:pPr>
      <w:r w:rsidDel="00000000" w:rsidR="00000000" w:rsidRPr="00000000">
        <w:rPr>
          <w:rtl w:val="0"/>
        </w:rPr>
      </w:r>
    </w:p>
    <w:p w:rsidR="00000000" w:rsidDel="00000000" w:rsidP="00000000" w:rsidRDefault="00000000" w:rsidRPr="00000000" w14:paraId="000001C6">
      <w:pPr>
        <w:pageBreakBefore w:val="0"/>
        <w:jc w:val="both"/>
        <w:rPr>
          <w:b w:val="1"/>
          <w:bCs w:val="1"/>
        </w:rPr>
      </w:pPr>
      <w:r w:rsidDel="00000000" w:rsidR="00000000" w:rsidRPr="00000000">
        <w:rPr>
          <w:rtl w:val="0"/>
        </w:rPr>
      </w:r>
    </w:p>
    <w:p w:rsidR="00000000" w:rsidDel="00000000" w:rsidP="00000000" w:rsidRDefault="00000000" w:rsidRPr="00000000" w14:paraId="000001C7">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1790700"/>
            <wp:effectExtent b="0" l="0" r="0" t="0"/>
            <wp:wrapTopAndBottom distB="114300" distT="114300"/>
            <wp:docPr id="19"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1790700"/>
                    </a:xfrm>
                    <a:prstGeom prst="rect"/>
                    <a:ln/>
                  </pic:spPr>
                </pic:pic>
              </a:graphicData>
            </a:graphic>
          </wp:anchor>
        </w:drawing>
      </w:r>
    </w:p>
    <w:p w:rsidR="00000000" w:rsidDel="00000000" w:rsidP="00000000" w:rsidRDefault="00000000" w:rsidRPr="00000000" w14:paraId="000001C8">
      <w:pPr>
        <w:pageBreakBefore w:val="0"/>
        <w:jc w:val="left"/>
        <w:rPr/>
      </w:pPr>
      <w:r w:rsidDel="00000000" w:rsidR="00000000" w:rsidRPr="00000000">
        <w:rPr>
          <w:rtl w:val="0"/>
        </w:rPr>
      </w:r>
    </w:p>
    <w:p w:rsidR="00000000" w:rsidDel="00000000" w:rsidP="00000000" w:rsidRDefault="00000000" w:rsidRPr="00000000" w14:paraId="000001C9">
      <w:pPr>
        <w:pageBreakBefore w:val="0"/>
        <w:jc w:val="center"/>
        <w:rPr/>
      </w:pPr>
      <w:r w:rsidDel="00000000" w:rsidR="00000000" w:rsidRPr="00000000">
        <w:rPr>
          <w:rtl w:val="0"/>
        </w:rPr>
        <w:t xml:space="preserve">Estonia Decremental  ECI Sensitivity (2013)</w:t>
      </w:r>
    </w:p>
    <w:p w:rsidR="00000000" w:rsidDel="00000000" w:rsidP="00000000" w:rsidRDefault="00000000" w:rsidRPr="00000000" w14:paraId="000001CA">
      <w:pPr>
        <w:pageBreakBefore w:val="0"/>
        <w:jc w:val="both"/>
        <w:rPr>
          <w:b w:val="1"/>
          <w:bCs w:val="1"/>
        </w:rPr>
      </w:pPr>
      <w:r w:rsidDel="00000000" w:rsidR="00000000" w:rsidRPr="00000000">
        <w:rPr>
          <w:rtl w:val="0"/>
        </w:rPr>
      </w:r>
    </w:p>
    <w:p w:rsidR="00000000" w:rsidDel="00000000" w:rsidP="00000000" w:rsidRDefault="00000000" w:rsidRPr="00000000" w14:paraId="000001CB">
      <w:pPr>
        <w:pageBreakBefore w:val="0"/>
        <w:jc w:val="both"/>
        <w:rPr>
          <w:b w:val="1"/>
          <w:bCs w:val="1"/>
        </w:rPr>
      </w:pPr>
      <w:r w:rsidDel="00000000" w:rsidR="00000000" w:rsidRPr="00000000">
        <w:rPr>
          <w:rtl w:val="0"/>
        </w:rPr>
      </w:r>
    </w:p>
    <w:p w:rsidR="00000000" w:rsidDel="00000000" w:rsidP="00000000" w:rsidRDefault="00000000" w:rsidRPr="00000000" w14:paraId="000001CC">
      <w:pPr>
        <w:pageBreakBefore w:val="0"/>
        <w:jc w:val="both"/>
        <w:rPr>
          <w:b w:val="1"/>
          <w:bCs w:val="1"/>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Below we see the SDV sensitivity charts for High Complexity Products. We see that increasing the export of High Complexity Products opens up few positive opportunity gain industries for Estonia to move into. After about a 150% increase, no industries within the SDV have positive opportunity gain. </w:t>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t xml:space="preserve">In the negative High Complexity Product SDV chart, we see that as we decrease the export of High Complexity Products, the number of industries with positive opportunity gain shrink suggesting that the opportunities available to Estonia are highly dependent on its High Complexity Product footprint.</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Concerning Precious Stones, Canada seems to be mostly insensitive to this industry suggesting that this is not an important industry in terms of the stability of its SDV. </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ind w:left="0" w:firstLine="0"/>
        <w:jc w:val="center"/>
        <w:rPr/>
      </w:pPr>
      <w:r w:rsidDel="00000000" w:rsidR="00000000" w:rsidRPr="00000000">
        <w:rPr>
          <w:rtl w:val="0"/>
        </w:rPr>
      </w:r>
    </w:p>
    <w:p w:rsidR="00000000" w:rsidDel="00000000" w:rsidP="00000000" w:rsidRDefault="00000000" w:rsidRPr="00000000" w14:paraId="000001D4">
      <w:pPr>
        <w:pageBreakBefore w:val="0"/>
        <w:ind w:left="0" w:firstLine="0"/>
        <w:jc w:val="center"/>
        <w:rPr/>
      </w:pPr>
      <w:r w:rsidDel="00000000" w:rsidR="00000000" w:rsidRPr="00000000">
        <w:rPr>
          <w:rtl w:val="0"/>
        </w:rPr>
      </w:r>
    </w:p>
    <w:p w:rsidR="00000000" w:rsidDel="00000000" w:rsidP="00000000" w:rsidRDefault="00000000" w:rsidRPr="00000000" w14:paraId="000001D5">
      <w:pPr>
        <w:pageBreakBefore w:val="0"/>
        <w:ind w:left="0" w:firstLine="0"/>
        <w:jc w:val="center"/>
        <w:rPr/>
      </w:pPr>
      <w:r w:rsidDel="00000000" w:rsidR="00000000" w:rsidRPr="00000000">
        <w:rPr>
          <w:rtl w:val="0"/>
        </w:rPr>
      </w:r>
    </w:p>
    <w:p w:rsidR="00000000" w:rsidDel="00000000" w:rsidP="00000000" w:rsidRDefault="00000000" w:rsidRPr="00000000" w14:paraId="000001D6">
      <w:pPr>
        <w:pageBreakBefore w:val="0"/>
        <w:ind w:left="0" w:firstLine="0"/>
        <w:jc w:val="center"/>
        <w:rPr/>
      </w:pPr>
      <w:r w:rsidDel="00000000" w:rsidR="00000000" w:rsidRPr="00000000">
        <w:rPr>
          <w:rtl w:val="0"/>
        </w:rPr>
      </w:r>
    </w:p>
    <w:p w:rsidR="00000000" w:rsidDel="00000000" w:rsidP="00000000" w:rsidRDefault="00000000" w:rsidRPr="00000000" w14:paraId="000001D7">
      <w:pPr>
        <w:pageBreakBefore w:val="0"/>
        <w:ind w:left="0" w:firstLine="0"/>
        <w:jc w:val="center"/>
        <w:rPr/>
      </w:pPr>
      <w:r w:rsidDel="00000000" w:rsidR="00000000" w:rsidRPr="00000000">
        <w:rPr>
          <w:rtl w:val="0"/>
        </w:rPr>
        <w:t xml:space="preserve">Estonia High-complexity Products 2018 (Incremental SDV Sensitivity)</w:t>
      </w:r>
    </w:p>
    <w:p w:rsidR="00000000" w:rsidDel="00000000" w:rsidP="00000000" w:rsidRDefault="00000000" w:rsidRPr="00000000" w14:paraId="000001D8">
      <w:pPr>
        <w:pageBreakBefore w:val="0"/>
        <w:ind w:left="0" w:firstLine="0"/>
        <w:jc w:val="left"/>
        <w:rPr/>
      </w:pPr>
      <w:r w:rsidDel="00000000" w:rsidR="00000000" w:rsidRPr="00000000">
        <w:rPr>
          <w:rtl w:val="0"/>
        </w:rPr>
      </w:r>
    </w:p>
    <w:p w:rsidR="00000000" w:rsidDel="00000000" w:rsidP="00000000" w:rsidRDefault="00000000" w:rsidRPr="00000000" w14:paraId="000001D9">
      <w:pPr>
        <w:pageBreakBefore w:val="0"/>
        <w:ind w:left="0" w:firstLine="0"/>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885090</wp:posOffset>
            </wp:positionH>
            <wp:positionV relativeFrom="page">
              <wp:posOffset>3703546</wp:posOffset>
            </wp:positionV>
            <wp:extent cx="5731200" cy="1562100"/>
            <wp:effectExtent b="0" l="0" r="0" t="0"/>
            <wp:wrapTopAndBottom distB="114300" distT="114300"/>
            <wp:docPr id="26"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31200" cy="1562100"/>
                    </a:xfrm>
                    <a:prstGeom prst="rect"/>
                    <a:ln/>
                  </pic:spPr>
                </pic:pic>
              </a:graphicData>
            </a:graphic>
          </wp:anchor>
        </w:drawing>
      </w:r>
      <w:r w:rsidDel="00000000" w:rsidR="00000000" w:rsidRPr="00000000">
        <w:rPr>
          <w:rtl w:val="0"/>
        </w:rPr>
      </w:r>
    </w:p>
    <w:p w:rsidR="00000000" w:rsidDel="00000000" w:rsidP="00000000" w:rsidRDefault="00000000" w:rsidRPr="00000000" w14:paraId="000001DA">
      <w:pPr>
        <w:pageBreakBefore w:val="0"/>
        <w:ind w:left="0" w:firstLine="0"/>
        <w:jc w:val="center"/>
        <w:rPr/>
      </w:pPr>
      <w:r w:rsidDel="00000000" w:rsidR="00000000" w:rsidRPr="00000000">
        <w:rPr>
          <w:rtl w:val="0"/>
        </w:rPr>
        <w:t xml:space="preserve">Estonia</w:t>
      </w:r>
      <w:r w:rsidDel="00000000" w:rsidR="00000000" w:rsidRPr="00000000">
        <w:rPr>
          <w:rtl w:val="0"/>
        </w:rPr>
        <w:t xml:space="preserve"> High-complexity Products 2018 (Decremental SDV Sensitivity)</w:t>
      </w:r>
      <w:r w:rsidDel="00000000" w:rsidR="00000000" w:rsidRPr="00000000">
        <w:rPr/>
        <w:drawing>
          <wp:anchor allowOverlap="1" behindDoc="0" distB="114300" distT="114300" distL="114300" distR="114300" hidden="0" layoutInCell="1" locked="0" relativeHeight="0" simplePos="0">
            <wp:simplePos x="0" y="0"/>
            <wp:positionH relativeFrom="page">
              <wp:posOffset>1776413</wp:posOffset>
            </wp:positionH>
            <wp:positionV relativeFrom="page">
              <wp:posOffset>685800</wp:posOffset>
            </wp:positionV>
            <wp:extent cx="4012277" cy="2452688"/>
            <wp:effectExtent b="0" l="0" r="0" t="0"/>
            <wp:wrapTopAndBottom distB="114300" distT="114300"/>
            <wp:docPr id="4"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012277" cy="2452688"/>
                    </a:xfrm>
                    <a:prstGeom prst="rect"/>
                    <a:ln/>
                  </pic:spPr>
                </pic:pic>
              </a:graphicData>
            </a:graphic>
          </wp:anchor>
        </w:drawing>
      </w:r>
      <w:r w:rsidDel="00000000" w:rsidR="00000000" w:rsidRPr="00000000">
        <w:rPr>
          <w:rtl w:val="0"/>
        </w:rPr>
      </w:r>
    </w:p>
    <w:p w:rsidR="00000000" w:rsidDel="00000000" w:rsidP="00000000" w:rsidRDefault="00000000" w:rsidRPr="00000000" w14:paraId="000001DB">
      <w:pPr>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3046939</wp:posOffset>
            </wp:positionH>
            <wp:positionV relativeFrom="page">
              <wp:posOffset>6107646</wp:posOffset>
            </wp:positionV>
            <wp:extent cx="1326143" cy="2314575"/>
            <wp:effectExtent b="0" l="0" r="0" t="0"/>
            <wp:wrapTopAndBottom distB="114300" distT="11430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326143" cy="2314575"/>
                    </a:xfrm>
                    <a:prstGeom prst="rect"/>
                    <a:ln/>
                  </pic:spPr>
                </pic:pic>
              </a:graphicData>
            </a:graphic>
          </wp:anchor>
        </w:drawing>
      </w:r>
      <w:r w:rsidDel="00000000" w:rsidR="00000000" w:rsidRPr="00000000">
        <w:rPr>
          <w:rtl w:val="0"/>
        </w:rPr>
        <w:t xml:space="preserve">Estonia Precious Stones 2018 (Incremental SDV Sensitivity)</w:t>
      </w:r>
    </w:p>
    <w:p w:rsidR="00000000" w:rsidDel="00000000" w:rsidP="00000000" w:rsidRDefault="00000000" w:rsidRPr="00000000" w14:paraId="000001DC">
      <w:pPr>
        <w:pageBreakBefore w:val="0"/>
        <w:ind w:left="720" w:firstLine="720"/>
        <w:jc w:val="center"/>
        <w:rPr/>
      </w:pPr>
      <w:r w:rsidDel="00000000" w:rsidR="00000000" w:rsidRPr="00000000">
        <w:rPr>
          <w:rtl w:val="0"/>
        </w:rPr>
      </w:r>
    </w:p>
    <w:p w:rsidR="00000000" w:rsidDel="00000000" w:rsidP="00000000" w:rsidRDefault="00000000" w:rsidRPr="00000000" w14:paraId="000001DD">
      <w:pPr>
        <w:pageBreakBefore w:val="0"/>
        <w:ind w:left="0" w:firstLine="0"/>
        <w:jc w:val="center"/>
        <w:rPr/>
      </w:pPr>
      <w:r w:rsidDel="00000000" w:rsidR="00000000" w:rsidRPr="00000000">
        <w:rPr>
          <w:rtl w:val="0"/>
        </w:rPr>
      </w:r>
    </w:p>
    <w:p w:rsidR="00000000" w:rsidDel="00000000" w:rsidP="00000000" w:rsidRDefault="00000000" w:rsidRPr="00000000" w14:paraId="000001DE">
      <w:pPr>
        <w:pageBreakBefore w:val="0"/>
        <w:ind w:left="0" w:firstLine="0"/>
        <w:jc w:val="center"/>
        <w:rPr/>
      </w:pPr>
      <w:r w:rsidDel="00000000" w:rsidR="00000000" w:rsidRPr="00000000">
        <w:rPr>
          <w:rtl w:val="0"/>
        </w:rPr>
      </w:r>
    </w:p>
    <w:p w:rsidR="00000000" w:rsidDel="00000000" w:rsidP="00000000" w:rsidRDefault="00000000" w:rsidRPr="00000000" w14:paraId="000001DF">
      <w:pPr>
        <w:pageBreakBefore w:val="0"/>
        <w:ind w:left="0" w:firstLine="0"/>
        <w:jc w:val="center"/>
        <w:rPr/>
      </w:pPr>
      <w:r w:rsidDel="00000000" w:rsidR="00000000" w:rsidRPr="00000000">
        <w:rPr>
          <w:rtl w:val="0"/>
        </w:rPr>
      </w:r>
    </w:p>
    <w:p w:rsidR="00000000" w:rsidDel="00000000" w:rsidP="00000000" w:rsidRDefault="00000000" w:rsidRPr="00000000" w14:paraId="000001E0">
      <w:pPr>
        <w:pageBreakBefore w:val="0"/>
        <w:ind w:left="0" w:firstLine="0"/>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2163997</wp:posOffset>
            </wp:positionH>
            <wp:positionV relativeFrom="page">
              <wp:posOffset>914400</wp:posOffset>
            </wp:positionV>
            <wp:extent cx="2997038" cy="2732593"/>
            <wp:effectExtent b="0" l="0" r="0" t="0"/>
            <wp:wrapTopAndBottom distB="114300" distT="114300"/>
            <wp:docPr id="2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997038" cy="2732593"/>
                    </a:xfrm>
                    <a:prstGeom prst="rect"/>
                    <a:ln/>
                  </pic:spPr>
                </pic:pic>
              </a:graphicData>
            </a:graphic>
          </wp:anchor>
        </w:drawing>
      </w:r>
      <w:r w:rsidDel="00000000" w:rsidR="00000000" w:rsidRPr="00000000">
        <w:rPr>
          <w:rtl w:val="0"/>
        </w:rPr>
        <w:t xml:space="preserve">Estonia Precious Stones 2018 (Decremental SDV Sensitivity)</w:t>
      </w:r>
    </w:p>
    <w:p w:rsidR="00000000" w:rsidDel="00000000" w:rsidP="00000000" w:rsidRDefault="00000000" w:rsidRPr="00000000" w14:paraId="000001E1">
      <w:pPr>
        <w:pageBreakBefore w:val="0"/>
        <w:ind w:left="0" w:firstLine="0"/>
        <w:jc w:val="center"/>
        <w:rPr/>
      </w:pPr>
      <w:r w:rsidDel="00000000" w:rsidR="00000000" w:rsidRPr="00000000">
        <w:rPr>
          <w:rtl w:val="0"/>
        </w:rPr>
      </w:r>
    </w:p>
    <w:p w:rsidR="00000000" w:rsidDel="00000000" w:rsidP="00000000" w:rsidRDefault="00000000" w:rsidRPr="00000000" w14:paraId="000001E2">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E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4">
      <w:pPr>
        <w:pageBreakBefore w:val="0"/>
        <w:jc w:val="both"/>
        <w:rPr>
          <w:b w:val="1"/>
          <w:bCs w:val="1"/>
          <w:sz w:val="28"/>
          <w:szCs w:val="28"/>
        </w:rPr>
      </w:pPr>
      <w:r w:rsidDel="00000000" w:rsidR="00000000" w:rsidRPr="00000000">
        <w:rPr>
          <w:rtl w:val="0"/>
        </w:rPr>
        <w:t xml:space="preserve">Decreasing export of each industry in Estonia’s 2018 production space by 60%, we derive the contingency strategy shown below.  </w:t>
      </w:r>
      <w:r w:rsidDel="00000000" w:rsidR="00000000" w:rsidRPr="00000000">
        <w:rPr>
          <w:rtl w:val="0"/>
        </w:rPr>
      </w:r>
    </w:p>
    <w:p w:rsidR="00000000" w:rsidDel="00000000" w:rsidP="00000000" w:rsidRDefault="00000000" w:rsidRPr="00000000" w14:paraId="000001E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6">
      <w:pPr>
        <w:pageBreakBefore w:val="0"/>
        <w:jc w:val="both"/>
        <w:rPr>
          <w:b w:val="1"/>
          <w:bCs w:val="1"/>
          <w:sz w:val="28"/>
          <w:szCs w:val="28"/>
        </w:rPr>
      </w:pPr>
      <w:r w:rsidDel="00000000" w:rsidR="00000000" w:rsidRPr="00000000">
        <w:rPr>
          <w:b w:val="1"/>
          <w:bCs w:val="1"/>
          <w:sz w:val="28"/>
          <w:szCs w:val="28"/>
        </w:rPr>
        <w:drawing>
          <wp:inline distB="114300" distT="114300" distL="114300" distR="114300">
            <wp:extent cx="5731200" cy="2819400"/>
            <wp:effectExtent b="0" l="0" r="0" t="0"/>
            <wp:docPr id="1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E8">
      <w:pPr>
        <w:pageBreakBefore w:val="0"/>
        <w:jc w:val="center"/>
        <w:rPr>
          <w:sz w:val="22"/>
          <w:szCs w:val="22"/>
        </w:rPr>
      </w:pPr>
      <w:r w:rsidDel="00000000" w:rsidR="00000000" w:rsidRPr="00000000">
        <w:rPr>
          <w:sz w:val="22"/>
          <w:szCs w:val="22"/>
          <w:rtl w:val="0"/>
        </w:rPr>
        <w:t xml:space="preserve">Estonia Contingency Strategy (2018)</w:t>
      </w:r>
    </w:p>
    <w:p w:rsidR="00000000" w:rsidDel="00000000" w:rsidP="00000000" w:rsidRDefault="00000000" w:rsidRPr="00000000" w14:paraId="000001E9">
      <w:pPr>
        <w:pageBreakBefore w:val="0"/>
        <w:jc w:val="both"/>
        <w:rPr>
          <w:sz w:val="22"/>
          <w:szCs w:val="22"/>
        </w:rPr>
      </w:pPr>
      <w:r w:rsidDel="00000000" w:rsidR="00000000" w:rsidRPr="00000000">
        <w:rPr>
          <w:rtl w:val="0"/>
        </w:rPr>
      </w:r>
    </w:p>
    <w:p w:rsidR="00000000" w:rsidDel="00000000" w:rsidP="00000000" w:rsidRDefault="00000000" w:rsidRPr="00000000" w14:paraId="000001EA">
      <w:pPr>
        <w:pageBreakBefore w:val="0"/>
        <w:jc w:val="both"/>
        <w:rPr>
          <w:sz w:val="22"/>
          <w:szCs w:val="22"/>
        </w:rPr>
      </w:pPr>
      <w:r w:rsidDel="00000000" w:rsidR="00000000" w:rsidRPr="00000000">
        <w:rPr>
          <w:sz w:val="22"/>
          <w:szCs w:val="22"/>
          <w:rtl w:val="0"/>
        </w:rPr>
        <w:t xml:space="preserve">We suspect this contingency strategy would have been an optimal implementation during the economic shock brought upon by the 2020 COVID-19 pandemic. Yet, as shown in the following section on structural optimality, Estonia’s industry development strategy during the period of 2019-2022 did not follow such a path. This may be a reason for its lower ECI at the end of this period.</w:t>
      </w:r>
    </w:p>
    <w:p w:rsidR="00000000" w:rsidDel="00000000" w:rsidP="00000000" w:rsidRDefault="00000000" w:rsidRPr="00000000" w14:paraId="000001EB">
      <w:pPr>
        <w:pageBreakBefore w:val="0"/>
        <w:jc w:val="both"/>
        <w:rPr>
          <w:sz w:val="22"/>
          <w:szCs w:val="22"/>
        </w:rPr>
      </w:pPr>
      <w:r w:rsidDel="00000000" w:rsidR="00000000" w:rsidRPr="00000000">
        <w:rPr>
          <w:rtl w:val="0"/>
        </w:rPr>
      </w:r>
    </w:p>
    <w:p w:rsidR="00000000" w:rsidDel="00000000" w:rsidP="00000000" w:rsidRDefault="00000000" w:rsidRPr="00000000" w14:paraId="000001E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ED">
      <w:pPr>
        <w:pageBreakBefore w:val="0"/>
        <w:jc w:val="both"/>
        <w:rPr>
          <w:b w:val="1"/>
          <w:bCs w:val="1"/>
        </w:rPr>
      </w:pPr>
      <w:r w:rsidDel="00000000" w:rsidR="00000000" w:rsidRPr="00000000">
        <w:rPr>
          <w:rtl w:val="0"/>
        </w:rPr>
      </w:r>
    </w:p>
    <w:p w:rsidR="00000000" w:rsidDel="00000000" w:rsidP="00000000" w:rsidRDefault="00000000" w:rsidRPr="00000000" w14:paraId="000001E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EF">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F0">
      <w:pPr>
        <w:pageBreakBefore w:val="0"/>
        <w:jc w:val="both"/>
        <w:rPr/>
      </w:pPr>
      <w:r w:rsidDel="00000000" w:rsidR="00000000" w:rsidRPr="00000000">
        <w:rPr>
          <w:rtl w:val="0"/>
        </w:rPr>
      </w:r>
    </w:p>
    <w:p w:rsidR="00000000" w:rsidDel="00000000" w:rsidP="00000000" w:rsidRDefault="00000000" w:rsidRPr="00000000" w14:paraId="000001F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F2">
      <w:pPr>
        <w:pageBreakBefore w:val="0"/>
        <w:jc w:val="both"/>
        <w:rPr/>
      </w:pPr>
      <w:r w:rsidDel="00000000" w:rsidR="00000000" w:rsidRPr="00000000">
        <w:rPr>
          <w:rtl w:val="0"/>
        </w:rPr>
      </w:r>
    </w:p>
    <w:p w:rsidR="00000000" w:rsidDel="00000000" w:rsidP="00000000" w:rsidRDefault="00000000" w:rsidRPr="00000000" w14:paraId="000001F3">
      <w:pPr>
        <w:pageBreakBefore w:val="0"/>
        <w:jc w:val="both"/>
        <w:rPr/>
      </w:pPr>
      <w:r w:rsidDel="00000000" w:rsidR="00000000" w:rsidRPr="00000000">
        <w:rPr>
          <w:rtl w:val="0"/>
        </w:rPr>
      </w:r>
    </w:p>
    <w:tbl>
      <w:tblPr>
        <w:tblStyle w:val="Table8"/>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FC">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892465</wp:posOffset>
            </wp:positionH>
            <wp:positionV relativeFrom="paragraph">
              <wp:posOffset>91584</wp:posOffset>
            </wp:positionV>
            <wp:extent cx="4174522" cy="2780198"/>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4174522" cy="2780198"/>
                    </a:xfrm>
                    <a:prstGeom prst="rect"/>
                    <a:ln/>
                  </pic:spPr>
                </pic:pic>
              </a:graphicData>
            </a:graphic>
          </wp:anchor>
        </w:drawing>
      </w:r>
    </w:p>
    <w:p w:rsidR="00000000" w:rsidDel="00000000" w:rsidP="00000000" w:rsidRDefault="00000000" w:rsidRPr="00000000" w14:paraId="000001FD">
      <w:pPr>
        <w:pageBreakBefore w:val="0"/>
        <w:jc w:val="center"/>
        <w:rPr/>
      </w:pPr>
      <w:r w:rsidDel="00000000" w:rsidR="00000000" w:rsidRPr="00000000">
        <w:rPr>
          <w:rtl w:val="0"/>
        </w:rPr>
        <w:t xml:space="preserve">Figure 6: 2013-2018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pageBreakBefore w:val="0"/>
        <w:jc w:val="both"/>
        <w:rPr>
          <w:b w:val="1"/>
          <w:bCs w:val="1"/>
        </w:rPr>
      </w:pPr>
      <w:r w:rsidDel="00000000" w:rsidR="00000000" w:rsidRPr="00000000">
        <w:rPr>
          <w:b w:val="1"/>
          <w:bCs w:val="1"/>
          <w:rtl w:val="0"/>
        </w:rPr>
        <w:t xml:space="preserve">5.2 SOI of Estonia and Its Implications</w:t>
      </w:r>
    </w:p>
    <w:p w:rsidR="00000000" w:rsidDel="00000000" w:rsidP="00000000" w:rsidRDefault="00000000" w:rsidRPr="00000000" w14:paraId="00000200">
      <w:pPr>
        <w:pageBreakBefore w:val="0"/>
        <w:jc w:val="both"/>
        <w:rPr/>
      </w:pPr>
      <w:r w:rsidDel="00000000" w:rsidR="00000000" w:rsidRPr="00000000">
        <w:rPr>
          <w:rtl w:val="0"/>
        </w:rPr>
        <w:t xml:space="preserve">Estonia for instance, has a low level of structural optimality as compared with its developing peers. As the regression in Figure 7a suggests (the red curve represents export increase and the blue curve stands for opportunity gain of the corresponding industry), Estonia demonstrates a low level of correlation with the suggested developmental path, having an adjusted R-square of around 4.8% in 2018 and 4.7% in 2022. Estonia ranks in the bottom half among all countries in terms of SOI but has made a consistent rate of economic progress among its developed peers with an average annual GDP growth rate of </w:t>
      </w:r>
      <w:r w:rsidDel="00000000" w:rsidR="00000000" w:rsidRPr="00000000">
        <w:rPr>
          <w:rtl w:val="0"/>
        </w:rPr>
        <w:t xml:space="preserve">2.36% between 2013 and 2018 and 5.48% between 2019 and 2022</w:t>
      </w:r>
      <w:r w:rsidDel="00000000" w:rsidR="00000000" w:rsidRPr="00000000">
        <w:rPr>
          <w:rtl w:val="0"/>
        </w:rPr>
        <w:t xml:space="preserve">, consistent with the regression result in Figure 6. In sum, Estonia’s mixed economic progress from 2013 to 2022 can be at least partially explained by a development strategy that demonstrates a decent, but not perfect, level of matches with our suggested developmental path. Specifically, during 2013-2018, Estonia invested heavily in the High-complexity Products industry, while it should have focused more on less complex industry groups such as Energy Drilling and Mining and Precious Stones. In 2019-2022, Estonia focused on the Clothing and Accessories and Textile industries, while it should have again invested in the Energy Drilling and Mining and Precious Stones industries, as depicted in Figure 7b.</w:t>
      </w:r>
    </w:p>
    <w:p w:rsidR="00000000" w:rsidDel="00000000" w:rsidP="00000000" w:rsidRDefault="00000000" w:rsidRPr="00000000" w14:paraId="00000201">
      <w:pPr>
        <w:pageBreakBefore w:val="0"/>
        <w:jc w:val="both"/>
        <w:rPr>
          <w:highlight w:val="red"/>
        </w:rPr>
      </w:pPr>
      <w:r w:rsidDel="00000000" w:rsidR="00000000" w:rsidRPr="00000000">
        <w:rPr>
          <w:rtl w:val="0"/>
        </w:rPr>
      </w:r>
    </w:p>
    <w:p w:rsidR="00000000" w:rsidDel="00000000" w:rsidP="00000000" w:rsidRDefault="00000000" w:rsidRPr="00000000" w14:paraId="00000202">
      <w:pPr>
        <w:pageBreakBefore w:val="0"/>
        <w:jc w:val="both"/>
        <w:rPr/>
      </w:pPr>
      <w:r w:rsidDel="00000000" w:rsidR="00000000" w:rsidRPr="00000000">
        <w:rPr/>
        <w:drawing>
          <wp:inline distB="114300" distT="114300" distL="114300" distR="114300">
            <wp:extent cx="5731200" cy="2298700"/>
            <wp:effectExtent b="0" l="0" r="0" t="0"/>
            <wp:docPr id="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ageBreakBefore w:val="0"/>
        <w:jc w:val="center"/>
        <w:rPr>
          <w:b w:val="1"/>
          <w:bCs w:val="1"/>
        </w:rPr>
      </w:pPr>
      <w:r w:rsidDel="00000000" w:rsidR="00000000" w:rsidRPr="00000000">
        <w:rPr>
          <w:rtl w:val="0"/>
        </w:rPr>
        <w:t xml:space="preserve">Figure 7a: SOI of Estonia (2013-2018)</w:t>
      </w: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drawing>
          <wp:inline distB="114300" distT="114300" distL="114300" distR="114300">
            <wp:extent cx="5731200" cy="2298700"/>
            <wp:effectExtent b="0" l="0" r="0" t="0"/>
            <wp:docPr id="38"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ageBreakBefore w:val="0"/>
        <w:jc w:val="center"/>
        <w:rPr/>
      </w:pPr>
      <w:r w:rsidDel="00000000" w:rsidR="00000000" w:rsidRPr="00000000">
        <w:rPr>
          <w:rtl w:val="0"/>
        </w:rPr>
        <w:t xml:space="preserve">Figure 7b: SOI of Estonia (2019-2022)</w:t>
      </w:r>
    </w:p>
    <w:p w:rsidR="00000000" w:rsidDel="00000000" w:rsidP="00000000" w:rsidRDefault="00000000" w:rsidRPr="00000000" w14:paraId="00000207">
      <w:pPr>
        <w:pageBreakBefore w:val="0"/>
        <w:jc w:val="center"/>
        <w:rPr>
          <w:b w:val="1"/>
          <w:bCs w:val="1"/>
        </w:rPr>
      </w:pPr>
      <w:r w:rsidDel="00000000" w:rsidR="00000000" w:rsidRPr="00000000">
        <w:rPr>
          <w:rtl w:val="0"/>
        </w:rPr>
      </w:r>
    </w:p>
    <w:p w:rsidR="00000000" w:rsidDel="00000000" w:rsidP="00000000" w:rsidRDefault="00000000" w:rsidRPr="00000000" w14:paraId="000002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09">
      <w:pPr>
        <w:pageBreakBefore w:val="0"/>
        <w:jc w:val="both"/>
        <w:rPr/>
      </w:pPr>
      <w:r w:rsidDel="00000000" w:rsidR="00000000" w:rsidRPr="00000000">
        <w:rPr>
          <w:rtl w:val="0"/>
        </w:rPr>
      </w:r>
    </w:p>
    <w:p w:rsidR="00000000" w:rsidDel="00000000" w:rsidP="00000000" w:rsidRDefault="00000000" w:rsidRPr="00000000" w14:paraId="0000020A">
      <w:pPr>
        <w:pageBreakBefore w:val="0"/>
        <w:jc w:val="both"/>
        <w:rPr/>
      </w:pPr>
      <w:r w:rsidDel="00000000" w:rsidR="00000000" w:rsidRPr="00000000">
        <w:rPr>
          <w:rtl w:val="0"/>
        </w:rPr>
        <w:t xml:space="preserve">In conclusion, Estonia has demonstrated a mixed level of economic growth in terms of annual GDP increase during the period from 2013 to 2022, as it attempts to increase economic complexity as compared to other major developing economies. </w:t>
      </w:r>
    </w:p>
    <w:p w:rsidR="00000000" w:rsidDel="00000000" w:rsidP="00000000" w:rsidRDefault="00000000" w:rsidRPr="00000000" w14:paraId="0000020B">
      <w:pPr>
        <w:pageBreakBefore w:val="0"/>
        <w:jc w:val="both"/>
        <w:rPr/>
      </w:pPr>
      <w:r w:rsidDel="00000000" w:rsidR="00000000" w:rsidRPr="00000000">
        <w:rPr>
          <w:rtl w:val="0"/>
        </w:rPr>
      </w:r>
    </w:p>
    <w:p w:rsidR="00000000" w:rsidDel="00000000" w:rsidP="00000000" w:rsidRDefault="00000000" w:rsidRPr="00000000" w14:paraId="0000020C">
      <w:pPr>
        <w:pageBreakBefore w:val="0"/>
        <w:jc w:val="both"/>
        <w:rPr/>
      </w:pPr>
      <w:r w:rsidDel="00000000" w:rsidR="00000000" w:rsidRPr="00000000">
        <w:rPr>
          <w:rtl w:val="0"/>
        </w:rPr>
        <w:t xml:space="preserve">The mixed rate of progress during the period, we believe, can be partially explained through analysis of the economic and product complexity structure of Estonia on the industry group level. The product classification system we adopt allows us to measure the realized industry development for various industry groups and to observe that Estonia</w:t>
      </w:r>
      <w:r w:rsidDel="00000000" w:rsidR="00000000" w:rsidRPr="00000000">
        <w:rPr>
          <w:rtl w:val="0"/>
        </w:rPr>
        <w:t xml:space="preserve"> consistently relied on developing High-complexity products during the period of 2013-2018 and Textile and Clothing and Accessories during the period of 2019-2022. While </w:t>
      </w:r>
      <w:r w:rsidDel="00000000" w:rsidR="00000000" w:rsidRPr="00000000">
        <w:rPr>
          <w:rtl w:val="0"/>
        </w:rPr>
        <w:t xml:space="preserve">this did allow for strong economic growth, development was not optimal.</w:t>
      </w:r>
    </w:p>
    <w:p w:rsidR="00000000" w:rsidDel="00000000" w:rsidP="00000000" w:rsidRDefault="00000000" w:rsidRPr="00000000" w14:paraId="0000020D">
      <w:pPr>
        <w:pageBreakBefore w:val="0"/>
        <w:jc w:val="both"/>
        <w:rPr/>
      </w:pPr>
      <w:r w:rsidDel="00000000" w:rsidR="00000000" w:rsidRPr="00000000">
        <w:rPr>
          <w:rtl w:val="0"/>
        </w:rPr>
      </w:r>
    </w:p>
    <w:p w:rsidR="00000000" w:rsidDel="00000000" w:rsidP="00000000" w:rsidRDefault="00000000" w:rsidRPr="00000000" w14:paraId="0000020E">
      <w:pPr>
        <w:pageBreakBefore w:val="0"/>
        <w:jc w:val="both"/>
        <w:rPr/>
      </w:pPr>
      <w:r w:rsidDel="00000000" w:rsidR="00000000" w:rsidRPr="00000000">
        <w:rPr>
          <w:rtl w:val="0"/>
        </w:rPr>
        <w:t xml:space="preserve">Based on our analysis of the opportunity gain and a sensitivity analysis of major industry groups, Estonia can further its gains by prioritizing Energy Drilling and Mining, as well as Precious Stones industries. We further note that Estonia has a highly mismatched development strategy that indicates an average (compared to other developed countries) level of structural optimality on the complexity level, having an adjusted R-square of around 4.8% and 4.7% for 2013-2018 and 2019-2022, respectively. Since a significant positive correlation exists between five-year GDP growth and the structural optimality index of an economy as we define and calculate, Estonia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1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14">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15">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6">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1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8">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A">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C">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E">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1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0">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2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22">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23">
      <w:pPr>
        <w:pageBreakBefore w:val="0"/>
        <w:jc w:val="both"/>
        <w:rPr/>
      </w:pPr>
      <w:r w:rsidDel="00000000" w:rsidR="00000000" w:rsidRPr="00000000">
        <w:rPr>
          <w:rtl w:val="0"/>
        </w:rPr>
      </w:r>
    </w:p>
    <w:sectPr>
      <w:headerReference r:id="rId43" w:type="default"/>
      <w:footerReference r:id="rId44" w:type="default"/>
      <w:footerReference r:id="rId45" w:type="first"/>
      <w:footerReference r:id="rId4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28.png"/><Relationship Id="rId42" Type="http://schemas.openxmlformats.org/officeDocument/2006/relationships/image" Target="media/image33.png"/><Relationship Id="rId41" Type="http://schemas.openxmlformats.org/officeDocument/2006/relationships/image" Target="media/image13.png"/><Relationship Id="rId22" Type="http://schemas.openxmlformats.org/officeDocument/2006/relationships/image" Target="media/image25.png"/><Relationship Id="rId44" Type="http://schemas.openxmlformats.org/officeDocument/2006/relationships/footer" Target="footer2.xml"/><Relationship Id="rId21" Type="http://schemas.openxmlformats.org/officeDocument/2006/relationships/image" Target="media/image6.png"/><Relationship Id="rId43" Type="http://schemas.openxmlformats.org/officeDocument/2006/relationships/header" Target="header1.xml"/><Relationship Id="rId24" Type="http://schemas.openxmlformats.org/officeDocument/2006/relationships/image" Target="media/image14.png"/><Relationship Id="rId46" Type="http://schemas.openxmlformats.org/officeDocument/2006/relationships/footer" Target="footer1.xml"/><Relationship Id="rId23" Type="http://schemas.openxmlformats.org/officeDocument/2006/relationships/image" Target="media/image16.pn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1.jpg"/><Relationship Id="rId25" Type="http://schemas.openxmlformats.org/officeDocument/2006/relationships/image" Target="media/image39.png"/><Relationship Id="rId28" Type="http://schemas.openxmlformats.org/officeDocument/2006/relationships/image" Target="media/image23.pn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image" Target="media/image38.png"/><Relationship Id="rId30" Type="http://schemas.openxmlformats.org/officeDocument/2006/relationships/image" Target="media/image32.png"/><Relationship Id="rId11" Type="http://schemas.openxmlformats.org/officeDocument/2006/relationships/image" Target="media/image10.png"/><Relationship Id="rId33" Type="http://schemas.openxmlformats.org/officeDocument/2006/relationships/image" Target="media/image36.png"/><Relationship Id="rId10" Type="http://schemas.openxmlformats.org/officeDocument/2006/relationships/image" Target="media/image22.png"/><Relationship Id="rId32" Type="http://schemas.openxmlformats.org/officeDocument/2006/relationships/image" Target="media/image8.png"/><Relationship Id="rId13" Type="http://schemas.openxmlformats.org/officeDocument/2006/relationships/image" Target="media/image34.png"/><Relationship Id="rId35" Type="http://schemas.openxmlformats.org/officeDocument/2006/relationships/image" Target="media/image27.png"/><Relationship Id="rId12" Type="http://schemas.openxmlformats.org/officeDocument/2006/relationships/image" Target="media/image11.png"/><Relationship Id="rId34" Type="http://schemas.openxmlformats.org/officeDocument/2006/relationships/image" Target="media/image19.png"/><Relationship Id="rId15" Type="http://schemas.openxmlformats.org/officeDocument/2006/relationships/image" Target="media/image3.png"/><Relationship Id="rId37" Type="http://schemas.openxmlformats.org/officeDocument/2006/relationships/image" Target="media/image12.png"/><Relationship Id="rId14" Type="http://schemas.openxmlformats.org/officeDocument/2006/relationships/image" Target="media/image30.png"/><Relationship Id="rId36" Type="http://schemas.openxmlformats.org/officeDocument/2006/relationships/image" Target="media/image17.png"/><Relationship Id="rId17" Type="http://schemas.openxmlformats.org/officeDocument/2006/relationships/image" Target="media/image29.png"/><Relationship Id="rId39" Type="http://schemas.openxmlformats.org/officeDocument/2006/relationships/image" Target="media/image26.png"/><Relationship Id="rId16" Type="http://schemas.openxmlformats.org/officeDocument/2006/relationships/image" Target="media/image2.png"/><Relationship Id="rId38" Type="http://schemas.openxmlformats.org/officeDocument/2006/relationships/image" Target="media/image24.png"/><Relationship Id="rId19" Type="http://schemas.openxmlformats.org/officeDocument/2006/relationships/image" Target="media/image3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