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6" name="image3.png"/>
            <a:graphic>
              <a:graphicData uri="http://schemas.openxmlformats.org/drawingml/2006/picture">
                <pic:pic>
                  <pic:nvPicPr>
                    <pic:cNvPr descr="horizontal line" id="0" name="image3.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8" name="image24.png"/>
            <a:graphic>
              <a:graphicData uri="http://schemas.openxmlformats.org/drawingml/2006/picture">
                <pic:pic>
                  <pic:nvPicPr>
                    <pic:cNvPr id="0" name="image24.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Kenya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Kenya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Kenya</w:t>
      </w:r>
      <w:r w:rsidDel="00000000" w:rsidR="00000000" w:rsidRPr="00000000">
        <w:rPr>
          <w:rtl w:val="0"/>
        </w:rPr>
        <w:t xml:space="preserve"> went through during the period from 2013 to 2022. Specifically, we dive into the topic through a macroeconomic overview of </w:t>
      </w:r>
      <w:r w:rsidDel="00000000" w:rsidR="00000000" w:rsidRPr="00000000">
        <w:rPr>
          <w:rtl w:val="0"/>
        </w:rPr>
        <w:t xml:space="preserve">Kenya</w:t>
      </w:r>
      <w:r w:rsidDel="00000000" w:rsidR="00000000" w:rsidRPr="00000000">
        <w:rPr>
          <w:rtl w:val="0"/>
        </w:rPr>
        <w:t xml:space="preserve"> from the perspective of Gross Domestic Product (GDP) and Economic Complexity Index (ECI), which reflect countries’ production capability and production structure, respectively. We divide the period into two subperiods: 2013-2018 and 2019-2022. These subperiods are meant to capture differences in pre- and post-pandemic economic progress and resulting optimal development paths. We find that during the period of our interest, </w:t>
      </w:r>
      <w:r w:rsidDel="00000000" w:rsidR="00000000" w:rsidRPr="00000000">
        <w:rPr>
          <w:rtl w:val="0"/>
        </w:rPr>
        <w:t xml:space="preserve">Kenya</w:t>
      </w:r>
      <w:r w:rsidDel="00000000" w:rsidR="00000000" w:rsidRPr="00000000">
        <w:rPr>
          <w:rtl w:val="0"/>
        </w:rPr>
        <w:t xml:space="preserve"> demonstrated a moderate level of economic growth with an average annual GDP growth rate of 6.11% between 2013 and 2018 and 3.16% between 2019 and 2022, with increased economic complexity compared to other major emerging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the analysis of the economic and product complexity structure of </w:t>
      </w:r>
      <w:r w:rsidDel="00000000" w:rsidR="00000000" w:rsidRPr="00000000">
        <w:rPr>
          <w:rtl w:val="0"/>
        </w:rPr>
        <w:t xml:space="preserve">Kenya</w:t>
      </w:r>
      <w:r w:rsidDel="00000000" w:rsidR="00000000" w:rsidRPr="00000000">
        <w:rPr>
          <w:rtl w:val="0"/>
        </w:rPr>
        <w:t xml:space="preserve"> on the industry group level, as well as the stagnant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Kenya</w:t>
      </w:r>
      <w:r w:rsidDel="00000000" w:rsidR="00000000" w:rsidRPr="00000000">
        <w:rPr>
          <w:rtl w:val="0"/>
        </w:rPr>
        <w:t xml:space="preserve"> regressed in developing most of its industries during the period while its emerging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Kenya</w:t>
      </w:r>
      <w:r w:rsidDel="00000000" w:rsidR="00000000" w:rsidRPr="00000000">
        <w:rPr>
          <w:rtl w:val="0"/>
        </w:rPr>
        <w:t xml:space="preserve"> could have furthered its gains by prioritizing Raw Manufacturing and Chemicals  in 2018. Four years later, in 2022, its focus should have shifted to the Energy Drilling and Mining and Services and Utilities industries, which are also one of the more developed industries at the time. We further note that </w:t>
      </w:r>
      <w:r w:rsidDel="00000000" w:rsidR="00000000" w:rsidRPr="00000000">
        <w:rPr>
          <w:rtl w:val="0"/>
        </w:rPr>
        <w:t xml:space="preserve">Kenya</w:t>
      </w:r>
      <w:r w:rsidDel="00000000" w:rsidR="00000000" w:rsidRPr="00000000">
        <w:rPr>
          <w:rtl w:val="0"/>
        </w:rPr>
        <w:t xml:space="preserve"> has a slightly mismatched development strategy that indicates a moderate level (compared to other emerging countries) of structural optimality on the complexity level, having an adjusted R-square of around</w:t>
      </w:r>
      <w:r w:rsidDel="00000000" w:rsidR="00000000" w:rsidRPr="00000000">
        <w:rPr>
          <w:rtl w:val="0"/>
        </w:rPr>
        <w:t xml:space="preserve"> 0.161 </w:t>
      </w:r>
      <w:r w:rsidDel="00000000" w:rsidR="00000000" w:rsidRPr="00000000">
        <w:rPr>
          <w:rtl w:val="0"/>
        </w:rPr>
        <w:t xml:space="preserve">in 2018 and a much lower score of 0.012 in 2022, demonstrating improvement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Kenya</w:t>
      </w:r>
      <w:r w:rsidDel="00000000" w:rsidR="00000000" w:rsidRPr="00000000">
        <w:rPr>
          <w:rtl w:val="0"/>
        </w:rPr>
        <w:t xml:space="preserve"> indeed has a</w:t>
      </w:r>
      <w:r w:rsidDel="00000000" w:rsidR="00000000" w:rsidRPr="00000000">
        <w:rPr>
          <w:rtl w:val="0"/>
        </w:rPr>
        <w:t xml:space="preserve"> </w:t>
      </w:r>
      <w:r w:rsidDel="00000000" w:rsidR="00000000" w:rsidRPr="00000000">
        <w:rPr>
          <w:rtl w:val="0"/>
        </w:rPr>
        <w:t xml:space="preserve">comparable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2022 showed a significant improvement in </w:t>
      </w:r>
      <w:r w:rsidDel="00000000" w:rsidR="00000000" w:rsidRPr="00000000">
        <w:rPr>
          <w:rtl w:val="0"/>
        </w:rPr>
        <w:t xml:space="preserve">Kenya</w:t>
      </w:r>
      <w:r w:rsidDel="00000000" w:rsidR="00000000" w:rsidRPr="00000000">
        <w:rPr>
          <w:rtl w:val="0"/>
        </w:rPr>
        <w:t xml:space="preserv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Kenya</w:t>
      </w:r>
      <w:r w:rsidDel="00000000" w:rsidR="00000000" w:rsidRPr="00000000">
        <w:rPr>
          <w:rtl w:val="0"/>
        </w:rPr>
        <w:t xml:space="preserve"> went through during the period from 2019 to 2022, before and after the COVID pandemic, compared to its performance from 2013 to 2018, before and after the Standard Gauge Railway infrastructure development project. Specifically, we dive into the topic through a macroeconomic overview of </w:t>
      </w:r>
      <w:r w:rsidDel="00000000" w:rsidR="00000000" w:rsidRPr="00000000">
        <w:rPr>
          <w:rtl w:val="0"/>
        </w:rPr>
        <w:t xml:space="preserve">Kenya</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Kenya</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Kenya</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Kenya</w:t>
      </w:r>
      <w:r w:rsidDel="00000000" w:rsidR="00000000" w:rsidRPr="00000000">
        <w:rPr>
          <w:rtl w:val="0"/>
        </w:rPr>
        <w:t xml:space="preserve"> and </w:t>
      </w:r>
      <w:r w:rsidDel="00000000" w:rsidR="00000000" w:rsidRPr="00000000">
        <w:rPr>
          <w:rtl w:val="0"/>
        </w:rPr>
        <w:t xml:space="preserve">t</w:t>
      </w:r>
      <w:r w:rsidDel="00000000" w:rsidR="00000000" w:rsidRPr="00000000">
        <w:rPr>
          <w:rtl w:val="0"/>
        </w:rPr>
        <w:t xml:space="preserve">hree its peer countries (United Republic of Tanzania, Ethiopia, and Ghana) from 2013 to 2018. Similar to the other countries, </w:t>
      </w:r>
      <w:r w:rsidDel="00000000" w:rsidR="00000000" w:rsidRPr="00000000">
        <w:rPr>
          <w:rtl w:val="0"/>
        </w:rPr>
        <w:t xml:space="preserve">Kenya </w:t>
      </w:r>
      <w:r w:rsidDel="00000000" w:rsidR="00000000" w:rsidRPr="00000000">
        <w:rPr>
          <w:rtl w:val="0"/>
        </w:rPr>
        <w:t xml:space="preserve">displayed an eventual upward trend over the period; however, its growth was less consistent than Ethiopia. </w:t>
      </w:r>
      <w:r w:rsidDel="00000000" w:rsidR="00000000" w:rsidRPr="00000000">
        <w:rPr>
          <w:rtl w:val="0"/>
        </w:rPr>
        <w:t xml:space="preserve">Kenya</w:t>
      </w:r>
      <w:r w:rsidDel="00000000" w:rsidR="00000000" w:rsidRPr="00000000">
        <w:rPr>
          <w:rtl w:val="0"/>
        </w:rPr>
        <w:t xml:space="preserve">’s average annual GDP growth rate (6.11%) was  the greater than Ghana’s rate (5.26%) but less than Ethiopia’s rate (9.34%).</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Kenya</w:t>
      </w:r>
      <w:r w:rsidDel="00000000" w:rsidR="00000000" w:rsidRPr="00000000">
        <w:rPr>
          <w:rtl w:val="0"/>
        </w:rPr>
        <w:t xml:space="preserve"> and its peer countries (Nigeria, Ethiopia, and Togo) from 2019 to 2022. Similar to the other countries, </w:t>
      </w:r>
      <w:r w:rsidDel="00000000" w:rsidR="00000000" w:rsidRPr="00000000">
        <w:rPr>
          <w:rtl w:val="0"/>
        </w:rPr>
        <w:t xml:space="preserve">Kenya</w:t>
      </w:r>
      <w:r w:rsidDel="00000000" w:rsidR="00000000" w:rsidRPr="00000000">
        <w:rPr>
          <w:rtl w:val="0"/>
        </w:rPr>
        <w:t xml:space="preserve"> displayed no increase in GDP from 2019 to 2020 because of the pandemic, with all GDPs rebounding in 2022. Over these three years, </w:t>
      </w:r>
      <w:r w:rsidDel="00000000" w:rsidR="00000000" w:rsidRPr="00000000">
        <w:rPr>
          <w:rtl w:val="0"/>
        </w:rPr>
        <w:t xml:space="preserve">Kenya</w:t>
      </w:r>
      <w:r w:rsidDel="00000000" w:rsidR="00000000" w:rsidRPr="00000000">
        <w:rPr>
          <w:rtl w:val="0"/>
        </w:rPr>
        <w:t xml:space="preserve">’s average annual GDP growth rate (3.16%) is moderate</w:t>
      </w:r>
      <w:r w:rsidDel="00000000" w:rsidR="00000000" w:rsidRPr="00000000">
        <w:rPr>
          <w:rtl w:val="0"/>
        </w:rPr>
        <w:t xml:space="preserve">,</w:t>
      </w:r>
      <w:r w:rsidDel="00000000" w:rsidR="00000000" w:rsidRPr="00000000">
        <w:rPr>
          <w:rtl w:val="0"/>
        </w:rPr>
        <w:t xml:space="preserve"> as it is greater than Nigeria’s rate (0.34%) but less than Ethiopia’s (7.39%) and Togo’s rates (3.99%). It is notable that the GDP levels in </w:t>
      </w:r>
      <w:r w:rsidDel="00000000" w:rsidR="00000000" w:rsidRPr="00000000">
        <w:rPr>
          <w:rtl w:val="0"/>
        </w:rPr>
        <w:t xml:space="preserve">Kenya</w:t>
      </w:r>
      <w:r w:rsidDel="00000000" w:rsidR="00000000" w:rsidRPr="00000000">
        <w:rPr>
          <w:rtl w:val="0"/>
        </w:rPr>
        <w:t xml:space="preserve"> and Togo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rPr>
          <w:i w:val="1"/>
          <w:iCs w:val="1"/>
          <w:color w:val="444499"/>
          <w:sz w:val="20"/>
          <w:szCs w:val="20"/>
        </w:rPr>
      </w:pPr>
      <w:r w:rsidDel="00000000" w:rsidR="00000000" w:rsidRPr="00000000">
        <w:rPr/>
        <w:drawing>
          <wp:inline distB="114300" distT="114300" distL="114300" distR="114300">
            <wp:extent cx="2760133" cy="1833655"/>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0133" cy="1833655"/>
                    </a:xfrm>
                    <a:prstGeom prst="rect"/>
                    <a:ln/>
                  </pic:spPr>
                </pic:pic>
              </a:graphicData>
            </a:graphic>
          </wp:inline>
        </w:drawing>
      </w:r>
      <w:r w:rsidDel="00000000" w:rsidR="00000000" w:rsidRPr="00000000">
        <w:rPr/>
        <w:drawing>
          <wp:inline distB="114300" distT="114300" distL="114300" distR="114300">
            <wp:extent cx="2626783" cy="1972566"/>
            <wp:effectExtent b="0" l="0" r="0" t="0"/>
            <wp:docPr id="1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626783" cy="197256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2019-2022)</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Kenya</w:t>
      </w:r>
      <w:r w:rsidDel="00000000" w:rsidR="00000000" w:rsidRPr="00000000">
        <w:rPr>
          <w:rtl w:val="0"/>
        </w:rPr>
        <w:t xml:space="preserve"> exhibits a decrease in production capability from 2013 to 2018. </w:t>
      </w:r>
      <w:r w:rsidDel="00000000" w:rsidR="00000000" w:rsidRPr="00000000">
        <w:rPr>
          <w:rtl w:val="0"/>
        </w:rPr>
        <w:t xml:space="preserve">Kenya</w:t>
      </w:r>
      <w:r w:rsidDel="00000000" w:rsidR="00000000" w:rsidRPr="00000000">
        <w:rPr>
          <w:rtl w:val="0"/>
        </w:rPr>
        <w:t xml:space="preserve"> is in a weak position in ECI terms, as its ECI change of -589% is greater than that of Tanzania (125.97%), Ethiopia (23.45%), and Ghana (-46.21%). </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experience large changes in ECI between 2019 and 2022</w:t>
      </w:r>
      <w:r w:rsidDel="00000000" w:rsidR="00000000" w:rsidRPr="00000000">
        <w:rPr>
          <w:rtl w:val="0"/>
        </w:rPr>
        <w:t xml:space="preserve">.</w:t>
      </w:r>
      <w:r w:rsidDel="00000000" w:rsidR="00000000" w:rsidRPr="00000000">
        <w:rPr>
          <w:rtl w:val="0"/>
        </w:rPr>
        <w:t xml:space="preserve"> Kenya</w:t>
      </w:r>
      <w:r w:rsidDel="00000000" w:rsidR="00000000" w:rsidRPr="00000000">
        <w:rPr>
          <w:rtl w:val="0"/>
        </w:rPr>
        <w:t xml:space="preserve"> exhibits strong increase in production capability in 2022 compared to previous levels, with the pandemic being one of the reasons. </w:t>
      </w:r>
      <w:r w:rsidDel="00000000" w:rsidR="00000000" w:rsidRPr="00000000">
        <w:rPr>
          <w:rtl w:val="0"/>
        </w:rPr>
        <w:t xml:space="preserve">Kenya</w:t>
      </w:r>
      <w:r w:rsidDel="00000000" w:rsidR="00000000" w:rsidRPr="00000000">
        <w:rPr>
          <w:rtl w:val="0"/>
        </w:rPr>
        <w:t xml:space="preserve"> has seen a 439.22% increase in its ECI, which is greater than Nigeria's (55.39%), Ethiopia's (204.55%), and Togo's (205.18%).</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left"/>
        <w:rPr/>
      </w:pPr>
      <w:r w:rsidDel="00000000" w:rsidR="00000000" w:rsidRPr="00000000">
        <w:rPr/>
        <w:drawing>
          <wp:inline distB="114300" distT="114300" distL="114300" distR="114300">
            <wp:extent cx="2576576" cy="1702858"/>
            <wp:effectExtent b="0" l="0" r="0" t="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2576576" cy="170285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96608" cy="1867542"/>
            <wp:effectExtent b="0" l="0" r="0" t="0"/>
            <wp:docPr id="31"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2496608" cy="186754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2019-2022)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2013 to 2022 for </w:t>
      </w:r>
      <w:r w:rsidDel="00000000" w:rsidR="00000000" w:rsidRPr="00000000">
        <w:rPr>
          <w:rtl w:val="0"/>
        </w:rPr>
        <w:t xml:space="preserve">Kenya</w:t>
      </w:r>
      <w:r w:rsidDel="00000000" w:rsidR="00000000" w:rsidRPr="00000000">
        <w:rPr>
          <w:rtl w:val="0"/>
        </w:rPr>
        <w:t xml:space="preserve">. The results show that the economic growth experienced by </w:t>
      </w:r>
      <w:r w:rsidDel="00000000" w:rsidR="00000000" w:rsidRPr="00000000">
        <w:rPr>
          <w:rtl w:val="0"/>
        </w:rPr>
        <w:t xml:space="preserve">Kenya</w:t>
      </w:r>
      <w:r w:rsidDel="00000000" w:rsidR="00000000" w:rsidRPr="00000000">
        <w:rPr>
          <w:rtl w:val="0"/>
        </w:rPr>
        <w:t xml:space="preserve"> during the period from 2013 to 2018 is only partially consistentwith the predictions by ECI and that </w:t>
      </w:r>
      <w:r w:rsidDel="00000000" w:rsidR="00000000" w:rsidRPr="00000000">
        <w:rPr>
          <w:rtl w:val="0"/>
        </w:rPr>
        <w:t xml:space="preserve">Kenya</w:t>
      </w:r>
      <w:r w:rsidDel="00000000" w:rsidR="00000000" w:rsidRPr="00000000">
        <w:rPr>
          <w:rtl w:val="0"/>
        </w:rPr>
        <w:t xml:space="preserve"> made weak progress towards effectively developing a competitive product space that helps to accumulate complicated knowledge and technology. </w:t>
      </w:r>
      <w:r w:rsidDel="00000000" w:rsidR="00000000" w:rsidRPr="00000000">
        <w:rPr>
          <w:rtl w:val="0"/>
        </w:rPr>
        <w:t xml:space="preserve">For the period 2019 to 2022,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Kenya</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2765739" cy="1747308"/>
            <wp:effectExtent b="0" l="0" r="0" t="0"/>
            <wp:docPr id="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765739" cy="1747308"/>
                    </a:xfrm>
                    <a:prstGeom prst="rect"/>
                    <a:ln/>
                  </pic:spPr>
                </pic:pic>
              </a:graphicData>
            </a:graphic>
          </wp:inline>
        </w:drawing>
      </w:r>
      <w:r w:rsidDel="00000000" w:rsidR="00000000" w:rsidRPr="00000000">
        <w:rPr/>
        <w:drawing>
          <wp:inline distB="114300" distT="114300" distL="114300" distR="114300">
            <wp:extent cx="2446508" cy="1827742"/>
            <wp:effectExtent b="0" l="0" r="0" t="0"/>
            <wp:docPr id="2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446508" cy="182774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b w:val="0"/>
          <w:bCs w:val="0"/>
          <w:i w:val="1"/>
          <w:iCs w:val="1"/>
          <w:color w:val="444499"/>
          <w:sz w:val="20"/>
          <w:szCs w:val="20"/>
        </w:rPr>
      </w:pP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Kenya</w:t>
      </w:r>
      <w:r w:rsidDel="00000000" w:rsidR="00000000" w:rsidRPr="00000000">
        <w:rPr>
          <w:sz w:val="22"/>
          <w:szCs w:val="22"/>
          <w:rtl w:val="0"/>
        </w:rPr>
        <w:t xml:space="preserve"> (left: 2013-2018; right: 2019-2022)</w:t>
      </w: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Kenya'</w:t>
      </w:r>
      <w:r w:rsidDel="00000000" w:rsidR="00000000" w:rsidRPr="00000000">
        <w:rPr>
          <w:rtl w:val="0"/>
        </w:rPr>
        <w:t xml:space="preserve">s realized industry production strategy between 2013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Kenya</w:t>
      </w:r>
      <w:r w:rsidDel="00000000" w:rsidR="00000000" w:rsidRPr="00000000">
        <w:rPr>
          <w:rtl w:val="0"/>
        </w:rPr>
        <w:t xml:space="preserve"> and the 18 product groups in 2022 and 2018 through the difference, where a positive RID indicates a shortening of the distance (i.e., advancement of the industry), and a negative RID indicates the reverse. It is notable that the number of industries with positive RID has decreased from 18 to 16 from 2018 to 2022.</w:t>
      </w:r>
    </w:p>
    <w:p w:rsidR="00000000" w:rsidDel="00000000" w:rsidP="00000000" w:rsidRDefault="00000000" w:rsidRPr="00000000" w14:paraId="0000008E">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0.048779</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0.156140</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0.003745</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0.055092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0.023343</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0.103975</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0.025610</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0.041813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0.040256</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0.178194</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0.039431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0.161162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0.032109</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0.067617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0.043331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0.068784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0.072982</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0.159376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0.03781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0.084328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-0.02198</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0.188701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0.035510</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0.105444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-0.006900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0.03259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0.084101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0.161805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0.016037</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0.068633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0.044215</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0.045799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0.067200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0.183877</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0.026166</w:t>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0.079446</w:t>
            </w:r>
          </w:p>
        </w:tc>
      </w:tr>
    </w:tbl>
    <w:p w:rsidR="00000000" w:rsidDel="00000000" w:rsidP="00000000" w:rsidRDefault="00000000" w:rsidRPr="00000000" w14:paraId="000000C8">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Kenya</w:t>
      </w:r>
      <w:r w:rsidDel="00000000" w:rsidR="00000000" w:rsidRPr="00000000">
        <w:rPr>
          <w:rtl w:val="0"/>
        </w:rPr>
      </w:r>
    </w:p>
    <w:p w:rsidR="00000000" w:rsidDel="00000000" w:rsidP="00000000" w:rsidRDefault="00000000" w:rsidRPr="00000000" w14:paraId="000000C9">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A">
      <w:pPr>
        <w:pageBreakBefore w:val="0"/>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Kenya</w:t>
      </w:r>
      <w:r w:rsidDel="00000000" w:rsidR="00000000" w:rsidRPr="00000000">
        <w:rPr>
          <w:rtl w:val="0"/>
        </w:rPr>
        <w:t xml:space="preserve"> compares with selected leading economies in the world across different years, as measured in RID. Leading economies such as France, the US, and Germany gave a considerable level of attention to more advanced product groups such as High-complexity Products in 2018 and Transportation and High-complexity Products in 2022.</w:t>
      </w:r>
    </w:p>
    <w:p w:rsidR="00000000" w:rsidDel="00000000" w:rsidP="00000000" w:rsidRDefault="00000000" w:rsidRPr="00000000" w14:paraId="000000CB">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C">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D">
            <w:pPr>
              <w:jc w:val="both"/>
              <w:rPr/>
            </w:pPr>
            <w:r w:rsidDel="00000000" w:rsidR="00000000" w:rsidRPr="00000000">
              <w:rPr>
                <w:rtl w:val="0"/>
              </w:rPr>
              <w:t xml:space="preserve">France</w:t>
            </w:r>
          </w:p>
        </w:tc>
        <w:tc>
          <w:tcPr>
            <w:vAlign w:val="center"/>
          </w:tcPr>
          <w:p w:rsidR="00000000" w:rsidDel="00000000" w:rsidP="00000000" w:rsidRDefault="00000000" w:rsidRPr="00000000" w14:paraId="000000CE">
            <w:pPr>
              <w:jc w:val="both"/>
              <w:rPr/>
            </w:pPr>
            <w:r w:rsidDel="00000000" w:rsidR="00000000" w:rsidRPr="00000000">
              <w:rPr>
                <w:rtl w:val="0"/>
              </w:rPr>
              <w:t xml:space="preserve">US</w:t>
            </w:r>
          </w:p>
        </w:tc>
        <w:tc>
          <w:tcPr>
            <w:vAlign w:val="center"/>
          </w:tcPr>
          <w:p w:rsidR="00000000" w:rsidDel="00000000" w:rsidP="00000000" w:rsidRDefault="00000000" w:rsidRPr="00000000" w14:paraId="000000CF">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D0">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D4">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D8">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DC">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E0">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E4">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(2018)</w:t>
      </w:r>
    </w:p>
    <w:p w:rsidR="00000000" w:rsidDel="00000000" w:rsidP="00000000" w:rsidRDefault="00000000" w:rsidRPr="00000000" w14:paraId="000000E5">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6">
            <w:pPr>
              <w:jc w:val="both"/>
              <w:rPr/>
            </w:pPr>
            <w:r w:rsidDel="00000000" w:rsidR="00000000" w:rsidRPr="00000000">
              <w:rPr>
                <w:rtl w:val="0"/>
              </w:rPr>
              <w:t xml:space="preserve">Ranking</w:t>
            </w:r>
          </w:p>
        </w:tc>
        <w:tc>
          <w:tcPr/>
          <w:p w:rsidR="00000000" w:rsidDel="00000000" w:rsidP="00000000" w:rsidRDefault="00000000" w:rsidRPr="00000000" w14:paraId="000000E7">
            <w:pPr>
              <w:jc w:val="both"/>
              <w:rPr/>
            </w:pPr>
            <w:r w:rsidDel="00000000" w:rsidR="00000000" w:rsidRPr="00000000">
              <w:rPr>
                <w:rtl w:val="0"/>
              </w:rPr>
              <w:t xml:space="preserve">France</w:t>
            </w:r>
          </w:p>
        </w:tc>
        <w:tc>
          <w:tcPr/>
          <w:p w:rsidR="00000000" w:rsidDel="00000000" w:rsidP="00000000" w:rsidRDefault="00000000" w:rsidRPr="00000000" w14:paraId="000000E8">
            <w:pPr>
              <w:jc w:val="both"/>
              <w:rPr/>
            </w:pPr>
            <w:r w:rsidDel="00000000" w:rsidR="00000000" w:rsidRPr="00000000">
              <w:rPr>
                <w:rtl w:val="0"/>
              </w:rPr>
              <w:t xml:space="preserve">Canada</w:t>
            </w:r>
          </w:p>
        </w:tc>
        <w:tc>
          <w:tcPr/>
          <w:p w:rsidR="00000000" w:rsidDel="00000000" w:rsidP="00000000" w:rsidRDefault="00000000" w:rsidRPr="00000000" w14:paraId="000000E9">
            <w:pPr>
              <w:jc w:val="both"/>
              <w:rPr/>
            </w:pPr>
            <w:r w:rsidDel="00000000" w:rsidR="00000000" w:rsidRPr="00000000">
              <w:rPr>
                <w:rtl w:val="0"/>
              </w:rPr>
              <w:t xml:space="preserve">Sweden</w:t>
            </w:r>
          </w:p>
        </w:tc>
      </w:tr>
      <w:tr>
        <w:trPr>
          <w:cantSplit w:val="0"/>
          <w:tblHeader w:val="0"/>
        </w:trPr>
        <w:tc>
          <w:tcPr/>
          <w:p w:rsidR="00000000" w:rsidDel="00000000" w:rsidP="00000000" w:rsidRDefault="00000000" w:rsidRPr="00000000" w14:paraId="000000EA">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D">
            <w:pPr>
              <w:jc w:val="both"/>
              <w:rPr>
                <w:sz w:val="20"/>
                <w:szCs w:val="20"/>
              </w:rPr>
            </w:pPr>
            <w:r w:rsidDel="00000000" w:rsidR="00000000" w:rsidRPr="00000000">
              <w:rPr>
                <w:sz w:val="20"/>
                <w:szCs w:val="20"/>
                <w:rtl w:val="0"/>
              </w:rPr>
              <w:t xml:space="preserve">High-complexity Products</w:t>
            </w:r>
          </w:p>
        </w:tc>
      </w:tr>
      <w:tr>
        <w:trPr>
          <w:cantSplit w:val="0"/>
          <w:tblHeader w:val="0"/>
        </w:trPr>
        <w:tc>
          <w:tcPr>
            <w:shd w:fill="ffffff" w:val="clear"/>
          </w:tcPr>
          <w:p w:rsidR="00000000" w:rsidDel="00000000" w:rsidP="00000000" w:rsidRDefault="00000000" w:rsidRPr="00000000" w14:paraId="000000EE">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jc w:val="both"/>
              <w:rPr>
                <w:sz w:val="20"/>
                <w:szCs w:val="20"/>
              </w:rPr>
            </w:pPr>
            <w:r w:rsidDel="00000000" w:rsidR="00000000" w:rsidRPr="00000000">
              <w:rPr>
                <w:sz w:val="20"/>
                <w:szCs w:val="20"/>
                <w:rtl w:val="0"/>
              </w:rPr>
              <w:t xml:space="preserve">Animals and By-products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1">
            <w:pPr>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F2">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Vegetables, Fruits and Plants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5">
            <w:pPr>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F6">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jc w:val="both"/>
              <w:rPr>
                <w:sz w:val="20"/>
                <w:szCs w:val="20"/>
              </w:rPr>
            </w:pPr>
            <w:r w:rsidDel="00000000" w:rsidR="00000000" w:rsidRPr="00000000">
              <w:rPr>
                <w:sz w:val="20"/>
                <w:szCs w:val="20"/>
                <w:rtl w:val="0"/>
              </w:rPr>
              <w:t xml:space="preserve">Transportation</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9">
            <w:pPr>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FA">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jc w:val="both"/>
              <w:rPr>
                <w:sz w:val="20"/>
                <w:szCs w:val="20"/>
              </w:rPr>
            </w:pPr>
            <w:r w:rsidDel="00000000" w:rsidR="00000000" w:rsidRPr="00000000">
              <w:rPr>
                <w:sz w:val="20"/>
                <w:szCs w:val="20"/>
                <w:rtl w:val="0"/>
              </w:rPr>
              <w:t xml:space="preserve">Energy Drilling and Mining</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Chemicals</w:t>
            </w:r>
          </w:p>
        </w:tc>
      </w:tr>
    </w:tbl>
    <w:p w:rsidR="00000000" w:rsidDel="00000000" w:rsidP="00000000" w:rsidRDefault="00000000" w:rsidRPr="00000000" w14:paraId="000000FE">
      <w:pPr>
        <w:jc w:val="center"/>
        <w:rPr>
          <w:sz w:val="22"/>
          <w:szCs w:val="22"/>
        </w:rPr>
      </w:pPr>
      <w:r w:rsidDel="00000000" w:rsidR="00000000" w:rsidRPr="00000000">
        <w:rPr>
          <w:sz w:val="22"/>
          <w:szCs w:val="22"/>
          <w:rtl w:val="0"/>
        </w:rPr>
        <w:t xml:space="preserve">Table 4b. RID Comparison across Leading Economies (2022)</w:t>
      </w:r>
    </w:p>
    <w:p w:rsidR="00000000" w:rsidDel="00000000" w:rsidP="00000000" w:rsidRDefault="00000000" w:rsidRPr="00000000" w14:paraId="000000FF">
      <w:pPr>
        <w:jc w:val="center"/>
        <w:rPr>
          <w:sz w:val="22"/>
          <w:szCs w:val="22"/>
        </w:rPr>
      </w:pPr>
      <w:r w:rsidDel="00000000" w:rsidR="00000000" w:rsidRPr="00000000">
        <w:rPr>
          <w:rtl w:val="0"/>
        </w:rPr>
      </w:r>
    </w:p>
    <w:p w:rsidR="00000000" w:rsidDel="00000000" w:rsidP="00000000" w:rsidRDefault="00000000" w:rsidRPr="00000000" w14:paraId="00000100">
      <w:pPr>
        <w:jc w:val="both"/>
        <w:rPr>
          <w:sz w:val="22"/>
          <w:szCs w:val="22"/>
        </w:rPr>
      </w:pPr>
      <w:r w:rsidDel="00000000" w:rsidR="00000000" w:rsidRPr="00000000">
        <w:rPr>
          <w:rtl w:val="0"/>
        </w:rPr>
        <w:t xml:space="preserve">Tables 4c-4d further examine </w:t>
      </w:r>
      <w:r w:rsidDel="00000000" w:rsidR="00000000" w:rsidRPr="00000000">
        <w:rPr>
          <w:rtl w:val="0"/>
        </w:rPr>
        <w:t xml:space="preserve">Kenya</w:t>
      </w:r>
      <w:r w:rsidDel="00000000" w:rsidR="00000000" w:rsidRPr="00000000">
        <w:rPr>
          <w:rtl w:val="0"/>
        </w:rPr>
        <w:t xml:space="preserve">'s development strategy against those of emerging economies on a global scale. Reasonably, emerging economies such as China, South Korea, and Singapore have devoted the majority of their efforts to intermediate industry groups, showing significant shifts in strategies over the course of three years.</w:t>
      </w: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2">
            <w:pPr>
              <w:jc w:val="both"/>
              <w:rPr/>
            </w:pPr>
            <w:r w:rsidDel="00000000" w:rsidR="00000000" w:rsidRPr="00000000">
              <w:rPr>
                <w:rtl w:val="0"/>
              </w:rPr>
              <w:t xml:space="preserve">Ranking</w:t>
            </w:r>
          </w:p>
        </w:tc>
        <w:tc>
          <w:tcPr/>
          <w:p w:rsidR="00000000" w:rsidDel="00000000" w:rsidP="00000000" w:rsidRDefault="00000000" w:rsidRPr="00000000" w14:paraId="00000103">
            <w:pPr>
              <w:jc w:val="both"/>
              <w:rPr/>
            </w:pPr>
            <w:r w:rsidDel="00000000" w:rsidR="00000000" w:rsidRPr="00000000">
              <w:rPr>
                <w:rtl w:val="0"/>
              </w:rPr>
              <w:t xml:space="preserve">China</w:t>
            </w:r>
          </w:p>
        </w:tc>
        <w:tc>
          <w:tcPr/>
          <w:p w:rsidR="00000000" w:rsidDel="00000000" w:rsidP="00000000" w:rsidRDefault="00000000" w:rsidRPr="00000000" w14:paraId="00000104">
            <w:pPr>
              <w:jc w:val="both"/>
              <w:rPr/>
            </w:pPr>
            <w:r w:rsidDel="00000000" w:rsidR="00000000" w:rsidRPr="00000000">
              <w:rPr>
                <w:rtl w:val="0"/>
              </w:rPr>
              <w:t xml:space="preserve">South Korea</w:t>
            </w:r>
          </w:p>
        </w:tc>
        <w:tc>
          <w:tcPr/>
          <w:p w:rsidR="00000000" w:rsidDel="00000000" w:rsidP="00000000" w:rsidRDefault="00000000" w:rsidRPr="00000000" w14:paraId="00000105">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106">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10A">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10E">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11">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112">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15">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116">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19">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11A">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1C">
            <w:pPr>
              <w:jc w:val="both"/>
              <w:rPr/>
            </w:pPr>
            <w:r w:rsidDel="00000000" w:rsidR="00000000" w:rsidRPr="00000000">
              <w:rPr>
                <w:rtl w:val="0"/>
              </w:rPr>
              <w:t xml:space="preserve">Ranking</w:t>
            </w:r>
          </w:p>
        </w:tc>
        <w:tc>
          <w:tcPr/>
          <w:p w:rsidR="00000000" w:rsidDel="00000000" w:rsidP="00000000" w:rsidRDefault="00000000" w:rsidRPr="00000000" w14:paraId="0000011D">
            <w:pPr>
              <w:jc w:val="both"/>
              <w:rPr/>
            </w:pPr>
            <w:r w:rsidDel="00000000" w:rsidR="00000000" w:rsidRPr="00000000">
              <w:rPr>
                <w:rtl w:val="0"/>
              </w:rPr>
              <w:t xml:space="preserve">China</w:t>
            </w:r>
          </w:p>
        </w:tc>
        <w:tc>
          <w:tcPr/>
          <w:p w:rsidR="00000000" w:rsidDel="00000000" w:rsidP="00000000" w:rsidRDefault="00000000" w:rsidRPr="00000000" w14:paraId="0000011E">
            <w:pPr>
              <w:jc w:val="both"/>
              <w:rPr/>
            </w:pPr>
            <w:r w:rsidDel="00000000" w:rsidR="00000000" w:rsidRPr="00000000">
              <w:rPr>
                <w:rtl w:val="0"/>
              </w:rPr>
              <w:t xml:space="preserve">South Korea</w:t>
            </w:r>
          </w:p>
        </w:tc>
        <w:tc>
          <w:tcPr/>
          <w:p w:rsidR="00000000" w:rsidDel="00000000" w:rsidP="00000000" w:rsidRDefault="00000000" w:rsidRPr="00000000" w14:paraId="0000011F">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120">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3">
            <w:pPr>
              <w:jc w:val="both"/>
              <w:rPr>
                <w:sz w:val="20"/>
                <w:szCs w:val="20"/>
              </w:rPr>
            </w:pPr>
            <w:r w:rsidDel="00000000" w:rsidR="00000000" w:rsidRPr="00000000">
              <w:rPr>
                <w:sz w:val="20"/>
                <w:szCs w:val="20"/>
                <w:rtl w:val="0"/>
              </w:rPr>
              <w:t xml:space="preserve">Transportation</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4">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7">
            <w:pPr>
              <w:jc w:val="both"/>
              <w:rPr>
                <w:sz w:val="20"/>
                <w:szCs w:val="20"/>
              </w:rPr>
            </w:pPr>
            <w:r w:rsidDel="00000000" w:rsidR="00000000" w:rsidRPr="00000000">
              <w:rPr>
                <w:sz w:val="20"/>
                <w:szCs w:val="20"/>
                <w:rtl w:val="0"/>
              </w:rPr>
              <w:t xml:space="preserve">Weapons</w:t>
            </w:r>
          </w:p>
        </w:tc>
      </w:tr>
      <w:tr>
        <w:trPr>
          <w:cantSplit w:val="0"/>
          <w:tblHeader w:val="0"/>
        </w:trPr>
        <w:tc>
          <w:tcPr>
            <w:tcMar>
              <w:left w:w="0.0" w:type="dxa"/>
              <w:right w:w="0.0" w:type="dxa"/>
            </w:tcMar>
            <w:vAlign w:val="center"/>
          </w:tcPr>
          <w:p w:rsidR="00000000" w:rsidDel="00000000" w:rsidP="00000000" w:rsidRDefault="00000000" w:rsidRPr="00000000" w14:paraId="00000128">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Metals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B">
            <w:pPr>
              <w:jc w:val="both"/>
              <w:rPr>
                <w:sz w:val="20"/>
                <w:szCs w:val="20"/>
              </w:rPr>
            </w:pPr>
            <w:r w:rsidDel="00000000" w:rsidR="00000000" w:rsidRPr="00000000">
              <w:rPr>
                <w:sz w:val="20"/>
                <w:szCs w:val="20"/>
                <w:rtl w:val="0"/>
              </w:rPr>
              <w:t xml:space="preserve">High-complexity Products</w:t>
            </w:r>
          </w:p>
        </w:tc>
      </w:tr>
      <w:tr>
        <w:trPr>
          <w:cantSplit w:val="0"/>
          <w:tblHeader w:val="0"/>
        </w:trPr>
        <w:tc>
          <w:tcPr>
            <w:tcMar>
              <w:left w:w="0.0" w:type="dxa"/>
              <w:right w:w="0.0" w:type="dxa"/>
            </w:tcMar>
            <w:vAlign w:val="center"/>
          </w:tcPr>
          <w:p w:rsidR="00000000" w:rsidDel="00000000" w:rsidP="00000000" w:rsidRDefault="00000000" w:rsidRPr="00000000" w14:paraId="0000012C">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D">
            <w:pPr>
              <w:jc w:val="both"/>
              <w:rPr>
                <w:sz w:val="20"/>
                <w:szCs w:val="20"/>
              </w:rPr>
            </w:pPr>
            <w:r w:rsidDel="00000000" w:rsidR="00000000" w:rsidRPr="00000000">
              <w:rPr>
                <w:sz w:val="20"/>
                <w:szCs w:val="20"/>
                <w:rtl w:val="0"/>
              </w:rPr>
              <w:t xml:space="preserve">Metals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E">
            <w:pPr>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F">
            <w:pPr>
              <w:jc w:val="both"/>
              <w:rPr>
                <w:sz w:val="20"/>
                <w:szCs w:val="20"/>
              </w:rPr>
            </w:pPr>
            <w:r w:rsidDel="00000000" w:rsidR="00000000" w:rsidRPr="00000000">
              <w:rPr>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130">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1">
            <w:pPr>
              <w:jc w:val="both"/>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Chemical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3">
            <w:pPr>
              <w:jc w:val="both"/>
              <w:rPr>
                <w:sz w:val="20"/>
                <w:szCs w:val="20"/>
              </w:rPr>
            </w:pPr>
            <w:r w:rsidDel="00000000" w:rsidR="00000000" w:rsidRPr="00000000">
              <w:rPr>
                <w:sz w:val="20"/>
                <w:szCs w:val="20"/>
                <w:rtl w:val="0"/>
              </w:rPr>
              <w:t xml:space="preserve">Machinery</w:t>
            </w:r>
          </w:p>
        </w:tc>
      </w:tr>
    </w:tbl>
    <w:p w:rsidR="00000000" w:rsidDel="00000000" w:rsidP="00000000" w:rsidRDefault="00000000" w:rsidRPr="00000000" w14:paraId="00000134">
      <w:pPr>
        <w:jc w:val="center"/>
        <w:rPr/>
      </w:pPr>
      <w:r w:rsidDel="00000000" w:rsidR="00000000" w:rsidRPr="00000000">
        <w:rPr>
          <w:sz w:val="22"/>
          <w:szCs w:val="22"/>
          <w:rtl w:val="0"/>
        </w:rPr>
        <w:t xml:space="preserve">Table 4d. RID Comparison across Emerging Economies (2022)</w:t>
      </w:r>
      <w:r w:rsidDel="00000000" w:rsidR="00000000" w:rsidRPr="00000000">
        <w:rPr>
          <w:rtl w:val="0"/>
        </w:rPr>
      </w:r>
    </w:p>
    <w:p w:rsidR="00000000" w:rsidDel="00000000" w:rsidP="00000000" w:rsidRDefault="00000000" w:rsidRPr="00000000" w14:paraId="00000135">
      <w:pPr>
        <w:pageBreakBefore w:val="0"/>
        <w:jc w:val="center"/>
        <w:rPr>
          <w:sz w:val="22"/>
          <w:szCs w:val="22"/>
        </w:rPr>
      </w:pPr>
      <w:r w:rsidDel="00000000" w:rsidR="00000000" w:rsidRPr="00000000">
        <w:rPr>
          <w:rtl w:val="0"/>
        </w:rPr>
      </w:r>
    </w:p>
    <w:p w:rsidR="00000000" w:rsidDel="00000000" w:rsidP="00000000" w:rsidRDefault="00000000" w:rsidRPr="00000000" w14:paraId="00000136">
      <w:pPr>
        <w:pageBreakBefore w:val="0"/>
        <w:jc w:val="both"/>
        <w:rPr/>
      </w:pPr>
      <w:r w:rsidDel="00000000" w:rsidR="00000000" w:rsidRPr="00000000">
        <w:rPr>
          <w:rtl w:val="0"/>
        </w:rPr>
      </w:r>
    </w:p>
    <w:p w:rsidR="00000000" w:rsidDel="00000000" w:rsidP="00000000" w:rsidRDefault="00000000" w:rsidRPr="00000000" w14:paraId="00000137">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8">
      <w:pPr>
        <w:pageBreakBefore w:val="0"/>
        <w:jc w:val="both"/>
        <w:rPr>
          <w:b w:val="1"/>
          <w:bCs w:val="1"/>
        </w:rPr>
      </w:pPr>
      <w:r w:rsidDel="00000000" w:rsidR="00000000" w:rsidRPr="00000000">
        <w:rPr>
          <w:rtl w:val="0"/>
        </w:rPr>
      </w:r>
    </w:p>
    <w:p w:rsidR="00000000" w:rsidDel="00000000" w:rsidP="00000000" w:rsidRDefault="00000000" w:rsidRPr="00000000" w14:paraId="0000013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C">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D">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E">
      <w:pPr>
        <w:pageBreakBefore w:val="0"/>
        <w:jc w:val="both"/>
        <w:rPr/>
      </w:pPr>
      <w:r w:rsidDel="00000000" w:rsidR="00000000" w:rsidRPr="00000000">
        <w:rPr>
          <w:rtl w:val="0"/>
        </w:rPr>
      </w:r>
    </w:p>
    <w:p w:rsidR="00000000" w:rsidDel="00000000" w:rsidP="00000000" w:rsidRDefault="00000000" w:rsidRPr="00000000" w14:paraId="0000013F">
      <w:pPr>
        <w:jc w:val="cente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0">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1">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Kenya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2">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Spain</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3">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Greece</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5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4">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ccffff"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tcBorders>
              <w:bottom w:color="000000" w:space="0" w:sz="0" w:val="nil"/>
            </w:tcBorders>
            <w:shd w:fill="ccffff"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0.096149424</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0.45830144</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F">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-0.232930358</w:t>
            </w:r>
          </w:p>
        </w:tc>
      </w:tr>
    </w:tbl>
    <w:p w:rsidR="00000000" w:rsidDel="00000000" w:rsidP="00000000" w:rsidRDefault="00000000" w:rsidRPr="00000000" w14:paraId="00000190">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91">
      <w:pPr>
        <w:jc w:val="left"/>
        <w:rPr/>
      </w:pPr>
      <w:r w:rsidDel="00000000" w:rsidR="00000000" w:rsidRPr="00000000">
        <w:rPr>
          <w:rtl w:val="0"/>
        </w:rPr>
      </w:r>
    </w:p>
    <w:tbl>
      <w:tblPr>
        <w:tblStyle w:val="Table10"/>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Kenya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Spain</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Greece</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97">
            <w:pPr>
              <w:widowControl w:val="0"/>
              <w:spacing w:line="276" w:lineRule="auto"/>
              <w:ind w:right="-75"/>
              <w:rPr>
                <w:color w:val="7b7b7b"/>
                <w:sz w:val="20"/>
                <w:szCs w:val="20"/>
              </w:rPr>
            </w:pPr>
            <w:r w:rsidDel="00000000" w:rsidR="00000000" w:rsidRPr="00000000">
              <w:rPr>
                <w:color w:val="7b7b7b"/>
                <w:sz w:val="20"/>
                <w:szCs w:val="20"/>
                <w:rtl w:val="0"/>
              </w:rPr>
              <w:t xml:space="preserve">Transportation</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9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right="-75"/>
              <w:rPr>
                <w:color w:val="7b7b7b"/>
                <w:sz w:val="20"/>
                <w:szCs w:val="20"/>
              </w:rPr>
            </w:pPr>
            <w:r w:rsidDel="00000000" w:rsidR="00000000" w:rsidRPr="00000000">
              <w:rPr>
                <w:color w:val="7b7b7b"/>
                <w:sz w:val="20"/>
                <w:szCs w:val="20"/>
                <w:rtl w:val="0"/>
              </w:rPr>
              <w:t xml:space="preserve">High-complexity Products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right="-75"/>
              <w:rPr>
                <w:color w:val="7b7b7b"/>
                <w:sz w:val="20"/>
                <w:szCs w:val="20"/>
              </w:rPr>
            </w:pPr>
            <w:r w:rsidDel="00000000" w:rsidR="00000000" w:rsidRPr="00000000">
              <w:rPr>
                <w:color w:val="7b7b7b"/>
                <w:sz w:val="20"/>
                <w:szCs w:val="20"/>
                <w:rtl w:val="0"/>
              </w:rPr>
              <w:t xml:space="preserve">Machinery and Construction</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right="-75"/>
              <w:rPr>
                <w:color w:val="7b7b7b"/>
                <w:sz w:val="20"/>
                <w:szCs w:val="20"/>
              </w:rPr>
            </w:pPr>
            <w:r w:rsidDel="00000000" w:rsidR="00000000" w:rsidRPr="00000000">
              <w:rPr>
                <w:color w:val="7b7b7b"/>
                <w:sz w:val="20"/>
                <w:szCs w:val="20"/>
                <w:rtl w:val="0"/>
              </w:rPr>
              <w:t xml:space="preserve">Animals and By-products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right="-75"/>
              <w:rPr>
                <w:color w:val="7b7b7b"/>
                <w:sz w:val="20"/>
                <w:szCs w:val="20"/>
              </w:rPr>
            </w:pPr>
            <w:r w:rsidDel="00000000" w:rsidR="00000000" w:rsidRPr="00000000">
              <w:rPr>
                <w:color w:val="7b7b7b"/>
                <w:sz w:val="20"/>
                <w:szCs w:val="20"/>
                <w:rtl w:val="0"/>
              </w:rPr>
              <w:t xml:space="preserve">Precious Stones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right="-75"/>
              <w:rPr>
                <w:color w:val="7b7b7b"/>
                <w:sz w:val="20"/>
                <w:szCs w:val="20"/>
              </w:rPr>
            </w:pPr>
            <w:r w:rsidDel="00000000" w:rsidR="00000000" w:rsidRPr="00000000">
              <w:rPr>
                <w:color w:val="7b7b7b"/>
                <w:sz w:val="20"/>
                <w:szCs w:val="20"/>
                <w:rtl w:val="0"/>
              </w:rPr>
              <w:t xml:space="preserve">Metals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right="-75"/>
              <w:rPr>
                <w:color w:val="7b7b7b"/>
                <w:sz w:val="20"/>
                <w:szCs w:val="20"/>
              </w:rPr>
            </w:pPr>
            <w:r w:rsidDel="00000000" w:rsidR="00000000" w:rsidRPr="00000000">
              <w:rPr>
                <w:color w:val="7b7b7b"/>
                <w:sz w:val="20"/>
                <w:szCs w:val="20"/>
                <w:rtl w:val="0"/>
              </w:rPr>
              <w:t xml:space="preserve">Services and Utilities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right="-75"/>
              <w:rPr>
                <w:color w:val="7b7b7b"/>
                <w:sz w:val="20"/>
                <w:szCs w:val="20"/>
              </w:rPr>
            </w:pPr>
            <w:r w:rsidDel="00000000" w:rsidR="00000000" w:rsidRPr="00000000">
              <w:rPr>
                <w:color w:val="7b7b7b"/>
                <w:sz w:val="20"/>
                <w:szCs w:val="20"/>
                <w:rtl w:val="0"/>
              </w:rPr>
              <w:t xml:space="preserve">Daily Instruments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right="-75"/>
              <w:rPr>
                <w:color w:val="7b7b7b"/>
                <w:sz w:val="20"/>
                <w:szCs w:val="20"/>
              </w:rPr>
            </w:pPr>
            <w:r w:rsidDel="00000000" w:rsidR="00000000" w:rsidRPr="00000000">
              <w:rPr>
                <w:color w:val="7b7b7b"/>
                <w:sz w:val="20"/>
                <w:szCs w:val="20"/>
                <w:rtl w:val="0"/>
              </w:rPr>
              <w:t xml:space="preserve">Textile</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right="-75"/>
              <w:rPr>
                <w:color w:val="7b7b7b"/>
                <w:sz w:val="20"/>
                <w:szCs w:val="20"/>
              </w:rPr>
            </w:pPr>
            <w:r w:rsidDel="00000000" w:rsidR="00000000" w:rsidRPr="00000000">
              <w:rPr>
                <w:color w:val="7b7b7b"/>
                <w:sz w:val="20"/>
                <w:szCs w:val="20"/>
                <w:rtl w:val="0"/>
              </w:rPr>
              <w:t xml:space="preserve">Chemicals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right="-75"/>
              <w:rPr>
                <w:color w:val="7b7b7b"/>
                <w:sz w:val="20"/>
                <w:szCs w:val="20"/>
              </w:rPr>
            </w:pPr>
            <w:r w:rsidDel="00000000" w:rsidR="00000000" w:rsidRPr="00000000">
              <w:rPr>
                <w:color w:val="7b7b7b"/>
                <w:sz w:val="20"/>
                <w:szCs w:val="20"/>
                <w:rtl w:val="0"/>
              </w:rPr>
              <w:t xml:space="preserve">Raw Manufacturing</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 </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ccffff" w:val="clear"/>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tcBorders>
              <w:bottom w:color="000000" w:space="0" w:sz="0" w:val="nil"/>
            </w:tcBorders>
            <w:shd w:fill="ccffff"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-0.470227099</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0.168962035</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1">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-0.425579783</w:t>
            </w:r>
          </w:p>
        </w:tc>
      </w:tr>
    </w:tbl>
    <w:p w:rsidR="00000000" w:rsidDel="00000000" w:rsidP="00000000" w:rsidRDefault="00000000" w:rsidRPr="00000000" w14:paraId="000001E2">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E3">
      <w:pPr>
        <w:pageBreakBefore w:val="0"/>
        <w:jc w:val="left"/>
        <w:rPr/>
      </w:pPr>
      <w:r w:rsidDel="00000000" w:rsidR="00000000" w:rsidRPr="00000000">
        <w:rPr>
          <w:rtl w:val="0"/>
        </w:rPr>
      </w:r>
    </w:p>
    <w:tbl>
      <w:tblPr>
        <w:tblStyle w:val="Table11"/>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ffffff"/>
                <w:sz w:val="20"/>
                <w:szCs w:val="20"/>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Kenya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Colombia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7">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Nigeria</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E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E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3</w:t>
            </w:r>
            <w:r w:rsidDel="00000000" w:rsidR="00000000" w:rsidRPr="00000000">
              <w:rPr>
                <w:rtl w:val="0"/>
              </w:rPr>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F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F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F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4</w:t>
            </w:r>
            <w:r w:rsidDel="00000000" w:rsidR="00000000" w:rsidRPr="00000000">
              <w:rPr>
                <w:rtl w:val="0"/>
              </w:rPr>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F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F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5</w:t>
            </w:r>
            <w:r w:rsidDel="00000000" w:rsidR="00000000" w:rsidRPr="00000000">
              <w:rPr>
                <w:rtl w:val="0"/>
              </w:rPr>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F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F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6</w:t>
            </w:r>
            <w:r w:rsidDel="00000000" w:rsidR="00000000" w:rsidRPr="00000000">
              <w:rPr>
                <w:rtl w:val="0"/>
              </w:rPr>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F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1F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7</w:t>
            </w:r>
            <w:r w:rsidDel="00000000" w:rsidR="00000000" w:rsidRPr="00000000">
              <w:rPr>
                <w:rtl w:val="0"/>
              </w:rPr>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0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0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0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8</w:t>
            </w:r>
            <w:r w:rsidDel="00000000" w:rsidR="00000000" w:rsidRPr="00000000">
              <w:rPr>
                <w:rtl w:val="0"/>
              </w:rPr>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0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0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0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9</w:t>
            </w:r>
            <w:r w:rsidDel="00000000" w:rsidR="00000000" w:rsidRPr="00000000">
              <w:rPr>
                <w:rtl w:val="0"/>
              </w:rPr>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0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0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10</w:t>
            </w:r>
            <w:r w:rsidDel="00000000" w:rsidR="00000000" w:rsidRPr="00000000">
              <w:rPr>
                <w:rtl w:val="0"/>
              </w:rPr>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0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0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20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11</w:t>
            </w:r>
            <w:r w:rsidDel="00000000" w:rsidR="00000000" w:rsidRPr="00000000">
              <w:rPr>
                <w:rtl w:val="0"/>
              </w:rPr>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21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1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12</w:t>
            </w:r>
            <w:r w:rsidDel="00000000" w:rsidR="00000000" w:rsidRPr="00000000">
              <w:rPr>
                <w:rtl w:val="0"/>
              </w:rPr>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21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13</w:t>
            </w:r>
            <w:r w:rsidDel="00000000" w:rsidR="00000000" w:rsidRPr="00000000">
              <w:rPr>
                <w:rtl w:val="0"/>
              </w:rPr>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14</w:t>
            </w:r>
            <w:r w:rsidDel="00000000" w:rsidR="00000000" w:rsidRPr="00000000">
              <w:rPr>
                <w:rtl w:val="0"/>
              </w:rPr>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99ccff"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15</w:t>
            </w:r>
            <w:r w:rsidDel="00000000" w:rsidR="00000000" w:rsidRPr="00000000">
              <w:rPr>
                <w:rtl w:val="0"/>
              </w:rPr>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16</w:t>
            </w:r>
            <w:r w:rsidDel="00000000" w:rsidR="00000000" w:rsidRPr="00000000">
              <w:rPr>
                <w:rtl w:val="0"/>
              </w:rPr>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17</w:t>
            </w:r>
            <w:r w:rsidDel="00000000" w:rsidR="00000000" w:rsidRPr="00000000">
              <w:rPr>
                <w:rtl w:val="0"/>
              </w:rPr>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ccffff"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18</w:t>
            </w:r>
            <w:r w:rsidDel="00000000" w:rsidR="00000000" w:rsidRPr="00000000">
              <w:rPr>
                <w:rtl w:val="0"/>
              </w:rPr>
            </w:r>
          </w:p>
        </w:tc>
        <w:tc>
          <w:tcPr>
            <w:tcBorders>
              <w:bottom w:color="000000" w:space="0" w:sz="0" w:val="nil"/>
            </w:tcBorders>
            <w:shd w:fill="ccffff"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tcBorders>
              <w:bottom w:color="000000" w:space="0" w:sz="0" w:val="nil"/>
            </w:tcBorders>
            <w:shd w:fill="ccffff"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7b7b7b"/>
                <w:sz w:val="20"/>
                <w:szCs w:val="20"/>
              </w:rPr>
            </w:pPr>
            <w:r w:rsidDel="00000000" w:rsidR="00000000" w:rsidRPr="00000000">
              <w:rPr>
                <w:b w:val="1"/>
                <w:bCs w:val="1"/>
                <w:color w:val="7b7b7b"/>
                <w:sz w:val="20"/>
                <w:szCs w:val="20"/>
                <w:rtl w:val="0"/>
              </w:rPr>
              <w:t xml:space="preserve">0.347338</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1.058294</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2.469797</w:t>
            </w:r>
          </w:p>
        </w:tc>
      </w:tr>
    </w:tbl>
    <w:p w:rsidR="00000000" w:rsidDel="00000000" w:rsidP="00000000" w:rsidRDefault="00000000" w:rsidRPr="00000000" w14:paraId="00000234">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p>
    <w:p w:rsidR="00000000" w:rsidDel="00000000" w:rsidP="00000000" w:rsidRDefault="00000000" w:rsidRPr="00000000" w14:paraId="00000235">
      <w:pPr>
        <w:pageBreakBefore w:val="0"/>
        <w:jc w:val="center"/>
        <w:rPr/>
      </w:pPr>
      <w:r w:rsidDel="00000000" w:rsidR="00000000" w:rsidRPr="00000000">
        <w:rPr>
          <w:rtl w:val="0"/>
        </w:rPr>
      </w:r>
    </w:p>
    <w:p w:rsidR="00000000" w:rsidDel="00000000" w:rsidP="00000000" w:rsidRDefault="00000000" w:rsidRPr="00000000" w14:paraId="00000236">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Kenya</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237">
      <w:pPr>
        <w:pageBreakBefore w:val="0"/>
        <w:jc w:val="both"/>
        <w:rPr/>
      </w:pPr>
      <w:r w:rsidDel="00000000" w:rsidR="00000000" w:rsidRPr="00000000">
        <w:rPr>
          <w:rtl w:val="0"/>
        </w:rPr>
      </w:r>
    </w:p>
    <w:p w:rsidR="00000000" w:rsidDel="00000000" w:rsidP="00000000" w:rsidRDefault="00000000" w:rsidRPr="00000000" w14:paraId="00000238">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Chemicals and Chemical Manufacturing industries. It can be concluded that </w:t>
      </w:r>
      <w:r w:rsidDel="00000000" w:rsidR="00000000" w:rsidRPr="00000000">
        <w:rPr>
          <w:rtl w:val="0"/>
        </w:rPr>
        <w:t xml:space="preserve">Kenya</w:t>
      </w:r>
      <w:r w:rsidDel="00000000" w:rsidR="00000000" w:rsidRPr="00000000">
        <w:rPr>
          <w:rtl w:val="0"/>
        </w:rPr>
        <w:t xml:space="preserve"> shares the characteristics of developing countries, with a balanced economic structure that leans towards manufacturing-level industries.</w:t>
      </w:r>
    </w:p>
    <w:p w:rsidR="00000000" w:rsidDel="00000000" w:rsidP="00000000" w:rsidRDefault="00000000" w:rsidRPr="00000000" w14:paraId="00000239">
      <w:pPr>
        <w:jc w:val="center"/>
        <w:rPr/>
      </w:pPr>
      <w:r w:rsidDel="00000000" w:rsidR="00000000" w:rsidRPr="00000000">
        <w:rPr/>
        <w:drawing>
          <wp:inline distB="114300" distT="114300" distL="114300" distR="114300">
            <wp:extent cx="5731200" cy="2400300"/>
            <wp:effectExtent b="0" l="0" r="0" t="0"/>
            <wp:docPr id="1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sz w:val="22"/>
          <w:szCs w:val="22"/>
          <w:rtl w:val="0"/>
        </w:rPr>
        <w:t xml:space="preserve">Table 6. SDV of Other Sample Countries (2013)</w:t>
      </w:r>
      <w:r w:rsidDel="00000000" w:rsidR="00000000" w:rsidRPr="00000000">
        <w:rPr>
          <w:rtl w:val="0"/>
        </w:rPr>
      </w:r>
    </w:p>
    <w:p w:rsidR="00000000" w:rsidDel="00000000" w:rsidP="00000000" w:rsidRDefault="00000000" w:rsidRPr="00000000" w14:paraId="0000023A">
      <w:pPr>
        <w:pageBreakBefore w:val="0"/>
        <w:jc w:val="center"/>
        <w:rPr>
          <w:sz w:val="22"/>
          <w:szCs w:val="22"/>
        </w:rPr>
      </w:pPr>
      <w:r w:rsidDel="00000000" w:rsidR="00000000" w:rsidRPr="00000000">
        <w:rPr>
          <w:rtl w:val="0"/>
        </w:rPr>
      </w:r>
    </w:p>
    <w:p w:rsidR="00000000" w:rsidDel="00000000" w:rsidP="00000000" w:rsidRDefault="00000000" w:rsidRPr="00000000" w14:paraId="0000023B">
      <w:pPr>
        <w:pageBreakBefore w:val="0"/>
        <w:jc w:val="center"/>
        <w:rPr/>
      </w:pPr>
      <w:r w:rsidDel="00000000" w:rsidR="00000000" w:rsidRPr="00000000">
        <w:rPr>
          <w:rtl w:val="0"/>
        </w:rPr>
      </w:r>
    </w:p>
    <w:p w:rsidR="00000000" w:rsidDel="00000000" w:rsidP="00000000" w:rsidRDefault="00000000" w:rsidRPr="00000000" w14:paraId="0000023C">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23D">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23E">
      <w:pPr>
        <w:pageBreakBefore w:val="0"/>
        <w:jc w:val="both"/>
        <w:rPr/>
      </w:pPr>
      <w:r w:rsidDel="00000000" w:rsidR="00000000" w:rsidRPr="00000000">
        <w:rPr>
          <w:rtl w:val="0"/>
        </w:rPr>
      </w:r>
    </w:p>
    <w:p w:rsidR="00000000" w:rsidDel="00000000" w:rsidP="00000000" w:rsidRDefault="00000000" w:rsidRPr="00000000" w14:paraId="0000023F">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2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ageBreakBefore w:val="0"/>
        <w:jc w:val="center"/>
        <w:rPr/>
      </w:pPr>
      <w:r w:rsidDel="00000000" w:rsidR="00000000" w:rsidRPr="00000000">
        <w:rPr>
          <w:rtl w:val="0"/>
        </w:rPr>
      </w:r>
    </w:p>
    <w:p w:rsidR="00000000" w:rsidDel="00000000" w:rsidP="00000000" w:rsidRDefault="00000000" w:rsidRPr="00000000" w14:paraId="00000241">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242">
      <w:pPr>
        <w:pageBreakBefore w:val="0"/>
        <w:jc w:val="both"/>
        <w:rPr/>
      </w:pPr>
      <w:r w:rsidDel="00000000" w:rsidR="00000000" w:rsidRPr="00000000">
        <w:rPr>
          <w:rtl w:val="0"/>
        </w:rPr>
        <w:t xml:space="preserve"> </w:t>
      </w:r>
    </w:p>
    <w:p w:rsidR="00000000" w:rsidDel="00000000" w:rsidP="00000000" w:rsidRDefault="00000000" w:rsidRPr="00000000" w14:paraId="00000243">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244">
      <w:pPr>
        <w:pageBreakBefore w:val="0"/>
        <w:jc w:val="both"/>
        <w:rPr/>
      </w:pPr>
      <w:r w:rsidDel="00000000" w:rsidR="00000000" w:rsidRPr="00000000">
        <w:rPr>
          <w:rtl w:val="0"/>
        </w:rPr>
        <w:t xml:space="preserve"> </w:t>
      </w:r>
    </w:p>
    <w:p w:rsidR="00000000" w:rsidDel="00000000" w:rsidP="00000000" w:rsidRDefault="00000000" w:rsidRPr="00000000" w14:paraId="00000245">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246">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2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248">
      <w:pPr>
        <w:pageBreakBefore w:val="0"/>
        <w:rPr/>
      </w:pPr>
      <w:r w:rsidDel="00000000" w:rsidR="00000000" w:rsidRPr="00000000">
        <w:rPr>
          <w:rtl w:val="0"/>
        </w:rPr>
      </w:r>
    </w:p>
    <w:p w:rsidR="00000000" w:rsidDel="00000000" w:rsidP="00000000" w:rsidRDefault="00000000" w:rsidRPr="00000000" w14:paraId="00000249">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24A">
      <w:pPr>
        <w:pageBreakBefore w:val="0"/>
        <w:rPr/>
      </w:pPr>
      <w:r w:rsidDel="00000000" w:rsidR="00000000" w:rsidRPr="00000000">
        <w:rPr>
          <w:rtl w:val="0"/>
        </w:rPr>
        <w:t xml:space="preserve"> </w:t>
      </w:r>
    </w:p>
    <w:p w:rsidR="00000000" w:rsidDel="00000000" w:rsidP="00000000" w:rsidRDefault="00000000" w:rsidRPr="00000000" w14:paraId="0000024B">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24C">
      <w:pPr>
        <w:pageBreakBefore w:val="0"/>
        <w:rPr/>
      </w:pPr>
      <w:r w:rsidDel="00000000" w:rsidR="00000000" w:rsidRPr="00000000">
        <w:rPr>
          <w:rtl w:val="0"/>
        </w:rPr>
      </w:r>
    </w:p>
    <w:p w:rsidR="00000000" w:rsidDel="00000000" w:rsidP="00000000" w:rsidRDefault="00000000" w:rsidRPr="00000000" w14:paraId="0000024D">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24E">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pageBreakBefore w:val="0"/>
        <w:jc w:val="both"/>
        <w:rPr>
          <w:b w:val="1"/>
          <w:bCs w:val="1"/>
        </w:rPr>
      </w:pPr>
      <w:r w:rsidDel="00000000" w:rsidR="00000000" w:rsidRPr="00000000">
        <w:rPr>
          <w:rtl w:val="0"/>
        </w:rPr>
      </w:r>
    </w:p>
    <w:p w:rsidR="00000000" w:rsidDel="00000000" w:rsidP="00000000" w:rsidRDefault="00000000" w:rsidRPr="00000000" w14:paraId="00000251">
      <w:pPr>
        <w:pageBreakBefore w:val="0"/>
        <w:jc w:val="both"/>
        <w:rPr>
          <w:b w:val="1"/>
          <w:bCs w:val="1"/>
        </w:rPr>
      </w:pPr>
      <w:r w:rsidDel="00000000" w:rsidR="00000000" w:rsidRPr="00000000">
        <w:rPr>
          <w:rtl w:val="0"/>
        </w:rPr>
      </w:r>
    </w:p>
    <w:p w:rsidR="00000000" w:rsidDel="00000000" w:rsidP="00000000" w:rsidRDefault="00000000" w:rsidRPr="00000000" w14:paraId="00000252">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53">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254">
      <w:pPr>
        <w:pageBreakBefore w:val="0"/>
        <w:jc w:val="both"/>
        <w:rPr/>
      </w:pPr>
      <w:r w:rsidDel="00000000" w:rsidR="00000000" w:rsidRPr="00000000">
        <w:rPr>
          <w:rtl w:val="0"/>
        </w:rPr>
      </w:r>
    </w:p>
    <w:tbl>
      <w:tblPr>
        <w:tblStyle w:val="Table12"/>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55">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56">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27B">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27C">
      <w:pPr>
        <w:pageBreakBefore w:val="0"/>
        <w:jc w:val="center"/>
        <w:rPr/>
      </w:pPr>
      <w:r w:rsidDel="00000000" w:rsidR="00000000" w:rsidRPr="00000000">
        <w:rPr>
          <w:rtl w:val="0"/>
        </w:rPr>
      </w:r>
    </w:p>
    <w:p w:rsidR="00000000" w:rsidDel="00000000" w:rsidP="00000000" w:rsidRDefault="00000000" w:rsidRPr="00000000" w14:paraId="0000027D">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Kenya</w:t>
      </w:r>
      <w:r w:rsidDel="00000000" w:rsidR="00000000" w:rsidRPr="00000000">
        <w:rPr>
          <w:rtl w:val="0"/>
        </w:rPr>
        <w:t xml:space="preserve"> in 2013, 2018, and 2022. We can see that for different percentages of heuristic total export growth, the ECIs of </w:t>
      </w:r>
      <w:r w:rsidDel="00000000" w:rsidR="00000000" w:rsidRPr="00000000">
        <w:rPr>
          <w:rtl w:val="0"/>
        </w:rPr>
        <w:t xml:space="preserve">Kenya</w:t>
      </w:r>
      <w:r w:rsidDel="00000000" w:rsidR="00000000" w:rsidRPr="00000000">
        <w:rPr>
          <w:rtl w:val="0"/>
        </w:rPr>
        <w:t xml:space="preserve"> actually have different increments. </w:t>
      </w:r>
    </w:p>
    <w:p w:rsidR="00000000" w:rsidDel="00000000" w:rsidP="00000000" w:rsidRDefault="00000000" w:rsidRPr="00000000" w14:paraId="0000027E">
      <w:pPr>
        <w:pageBreakBefore w:val="0"/>
        <w:jc w:val="both"/>
        <w:rPr/>
      </w:pPr>
      <w:r w:rsidDel="00000000" w:rsidR="00000000" w:rsidRPr="00000000">
        <w:rPr>
          <w:rtl w:val="0"/>
        </w:rPr>
        <w:t xml:space="preserve"> </w:t>
      </w:r>
    </w:p>
    <w:p w:rsidR="00000000" w:rsidDel="00000000" w:rsidP="00000000" w:rsidRDefault="00000000" w:rsidRPr="00000000" w14:paraId="0000027F">
      <w:pPr>
        <w:jc w:val="both"/>
        <w:rPr/>
      </w:pPr>
      <w:r w:rsidDel="00000000" w:rsidR="00000000" w:rsidRPr="00000000">
        <w:rPr>
          <w:rtl w:val="0"/>
        </w:rPr>
        <w:t xml:space="preserve">Below is the economic panel for Kenya in 2013. We can see that for different percentages of heuristic total export growth, the ECIs of Kenya actually have different amounts of increments. Overall, a 5 percent export growth results in an ECI improvement pattern starting from around 0.10 and endings at around 0.36. As the budget is increased to 10 percent export growth, the ECI of Kenya can achieve a slightly higher level, which is around 0.47. With a much larger growth budget, including 15 and 20 percent growth, Kenya is able to achieve an even much higher stage, which is around 0.72. </w:t>
      </w:r>
    </w:p>
    <w:p w:rsidR="00000000" w:rsidDel="00000000" w:rsidP="00000000" w:rsidRDefault="00000000" w:rsidRPr="00000000" w14:paraId="00000280">
      <w:pPr>
        <w:jc w:val="both"/>
        <w:rPr/>
      </w:pPr>
      <w:r w:rsidDel="00000000" w:rsidR="00000000" w:rsidRPr="00000000">
        <w:rPr>
          <w:rtl w:val="0"/>
        </w:rPr>
        <w:t xml:space="preserve"> </w:t>
      </w:r>
    </w:p>
    <w:p w:rsidR="00000000" w:rsidDel="00000000" w:rsidP="00000000" w:rsidRDefault="00000000" w:rsidRPr="00000000" w14:paraId="00000281">
      <w:pPr>
        <w:jc w:val="both"/>
        <w:rPr/>
      </w:pPr>
      <w:r w:rsidDel="00000000" w:rsidR="00000000" w:rsidRPr="00000000">
        <w:rPr>
          <w:rtl w:val="0"/>
        </w:rPr>
        <w:t xml:space="preserve">For the case of 5 percent export growth, Animals and By-products, Services and Utilities, and Textiles account for most of the portfolio. For 10 percent export growth, the portfolio becomes more diverse. In addition to the products mentioned before, Daily Instruments are added as one of the main components as well. For the cases of 15 and 20 percent growth budgets, the solved portfolios are even more comprehensive. Not only do they follow similar ECI improvement trajectories, but they also share a pretty close investment portfolio, which are mainly made up of Machinery and Construction, Animals and By-products, and Services and Utilities, etc. In these four ECI improvement trajectories, we also notice that the largest improvement comes from Services and Utilities and Textiles, suggesting that with a low economic improvement anticipation, Kenya should focus more on developing these products. A more detailed numerical representation of the portfolio is shown in Table 8.</w:t>
      </w:r>
    </w:p>
    <w:p w:rsidR="00000000" w:rsidDel="00000000" w:rsidP="00000000" w:rsidRDefault="00000000" w:rsidRPr="00000000" w14:paraId="00000282">
      <w:pPr>
        <w:pageBreakBefore w:val="0"/>
        <w:jc w:val="both"/>
        <w:rPr>
          <w:b w:val="0"/>
          <w:bCs w:val="0"/>
          <w:i w:val="1"/>
          <w:iCs w:val="1"/>
          <w:color w:val="444499"/>
          <w:sz w:val="20"/>
          <w:szCs w:val="20"/>
        </w:rPr>
      </w:pPr>
      <w:r w:rsidDel="00000000" w:rsidR="00000000" w:rsidRPr="00000000">
        <w:rPr/>
        <w:drawing>
          <wp:inline distB="114300" distT="114300" distL="114300" distR="114300">
            <wp:extent cx="5731200" cy="19558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1955800"/>
                    </a:xfrm>
                    <a:prstGeom prst="rect"/>
                    <a:ln/>
                  </pic:spPr>
                </pic:pic>
              </a:graphicData>
            </a:graphic>
          </wp:inline>
        </w:drawing>
      </w:r>
      <w:r w:rsidDel="00000000" w:rsidR="00000000" w:rsidRPr="00000000">
        <w:rPr/>
        <w:drawing>
          <wp:inline distB="114300" distT="114300" distL="114300" distR="114300">
            <wp:extent cx="5700348" cy="1795463"/>
            <wp:effectExtent b="0" l="0" r="0" t="0"/>
            <wp:docPr id="16" name="image13.png"/>
            <a:graphic>
              <a:graphicData uri="http://schemas.openxmlformats.org/drawingml/2006/picture">
                <pic:pic>
                  <pic:nvPicPr>
                    <pic:cNvPr id="0" name="image13.png"/>
                    <pic:cNvPicPr preferRelativeResize="0"/>
                  </pic:nvPicPr>
                  <pic:blipFill>
                    <a:blip r:embed="rId18"/>
                    <a:srcRect b="10732" l="3488" r="0" t="0"/>
                    <a:stretch>
                      <a:fillRect/>
                    </a:stretch>
                  </pic:blipFill>
                  <pic:spPr>
                    <a:xfrm>
                      <a:off x="0" y="0"/>
                      <a:ext cx="5700348" cy="1795463"/>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ageBreakBefore w:val="0"/>
        <w:jc w:val="both"/>
        <w:rPr/>
      </w:pPr>
      <w:r w:rsidDel="00000000" w:rsidR="00000000" w:rsidRPr="00000000">
        <w:rPr>
          <w:rtl w:val="0"/>
        </w:rPr>
      </w:r>
    </w:p>
    <w:p w:rsidR="00000000" w:rsidDel="00000000" w:rsidP="00000000" w:rsidRDefault="00000000" w:rsidRPr="00000000" w14:paraId="00000284">
      <w:pPr>
        <w:pageBreakBefore w:val="0"/>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Kenya</w:t>
      </w:r>
      <w:r w:rsidDel="00000000" w:rsidR="00000000" w:rsidRPr="00000000">
        <w:rPr>
          <w:sz w:val="22"/>
          <w:szCs w:val="22"/>
          <w:rtl w:val="0"/>
        </w:rPr>
        <w:t xml:space="preserve"> with Different Budgets (2013)</w:t>
      </w:r>
    </w:p>
    <w:p w:rsidR="00000000" w:rsidDel="00000000" w:rsidP="00000000" w:rsidRDefault="00000000" w:rsidRPr="00000000" w14:paraId="00000285">
      <w:pPr>
        <w:jc w:val="both"/>
        <w:rPr/>
      </w:pPr>
      <w:r w:rsidDel="00000000" w:rsidR="00000000" w:rsidRPr="00000000">
        <w:rPr>
          <w:rtl w:val="0"/>
        </w:rPr>
      </w:r>
    </w:p>
    <w:p w:rsidR="00000000" w:rsidDel="00000000" w:rsidP="00000000" w:rsidRDefault="00000000" w:rsidRPr="00000000" w14:paraId="00000286">
      <w:pPr>
        <w:jc w:val="both"/>
        <w:rPr>
          <w:sz w:val="22"/>
          <w:szCs w:val="22"/>
        </w:rPr>
      </w:pPr>
      <w:r w:rsidDel="00000000" w:rsidR="00000000" w:rsidRPr="00000000">
        <w:rPr/>
        <w:drawing>
          <wp:inline distB="114300" distT="114300" distL="114300" distR="114300">
            <wp:extent cx="5731200" cy="1117600"/>
            <wp:effectExtent b="0" l="0" r="0" t="0"/>
            <wp:docPr id="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ageBreakBefore w:val="0"/>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Kenya</w:t>
      </w:r>
      <w:r w:rsidDel="00000000" w:rsidR="00000000" w:rsidRPr="00000000">
        <w:rPr>
          <w:sz w:val="22"/>
          <w:szCs w:val="22"/>
          <w:rtl w:val="0"/>
        </w:rPr>
        <w:t xml:space="preserve"> (2013)</w:t>
      </w:r>
    </w:p>
    <w:p w:rsidR="00000000" w:rsidDel="00000000" w:rsidP="00000000" w:rsidRDefault="00000000" w:rsidRPr="00000000" w14:paraId="00000288">
      <w:pPr>
        <w:pageBreakBefore w:val="0"/>
        <w:jc w:val="both"/>
        <w:rPr/>
      </w:pPr>
      <w:r w:rsidDel="00000000" w:rsidR="00000000" w:rsidRPr="00000000">
        <w:rPr>
          <w:rtl w:val="0"/>
        </w:rPr>
      </w:r>
    </w:p>
    <w:p w:rsidR="00000000" w:rsidDel="00000000" w:rsidP="00000000" w:rsidRDefault="00000000" w:rsidRPr="00000000" w14:paraId="00000289">
      <w:pPr>
        <w:jc w:val="both"/>
        <w:rPr/>
      </w:pPr>
      <w:r w:rsidDel="00000000" w:rsidR="00000000" w:rsidRPr="00000000">
        <w:rPr>
          <w:rtl w:val="0"/>
        </w:rPr>
        <w:t xml:space="preserve">For further suggestions on Kenya’s development in the future, we also offer the optimization result based on its export data in 2018. Below is the economic panel for Kenya in 2018. We can see that as the growth budget increases, a higher ECI can be achieved. With 5 percent export growth, the main components in the portfolio include Animals and By-products, Rraw manufacturing, Chemical Manufacturing and Textiles. For the case of 10 percent growth, in addition to the components mentioned before, chemicals and daily instruments serve as another two important factors. Additionally, as the budget increases up to 15 or 20 percent, not only do they follow similar ECI improvement trajectories, but they also share a close investment portfolio, which is mainly made up of Machinery and Construction, Chemical Manufacturing, Animal By-products, and Raw Manufacturing etc. A more detailed numerical representation of the portfolio is shown in Table 9.</w:t>
      </w:r>
    </w:p>
    <w:p w:rsidR="00000000" w:rsidDel="00000000" w:rsidP="00000000" w:rsidRDefault="00000000" w:rsidRPr="00000000" w14:paraId="0000028A">
      <w:pPr>
        <w:pageBreakBefore w:val="0"/>
        <w:jc w:val="both"/>
        <w:rPr/>
      </w:pPr>
      <w:r w:rsidDel="00000000" w:rsidR="00000000" w:rsidRPr="00000000">
        <w:rPr>
          <w:rtl w:val="0"/>
        </w:rPr>
      </w:r>
    </w:p>
    <w:p w:rsidR="00000000" w:rsidDel="00000000" w:rsidP="00000000" w:rsidRDefault="00000000" w:rsidRPr="00000000" w14:paraId="0000028B">
      <w:pPr>
        <w:pageBreakBefore w:val="0"/>
        <w:jc w:val="both"/>
        <w:rPr/>
      </w:pPr>
      <w:r w:rsidDel="00000000" w:rsidR="00000000" w:rsidRPr="00000000">
        <w:rPr>
          <w:rtl w:val="0"/>
        </w:rPr>
      </w:r>
    </w:p>
    <w:p w:rsidR="00000000" w:rsidDel="00000000" w:rsidP="00000000" w:rsidRDefault="00000000" w:rsidRPr="00000000" w14:paraId="0000028C">
      <w:pPr>
        <w:pageBreakBefore w:val="0"/>
        <w:jc w:val="both"/>
        <w:rPr/>
      </w:pPr>
      <w:r w:rsidDel="00000000" w:rsidR="00000000" w:rsidRPr="00000000">
        <w:rPr/>
        <w:drawing>
          <wp:inline distB="114300" distT="114300" distL="114300" distR="114300">
            <wp:extent cx="5731200" cy="1955800"/>
            <wp:effectExtent b="0" l="0" r="0" t="0"/>
            <wp:docPr id="1"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731200" cy="1955800"/>
                    </a:xfrm>
                    <a:prstGeom prst="rect"/>
                    <a:ln/>
                  </pic:spPr>
                </pic:pic>
              </a:graphicData>
            </a:graphic>
          </wp:inline>
        </w:drawing>
      </w:r>
      <w:r w:rsidDel="00000000" w:rsidR="00000000" w:rsidRPr="00000000">
        <w:rPr/>
        <w:drawing>
          <wp:inline distB="114300" distT="114300" distL="114300" distR="114300">
            <wp:extent cx="5731200" cy="1778000"/>
            <wp:effectExtent b="0" l="0" r="0" t="0"/>
            <wp:docPr id="20" name="image20.png"/>
            <a:graphic>
              <a:graphicData uri="http://schemas.openxmlformats.org/drawingml/2006/picture">
                <pic:pic>
                  <pic:nvPicPr>
                    <pic:cNvPr id="0" name="image20.png"/>
                    <pic:cNvPicPr preferRelativeResize="0"/>
                  </pic:nvPicPr>
                  <pic:blipFill>
                    <a:blip r:embed="rId21"/>
                    <a:srcRect b="11220" l="2658"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jc w:val="center"/>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Kenya</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28E">
      <w:pPr>
        <w:jc w:val="center"/>
        <w:rPr>
          <w:sz w:val="22"/>
          <w:szCs w:val="22"/>
        </w:rPr>
      </w:pPr>
      <w:r w:rsidDel="00000000" w:rsidR="00000000" w:rsidRPr="00000000">
        <w:rPr>
          <w:rtl w:val="0"/>
        </w:rPr>
      </w:r>
    </w:p>
    <w:p w:rsidR="00000000" w:rsidDel="00000000" w:rsidP="00000000" w:rsidRDefault="00000000" w:rsidRPr="00000000" w14:paraId="0000028F">
      <w:pPr>
        <w:jc w:val="both"/>
        <w:rPr>
          <w:sz w:val="22"/>
          <w:szCs w:val="22"/>
        </w:rPr>
      </w:pPr>
      <w:r w:rsidDel="00000000" w:rsidR="00000000" w:rsidRPr="00000000">
        <w:rPr/>
        <w:drawing>
          <wp:inline distB="114300" distT="114300" distL="114300" distR="114300">
            <wp:extent cx="5731200" cy="1231900"/>
            <wp:effectExtent b="0" l="0" r="0" t="0"/>
            <wp:docPr id="29"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Kenya</w:t>
      </w:r>
      <w:r w:rsidDel="00000000" w:rsidR="00000000" w:rsidRPr="00000000">
        <w:rPr>
          <w:sz w:val="22"/>
          <w:szCs w:val="22"/>
          <w:rtl w:val="0"/>
        </w:rPr>
        <w:t xml:space="preserve"> (2018)</w:t>
      </w:r>
    </w:p>
    <w:p w:rsidR="00000000" w:rsidDel="00000000" w:rsidP="00000000" w:rsidRDefault="00000000" w:rsidRPr="00000000" w14:paraId="00000291">
      <w:pPr>
        <w:pageBreakBefore w:val="0"/>
        <w:rPr/>
      </w:pPr>
      <w:r w:rsidDel="00000000" w:rsidR="00000000" w:rsidRPr="00000000">
        <w:rPr>
          <w:rtl w:val="0"/>
        </w:rPr>
      </w:r>
    </w:p>
    <w:p w:rsidR="00000000" w:rsidDel="00000000" w:rsidP="00000000" w:rsidRDefault="00000000" w:rsidRPr="00000000" w14:paraId="00000292">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w:t>
      </w:r>
      <w:r w:rsidDel="00000000" w:rsidR="00000000" w:rsidRPr="00000000">
        <w:rPr>
          <w:rtl w:val="0"/>
        </w:rPr>
        <w:t xml:space="preserve">2. </w:t>
      </w:r>
      <w:r w:rsidDel="00000000" w:rsidR="00000000" w:rsidRPr="00000000">
        <w:rPr>
          <w:rtl w:val="0"/>
        </w:rPr>
        <w:t xml:space="preserve">For 2022, </w:t>
      </w:r>
      <w:r w:rsidDel="00000000" w:rsidR="00000000" w:rsidRPr="00000000">
        <w:rPr>
          <w:rtl w:val="0"/>
        </w:rPr>
        <w:t xml:space="preserve">a 5 percent increase in export would emphasize Energy Drilling and Mining, followed by Energy Drilling and Mining, Wood Products, and High-complexity Products for 10, 15, and 20 percent export growth respectively. These strategies go in line with the suggested trajectories based on ECI. In all cases, Energy Drilling and Mining served as an important factor. This suggests a need for strategic investments in energy-related infrastructure. A more detailed numerical representation of the portfolio for </w:t>
      </w:r>
      <w:r w:rsidDel="00000000" w:rsidR="00000000" w:rsidRPr="00000000">
        <w:rPr>
          <w:rtl w:val="0"/>
        </w:rPr>
        <w:t xml:space="preserve">Kenya</w:t>
      </w:r>
      <w:r w:rsidDel="00000000" w:rsidR="00000000" w:rsidRPr="00000000">
        <w:rPr>
          <w:rtl w:val="0"/>
        </w:rPr>
        <w:t xml:space="preserve"> is shown in Table 8c.</w:t>
      </w:r>
    </w:p>
    <w:p w:rsidR="00000000" w:rsidDel="00000000" w:rsidP="00000000" w:rsidRDefault="00000000" w:rsidRPr="00000000" w14:paraId="00000293">
      <w:pPr>
        <w:pageBreakBefore w:val="0"/>
        <w:rPr>
          <w:sz w:val="22"/>
          <w:szCs w:val="22"/>
        </w:rPr>
      </w:pPr>
      <w:r w:rsidDel="00000000" w:rsidR="00000000" w:rsidRPr="00000000">
        <w:rPr/>
        <w:drawing>
          <wp:inline distB="114300" distT="114300" distL="114300" distR="114300">
            <wp:extent cx="5734050" cy="2103967"/>
            <wp:effectExtent b="0" l="0" r="0" t="0"/>
            <wp:docPr id="19" name="image26.png"/>
            <a:graphic>
              <a:graphicData uri="http://schemas.openxmlformats.org/drawingml/2006/picture">
                <pic:pic>
                  <pic:nvPicPr>
                    <pic:cNvPr id="0" name="image26.png"/>
                    <pic:cNvPicPr preferRelativeResize="0"/>
                  </pic:nvPicPr>
                  <pic:blipFill>
                    <a:blip r:embed="rId23"/>
                    <a:srcRect b="26615" l="0" r="0" t="0"/>
                    <a:stretch>
                      <a:fillRect/>
                    </a:stretch>
                  </pic:blipFill>
                  <pic:spPr>
                    <a:xfrm>
                      <a:off x="0" y="0"/>
                      <a:ext cx="5734050" cy="2103967"/>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jc w:val="center"/>
        <w:rPr>
          <w:sz w:val="22"/>
          <w:szCs w:val="22"/>
        </w:rPr>
      </w:pPr>
      <w:r w:rsidDel="00000000" w:rsidR="00000000" w:rsidRPr="00000000">
        <w:rPr>
          <w:sz w:val="22"/>
          <w:szCs w:val="22"/>
        </w:rPr>
        <w:drawing>
          <wp:inline distB="114300" distT="114300" distL="114300" distR="114300">
            <wp:extent cx="5731200" cy="2159000"/>
            <wp:effectExtent b="0" l="0" r="0" t="0"/>
            <wp:docPr id="28"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Kenya</w:t>
      </w:r>
      <w:r w:rsidDel="00000000" w:rsidR="00000000" w:rsidRPr="00000000">
        <w:rPr>
          <w:sz w:val="22"/>
          <w:szCs w:val="22"/>
          <w:rtl w:val="0"/>
        </w:rPr>
        <w:t xml:space="preserve"> with Different Budgets (2022)</w:t>
      </w:r>
    </w:p>
    <w:p w:rsidR="00000000" w:rsidDel="00000000" w:rsidP="00000000" w:rsidRDefault="00000000" w:rsidRPr="00000000" w14:paraId="00000296">
      <w:pPr>
        <w:jc w:val="left"/>
        <w:rPr>
          <w:sz w:val="22"/>
          <w:szCs w:val="22"/>
        </w:rPr>
      </w:pPr>
      <w:r w:rsidDel="00000000" w:rsidR="00000000" w:rsidRPr="00000000">
        <w:rPr>
          <w:rtl w:val="0"/>
        </w:rPr>
      </w:r>
    </w:p>
    <w:tbl>
      <w:tblPr>
        <w:tblStyle w:val="Table13"/>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97">
            <w:pPr>
              <w:jc w:val="center"/>
              <w:rPr>
                <w:sz w:val="20"/>
                <w:szCs w:val="20"/>
              </w:rPr>
            </w:pPr>
            <w:r w:rsidDel="00000000" w:rsidR="00000000" w:rsidRPr="00000000">
              <w:rPr>
                <w:b w:val="1"/>
                <w:bCs w:val="1"/>
                <w:sz w:val="20"/>
                <w:szCs w:val="20"/>
                <w:rtl w:val="0"/>
              </w:rPr>
              <w:t xml:space="preserve">Kenya</w:t>
            </w:r>
            <w:r w:rsidDel="00000000" w:rsidR="00000000" w:rsidRPr="00000000">
              <w:rPr>
                <w:b w:val="1"/>
                <w:bCs w:val="1"/>
                <w:sz w:val="20"/>
                <w:szCs w:val="20"/>
                <w:rtl w:val="0"/>
              </w:rPr>
              <w:t xml:space="preserve">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9D">
            <w:pPr>
              <w:jc w:val="center"/>
              <w:rPr>
                <w:sz w:val="20"/>
                <w:szCs w:val="20"/>
              </w:rPr>
            </w:pPr>
            <w:r w:rsidDel="00000000" w:rsidR="00000000" w:rsidRPr="00000000">
              <w:rPr>
                <w:b w:val="1"/>
                <w:bCs w:val="1"/>
                <w:sz w:val="20"/>
                <w:szCs w:val="20"/>
                <w:rtl w:val="0"/>
              </w:rPr>
              <w:t xml:space="preserve">0.347</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Animals and By-products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A9">
            <w:pPr>
              <w:widowControl w:val="0"/>
              <w:spacing w:line="276" w:lineRule="auto"/>
              <w:rPr>
                <w:sz w:val="18"/>
                <w:szCs w:val="18"/>
              </w:rPr>
            </w:pPr>
            <w:r w:rsidDel="00000000" w:rsidR="00000000" w:rsidRPr="00000000">
              <w:rPr>
                <w:sz w:val="18"/>
                <w:szCs w:val="18"/>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AA">
            <w:pPr>
              <w:widowControl w:val="0"/>
              <w:spacing w:line="276" w:lineRule="auto"/>
              <w:rPr>
                <w:sz w:val="18"/>
                <w:szCs w:val="18"/>
              </w:rPr>
            </w:pPr>
            <w:r w:rsidDel="00000000" w:rsidR="00000000" w:rsidRPr="00000000">
              <w:rPr>
                <w:sz w:val="18"/>
                <w:szCs w:val="18"/>
                <w:rtl w:val="0"/>
              </w:rPr>
              <w:t xml:space="preserve">2.30E+08</w:t>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Energy Drilling and Mining</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4.99E+08</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2.99E_08</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AE">
            <w:pPr>
              <w:widowControl w:val="0"/>
              <w:spacing w:line="276" w:lineRule="auto"/>
              <w:rPr>
                <w:sz w:val="18"/>
                <w:szCs w:val="18"/>
              </w:rPr>
            </w:pPr>
            <w:r w:rsidDel="00000000" w:rsidR="00000000" w:rsidRPr="00000000">
              <w:rPr>
                <w:sz w:val="18"/>
                <w:szCs w:val="18"/>
                <w:rtl w:val="0"/>
              </w:rPr>
              <w:t xml:space="preserve">3.11E+08</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AF">
            <w:pPr>
              <w:widowControl w:val="0"/>
              <w:spacing w:line="276" w:lineRule="auto"/>
              <w:rPr>
                <w:sz w:val="18"/>
                <w:szCs w:val="18"/>
              </w:rPr>
            </w:pPr>
            <w:r w:rsidDel="00000000" w:rsidR="00000000" w:rsidRPr="00000000">
              <w:rPr>
                <w:sz w:val="18"/>
                <w:szCs w:val="18"/>
                <w:rtl w:val="0"/>
              </w:rPr>
              <w:t xml:space="preserve">3.22E+08</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Wood 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5.76E+07</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1.61E+08</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B3">
            <w:pPr>
              <w:widowControl w:val="0"/>
              <w:spacing w:line="276" w:lineRule="auto"/>
              <w:rPr>
                <w:sz w:val="18"/>
                <w:szCs w:val="18"/>
              </w:rPr>
            </w:pPr>
            <w:r w:rsidDel="00000000" w:rsidR="00000000" w:rsidRPr="00000000">
              <w:rPr>
                <w:sz w:val="18"/>
                <w:szCs w:val="18"/>
                <w:rtl w:val="0"/>
              </w:rPr>
              <w:t xml:space="preserve">4.84E+08</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B4">
            <w:pPr>
              <w:widowControl w:val="0"/>
              <w:spacing w:line="276" w:lineRule="auto"/>
              <w:rPr>
                <w:sz w:val="18"/>
                <w:szCs w:val="18"/>
              </w:rPr>
            </w:pPr>
            <w:r w:rsidDel="00000000" w:rsidR="00000000" w:rsidRPr="00000000">
              <w:rPr>
                <w:sz w:val="18"/>
                <w:szCs w:val="18"/>
                <w:rtl w:val="0"/>
              </w:rPr>
              <w:t xml:space="preserve">0.00E+00</w:t>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Textile</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1.92E+07</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2.30E+07</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B8">
            <w:pPr>
              <w:widowControl w:val="0"/>
              <w:spacing w:line="276" w:lineRule="auto"/>
              <w:rPr>
                <w:sz w:val="18"/>
                <w:szCs w:val="18"/>
              </w:rPr>
            </w:pPr>
            <w:r w:rsidDel="00000000" w:rsidR="00000000" w:rsidRPr="00000000">
              <w:rPr>
                <w:sz w:val="18"/>
                <w:szCs w:val="18"/>
                <w:rtl w:val="0"/>
              </w:rPr>
              <w:t xml:space="preserve">3.45E+07</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B9">
            <w:pPr>
              <w:widowControl w:val="0"/>
              <w:spacing w:line="276" w:lineRule="auto"/>
              <w:rPr>
                <w:sz w:val="18"/>
                <w:szCs w:val="18"/>
              </w:rPr>
            </w:pPr>
            <w:r w:rsidDel="00000000" w:rsidR="00000000" w:rsidRPr="00000000">
              <w:rPr>
                <w:sz w:val="18"/>
                <w:szCs w:val="18"/>
                <w:rtl w:val="0"/>
              </w:rPr>
              <w:t xml:space="preserve">4.61E+07</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Precious Stones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2.07E+07</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BD">
            <w:pPr>
              <w:widowControl w:val="0"/>
              <w:spacing w:line="276" w:lineRule="auto"/>
              <w:rPr>
                <w:sz w:val="18"/>
                <w:szCs w:val="18"/>
              </w:rPr>
            </w:pPr>
            <w:r w:rsidDel="00000000" w:rsidR="00000000" w:rsidRPr="00000000">
              <w:rPr>
                <w:sz w:val="18"/>
                <w:szCs w:val="18"/>
                <w:rtl w:val="0"/>
              </w:rPr>
              <w:t xml:space="preserve">2.07E+08</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BE">
            <w:pPr>
              <w:widowControl w:val="0"/>
              <w:spacing w:line="276" w:lineRule="auto"/>
              <w:rPr>
                <w:sz w:val="18"/>
                <w:szCs w:val="18"/>
              </w:rPr>
            </w:pPr>
            <w:r w:rsidDel="00000000" w:rsidR="00000000" w:rsidRPr="00000000">
              <w:rPr>
                <w:sz w:val="18"/>
                <w:szCs w:val="18"/>
                <w:rtl w:val="0"/>
              </w:rPr>
              <w:t xml:space="preserve">2.30E+08</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High-complexity 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0.00E+00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5.53</w:t>
            </w:r>
            <w:r w:rsidDel="00000000" w:rsidR="00000000" w:rsidRPr="00000000">
              <w:rPr>
                <w:sz w:val="18"/>
                <w:szCs w:val="18"/>
                <w:rtl w:val="0"/>
              </w:rPr>
              <w:t xml:space="preserve">E+0</w:t>
            </w:r>
            <w:r w:rsidDel="00000000" w:rsidR="00000000" w:rsidRPr="00000000">
              <w:rPr>
                <w:sz w:val="18"/>
                <w:szCs w:val="18"/>
                <w:rtl w:val="0"/>
              </w:rPr>
              <w:t xml:space="preserve">8</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C5">
            <w:pPr>
              <w:widowControl w:val="0"/>
              <w:spacing w:line="276" w:lineRule="auto"/>
              <w:rPr>
                <w:b w:val="1"/>
                <w:bCs w:val="1"/>
                <w:sz w:val="20"/>
                <w:szCs w:val="20"/>
              </w:rPr>
            </w:pPr>
            <w:r w:rsidDel="00000000" w:rsidR="00000000" w:rsidRPr="00000000">
              <w:rPr>
                <w:b w:val="1"/>
                <w:bCs w:val="1"/>
                <w:sz w:val="20"/>
                <w:szCs w:val="20"/>
                <w:rtl w:val="0"/>
              </w:rPr>
              <w:t xml:space="preserve">         0.468</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C6">
            <w:pPr>
              <w:widowControl w:val="0"/>
              <w:spacing w:line="276" w:lineRule="auto"/>
              <w:rPr>
                <w:b w:val="1"/>
                <w:bCs w:val="1"/>
                <w:sz w:val="20"/>
                <w:szCs w:val="20"/>
              </w:rPr>
            </w:pPr>
            <w:r w:rsidDel="00000000" w:rsidR="00000000" w:rsidRPr="00000000">
              <w:rPr>
                <w:b w:val="1"/>
                <w:bCs w:val="1"/>
                <w:sz w:val="20"/>
                <w:szCs w:val="20"/>
                <w:rtl w:val="0"/>
              </w:rPr>
              <w:t xml:space="preserve">           0.541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C7">
            <w:pPr>
              <w:widowControl w:val="0"/>
              <w:spacing w:line="276" w:lineRule="auto"/>
              <w:rPr>
                <w:b w:val="1"/>
                <w:bCs w:val="1"/>
                <w:sz w:val="20"/>
                <w:szCs w:val="20"/>
              </w:rPr>
            </w:pPr>
            <w:r w:rsidDel="00000000" w:rsidR="00000000" w:rsidRPr="00000000">
              <w:rPr>
                <w:b w:val="1"/>
                <w:bCs w:val="1"/>
                <w:sz w:val="20"/>
                <w:szCs w:val="20"/>
                <w:rtl w:val="0"/>
              </w:rPr>
              <w:t xml:space="preserve">           0.541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C8">
            <w:pPr>
              <w:widowControl w:val="0"/>
              <w:spacing w:line="276" w:lineRule="auto"/>
              <w:rPr>
                <w:b w:val="1"/>
                <w:bCs w:val="1"/>
                <w:sz w:val="20"/>
                <w:szCs w:val="20"/>
              </w:rPr>
            </w:pPr>
            <w:r w:rsidDel="00000000" w:rsidR="00000000" w:rsidRPr="00000000">
              <w:rPr>
                <w:b w:val="1"/>
                <w:bCs w:val="1"/>
                <w:sz w:val="20"/>
                <w:szCs w:val="20"/>
                <w:rtl w:val="0"/>
              </w:rPr>
              <w:t xml:space="preserve">           0.800</w:t>
            </w:r>
          </w:p>
        </w:tc>
      </w:tr>
    </w:tbl>
    <w:p w:rsidR="00000000" w:rsidDel="00000000" w:rsidP="00000000" w:rsidRDefault="00000000" w:rsidRPr="00000000" w14:paraId="000002C9">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Kenya</w:t>
      </w:r>
      <w:r w:rsidDel="00000000" w:rsidR="00000000" w:rsidRPr="00000000">
        <w:rPr>
          <w:sz w:val="22"/>
          <w:szCs w:val="22"/>
          <w:rtl w:val="0"/>
        </w:rPr>
        <w:t xml:space="preserve"> </w:t>
      </w:r>
      <w:r w:rsidDel="00000000" w:rsidR="00000000" w:rsidRPr="00000000">
        <w:rPr>
          <w:sz w:val="22"/>
          <w:szCs w:val="22"/>
          <w:rtl w:val="0"/>
        </w:rPr>
        <w:t xml:space="preserve">(2022)</w:t>
      </w:r>
      <w:r w:rsidDel="00000000" w:rsidR="00000000" w:rsidRPr="00000000">
        <w:rPr>
          <w:rtl w:val="0"/>
        </w:rPr>
      </w:r>
    </w:p>
    <w:p w:rsidR="00000000" w:rsidDel="00000000" w:rsidP="00000000" w:rsidRDefault="00000000" w:rsidRPr="00000000" w14:paraId="000002CA">
      <w:pPr>
        <w:jc w:val="center"/>
        <w:rPr>
          <w:sz w:val="22"/>
          <w:szCs w:val="22"/>
        </w:rPr>
      </w:pPr>
      <w:r w:rsidDel="00000000" w:rsidR="00000000" w:rsidRPr="00000000">
        <w:rPr>
          <w:rtl w:val="0"/>
        </w:rPr>
      </w:r>
    </w:p>
    <w:p w:rsidR="00000000" w:rsidDel="00000000" w:rsidP="00000000" w:rsidRDefault="00000000" w:rsidRPr="00000000" w14:paraId="000002CB">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2CC">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Kenya</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2CD">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2CE">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2CF">
      <w:pPr>
        <w:jc w:val="both"/>
        <w:rPr>
          <w:b w:val="1"/>
          <w:bCs w:val="1"/>
        </w:rPr>
      </w:pPr>
      <w:r w:rsidDel="00000000" w:rsidR="00000000" w:rsidRPr="00000000">
        <w:rPr>
          <w:b w:val="1"/>
          <w:bCs w:val="1"/>
        </w:rPr>
        <w:drawing>
          <wp:inline distB="114300" distT="114300" distL="114300" distR="114300">
            <wp:extent cx="5310188" cy="2519630"/>
            <wp:effectExtent b="0" l="0" r="0" t="0"/>
            <wp:docPr id="13" name="image5.jpg"/>
            <a:graphic>
              <a:graphicData uri="http://schemas.openxmlformats.org/drawingml/2006/picture">
                <pic:pic>
                  <pic:nvPicPr>
                    <pic:cNvPr id="0" name="image5.jpg"/>
                    <pic:cNvPicPr preferRelativeResize="0"/>
                  </pic:nvPicPr>
                  <pic:blipFill>
                    <a:blip r:embed="rId25"/>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2D1">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2022,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2D2">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2D3">
      <w:pPr>
        <w:pageBreakBefore w:val="0"/>
        <w:spacing w:after="0" w:before="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increasing or decreasing the absolute export level in two industries and observing the effects on the SDV. </w:t>
      </w:r>
    </w:p>
    <w:p w:rsidR="00000000" w:rsidDel="00000000" w:rsidP="00000000" w:rsidRDefault="00000000" w:rsidRPr="00000000" w14:paraId="000002D4">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2D5">
      <w:pPr>
        <w:pageBreakBefore w:val="0"/>
        <w:spacing w:line="276" w:lineRule="auto"/>
        <w:rPr/>
      </w:pPr>
      <w:r w:rsidDel="00000000" w:rsidR="00000000" w:rsidRPr="00000000">
        <w:rPr>
          <w:rtl w:val="0"/>
        </w:rPr>
        <w:t xml:space="preserve">Similar to the ECI sensitivity graphs above, we will be shocking the export of two industries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2D6">
      <w:pPr>
        <w:pageBreakBefore w:val="0"/>
        <w:spacing w:line="276" w:lineRule="auto"/>
        <w:rPr/>
      </w:pPr>
      <w:r w:rsidDel="00000000" w:rsidR="00000000" w:rsidRPr="00000000">
        <w:rPr>
          <w:rtl w:val="0"/>
        </w:rPr>
      </w:r>
    </w:p>
    <w:p w:rsidR="00000000" w:rsidDel="00000000" w:rsidP="00000000" w:rsidRDefault="00000000" w:rsidRPr="00000000" w14:paraId="000002D7">
      <w:pPr>
        <w:pageBreakBefore w:val="0"/>
        <w:jc w:val="both"/>
        <w:rPr/>
      </w:pPr>
      <w:r w:rsidDel="00000000" w:rsidR="00000000" w:rsidRPr="00000000">
        <w:rPr/>
        <w:drawing>
          <wp:inline distB="114300" distT="114300" distL="114300" distR="114300">
            <wp:extent cx="5734050" cy="1739900"/>
            <wp:effectExtent b="0" l="0" r="0" t="0"/>
            <wp:docPr id="3" name="image7.jpg"/>
            <a:graphic>
              <a:graphicData uri="http://schemas.openxmlformats.org/drawingml/2006/picture">
                <pic:pic>
                  <pic:nvPicPr>
                    <pic:cNvPr id="0" name="image7.jpg"/>
                    <pic:cNvPicPr preferRelativeResize="0"/>
                  </pic:nvPicPr>
                  <pic:blipFill>
                    <a:blip r:embed="rId26"/>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2D9">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2DA">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2DB">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2DC">
      <w:pPr>
        <w:pageBreakBefore w:val="0"/>
        <w:spacing w:line="276" w:lineRule="auto"/>
        <w:rPr/>
      </w:pPr>
      <w:r w:rsidDel="00000000" w:rsidR="00000000" w:rsidRPr="00000000">
        <w:rPr>
          <w:rtl w:val="0"/>
        </w:rPr>
      </w:r>
    </w:p>
    <w:tbl>
      <w:tblPr>
        <w:tblStyle w:val="Table14"/>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DD">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DE">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DF">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E0">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1">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5">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9">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D">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1">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5">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9">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F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D">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F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1">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5">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9">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0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D">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0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1">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3">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5">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8">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9">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1C">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D">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1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2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21">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2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2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25">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26">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2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28">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329">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32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2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2C">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32D">
      <w:pPr>
        <w:pageBreakBefore w:val="0"/>
        <w:jc w:val="both"/>
        <w:rPr/>
      </w:pPr>
      <w:r w:rsidDel="00000000" w:rsidR="00000000" w:rsidRPr="00000000">
        <w:rPr>
          <w:rtl w:val="0"/>
        </w:rPr>
        <w:t xml:space="preserve">We examine </w:t>
      </w:r>
      <w:r w:rsidDel="00000000" w:rsidR="00000000" w:rsidRPr="00000000">
        <w:rPr>
          <w:rtl w:val="0"/>
        </w:rPr>
        <w:t xml:space="preserve">Kenya</w:t>
      </w:r>
      <w:r w:rsidDel="00000000" w:rsidR="00000000" w:rsidRPr="00000000">
        <w:rPr>
          <w:rtl w:val="0"/>
        </w:rPr>
        <w:t xml:space="preserve">'s ECI Decremental and Incremental Sensitivity Charts for 2022. An increase in Chemicals will lead to the highest change in ECI, followed by Chemical Manufacturing and Machinery and Construction. The strong sensitivity effect of manipulating the Chemical Manufacturing category remains consistent with previous years. For the negative shock cases, Vegetables, Fruits, and Plants becomes most impactful, a </w:t>
      </w:r>
      <w:r w:rsidDel="00000000" w:rsidR="00000000" w:rsidRPr="00000000">
        <w:rPr>
          <w:rtl w:val="0"/>
        </w:rPr>
        <w:t xml:space="preserve">new trend across the data emerging from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32E">
      <w:pPr>
        <w:pageBreakBefore w:val="0"/>
        <w:jc w:val="both"/>
        <w:rPr/>
      </w:pPr>
      <w:r w:rsidDel="00000000" w:rsidR="00000000" w:rsidRPr="00000000">
        <w:rPr>
          <w:rtl w:val="0"/>
        </w:rPr>
      </w:r>
    </w:p>
    <w:p w:rsidR="00000000" w:rsidDel="00000000" w:rsidP="00000000" w:rsidRDefault="00000000" w:rsidRPr="00000000" w14:paraId="0000032F">
      <w:pPr>
        <w:pageBreakBefore w:val="0"/>
        <w:jc w:val="both"/>
        <w:rPr/>
      </w:pPr>
      <w:r w:rsidDel="00000000" w:rsidR="00000000" w:rsidRPr="00000000">
        <w:rPr/>
        <w:drawing>
          <wp:inline distB="114300" distT="114300" distL="114300" distR="114300">
            <wp:extent cx="5731200" cy="1739900"/>
            <wp:effectExtent b="0" l="0" r="0" t="0"/>
            <wp:docPr id="14"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pageBreakBefore w:val="0"/>
        <w:jc w:val="both"/>
        <w:rPr/>
      </w:pPr>
      <w:r w:rsidDel="00000000" w:rsidR="00000000" w:rsidRPr="00000000">
        <w:rPr>
          <w:rtl w:val="0"/>
        </w:rPr>
      </w:r>
    </w:p>
    <w:p w:rsidR="00000000" w:rsidDel="00000000" w:rsidP="00000000" w:rsidRDefault="00000000" w:rsidRPr="00000000" w14:paraId="00000331">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Kenya</w:t>
      </w:r>
      <w:r w:rsidDel="00000000" w:rsidR="00000000" w:rsidRPr="00000000">
        <w:rPr>
          <w:sz w:val="22"/>
          <w:szCs w:val="22"/>
          <w:rtl w:val="0"/>
        </w:rPr>
        <w:t xml:space="preserve"> (2022)</w:t>
      </w:r>
    </w:p>
    <w:p w:rsidR="00000000" w:rsidDel="00000000" w:rsidP="00000000" w:rsidRDefault="00000000" w:rsidRPr="00000000" w14:paraId="00000332">
      <w:pPr>
        <w:jc w:val="center"/>
        <w:rPr>
          <w:sz w:val="22"/>
          <w:szCs w:val="22"/>
        </w:rPr>
      </w:pPr>
      <w:r w:rsidDel="00000000" w:rsidR="00000000" w:rsidRPr="00000000">
        <w:rPr>
          <w:rtl w:val="0"/>
        </w:rPr>
      </w:r>
    </w:p>
    <w:p w:rsidR="00000000" w:rsidDel="00000000" w:rsidP="00000000" w:rsidRDefault="00000000" w:rsidRPr="00000000" w14:paraId="00000333">
      <w:pPr>
        <w:jc w:val="center"/>
        <w:rPr>
          <w:sz w:val="22"/>
          <w:szCs w:val="22"/>
        </w:rPr>
      </w:pPr>
      <w:r w:rsidDel="00000000" w:rsidR="00000000" w:rsidRPr="00000000">
        <w:rPr>
          <w:sz w:val="22"/>
          <w:szCs w:val="22"/>
        </w:rPr>
        <w:drawing>
          <wp:inline distB="114300" distT="114300" distL="114300" distR="114300">
            <wp:extent cx="5839855" cy="2058458"/>
            <wp:effectExtent b="0" l="0" r="0" t="0"/>
            <wp:docPr id="30"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839855" cy="2058458"/>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Kenya</w:t>
      </w:r>
      <w:r w:rsidDel="00000000" w:rsidR="00000000" w:rsidRPr="00000000">
        <w:rPr>
          <w:sz w:val="22"/>
          <w:szCs w:val="22"/>
          <w:rtl w:val="0"/>
        </w:rPr>
        <w:t xml:space="preserve"> (2022)</w:t>
      </w:r>
      <w:r w:rsidDel="00000000" w:rsidR="00000000" w:rsidRPr="00000000">
        <w:rPr>
          <w:rtl w:val="0"/>
        </w:rPr>
      </w:r>
    </w:p>
    <w:p w:rsidR="00000000" w:rsidDel="00000000" w:rsidP="00000000" w:rsidRDefault="00000000" w:rsidRPr="00000000" w14:paraId="00000335">
      <w:pPr>
        <w:pageBreakBefore w:val="0"/>
        <w:jc w:val="both"/>
        <w:rPr/>
      </w:pPr>
      <w:r w:rsidDel="00000000" w:rsidR="00000000" w:rsidRPr="00000000">
        <w:rPr>
          <w:rtl w:val="0"/>
        </w:rPr>
      </w:r>
    </w:p>
    <w:p w:rsidR="00000000" w:rsidDel="00000000" w:rsidP="00000000" w:rsidRDefault="00000000" w:rsidRPr="00000000" w14:paraId="00000336">
      <w:pPr>
        <w:jc w:val="both"/>
        <w:rPr/>
      </w:pPr>
      <w:r w:rsidDel="00000000" w:rsidR="00000000" w:rsidRPr="00000000">
        <w:rPr>
          <w:rtl w:val="0"/>
        </w:rPr>
        <w:t xml:space="preserve">Below is Kenya’s 2018 ECI Sensitivity Charts. Firstly, in the positive chart, we notice immediately that increases in Raw Manufacturing and Chemical Manufacturing lead to increases in the ECI level. We also notice that increases in Animals &amp; By-products and Vegetables, Fruits and Plants actually decrease the ECI score, implying that these are not worthwhile industries for Kenya to expand further into. </w:t>
      </w:r>
    </w:p>
    <w:p w:rsidR="00000000" w:rsidDel="00000000" w:rsidP="00000000" w:rsidRDefault="00000000" w:rsidRPr="00000000" w14:paraId="00000337">
      <w:pPr>
        <w:jc w:val="both"/>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Next, we consider Kenya’s 2018 Negative Shock chart. We see that Kenya is highly sensitive to changes in export levels in Energy, Drilling &amp; Mining, Weapons, and Chemical Manufacturing. That being said, decreases in the export of Weapons, and Chemical Manufacturing lead to large drops in ECI, whereas decreases in export of Energy, Drilling &amp; Mining drastically increases ECI. </w:t>
      </w:r>
    </w:p>
    <w:p w:rsidR="00000000" w:rsidDel="00000000" w:rsidP="00000000" w:rsidRDefault="00000000" w:rsidRPr="00000000" w14:paraId="00000339">
      <w:pPr>
        <w:pageBreakBefore w:val="0"/>
        <w:rPr/>
      </w:pPr>
      <w:r w:rsidDel="00000000" w:rsidR="00000000" w:rsidRPr="00000000">
        <w:rPr>
          <w:rtl w:val="0"/>
        </w:rPr>
      </w:r>
    </w:p>
    <w:p w:rsidR="00000000" w:rsidDel="00000000" w:rsidP="00000000" w:rsidRDefault="00000000" w:rsidRPr="00000000" w14:paraId="0000033A">
      <w:pPr>
        <w:jc w:val="both"/>
        <w:rPr>
          <w:b w:val="1"/>
          <w:bCs w:val="1"/>
        </w:rPr>
      </w:pPr>
      <w:r w:rsidDel="00000000" w:rsidR="00000000" w:rsidRPr="00000000">
        <w:rPr>
          <w:b w:val="1"/>
          <w:bCs w:val="1"/>
        </w:rPr>
        <w:drawing>
          <wp:inline distB="114300" distT="114300" distL="114300" distR="114300">
            <wp:extent cx="5731200" cy="2997200"/>
            <wp:effectExtent b="0" l="0" r="0" t="0"/>
            <wp:docPr id="26" name="image22.jpg"/>
            <a:graphic>
              <a:graphicData uri="http://schemas.openxmlformats.org/drawingml/2006/picture">
                <pic:pic>
                  <pic:nvPicPr>
                    <pic:cNvPr id="0" name="image22.jpg"/>
                    <pic:cNvPicPr preferRelativeResize="0"/>
                  </pic:nvPicPr>
                  <pic:blipFill>
                    <a:blip r:embed="rId2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Kenya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33C">
      <w:pPr>
        <w:pageBreakBefore w:val="0"/>
        <w:jc w:val="both"/>
        <w:rPr>
          <w:b w:val="1"/>
          <w:bCs w:val="1"/>
        </w:rPr>
      </w:pPr>
      <w:r w:rsidDel="00000000" w:rsidR="00000000" w:rsidRPr="00000000">
        <w:rPr>
          <w:rtl w:val="0"/>
        </w:rPr>
      </w:r>
    </w:p>
    <w:p w:rsidR="00000000" w:rsidDel="00000000" w:rsidP="00000000" w:rsidRDefault="00000000" w:rsidRPr="00000000" w14:paraId="0000033D">
      <w:pPr>
        <w:jc w:val="both"/>
        <w:rPr>
          <w:b w:val="1"/>
          <w:bCs w:val="1"/>
        </w:rPr>
      </w:pPr>
      <w:r w:rsidDel="00000000" w:rsidR="00000000" w:rsidRPr="00000000">
        <w:rPr>
          <w:b w:val="1"/>
          <w:bCs w:val="1"/>
        </w:rPr>
        <w:drawing>
          <wp:inline distB="114300" distT="114300" distL="114300" distR="114300">
            <wp:extent cx="5731200" cy="2946400"/>
            <wp:effectExtent b="0" l="0" r="0" t="0"/>
            <wp:docPr id="12" name="image11.jpg"/>
            <a:graphic>
              <a:graphicData uri="http://schemas.openxmlformats.org/drawingml/2006/picture">
                <pic:pic>
                  <pic:nvPicPr>
                    <pic:cNvPr id="0" name="image11.jpg"/>
                    <pic:cNvPicPr preferRelativeResize="0"/>
                  </pic:nvPicPr>
                  <pic:blipFill>
                    <a:blip r:embed="rId30"/>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Kenya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33F">
      <w:pPr>
        <w:pageBreakBefore w:val="0"/>
        <w:jc w:val="cente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Next, we consider the 2013 ECI Sensitivity graphs. Firstly, we notice in the positive shocking case that the 2013 ECI sensitivity landscape is quite different from 2018. Increases in the export of Vegetables, Fruit &amp; Plants, Energy, Drilling &amp; Mining, Precious Stones, and High-complexity Products actually lead to downturns in Kenya’s ECI score. </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In the negative shocking case, we see that it is most beneficial for Kenya to decrease its export of Animals and By-products since this leads to an immediate increase in the ECI score. The industries that Kenya’s ECI score seems to be dependent on include Chemical Manufacturing, Raw Manufacturing, and Metals.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ageBreakBefore w:val="0"/>
        <w:rPr>
          <w:b w:val="1"/>
          <w:bCs w:val="1"/>
        </w:rPr>
      </w:pPr>
      <w:r w:rsidDel="00000000" w:rsidR="00000000" w:rsidRPr="00000000">
        <w:rPr>
          <w:b w:val="1"/>
          <w:bCs w:val="1"/>
        </w:rPr>
        <w:drawing>
          <wp:inline distB="114300" distT="114300" distL="114300" distR="114300">
            <wp:extent cx="5731200" cy="3009900"/>
            <wp:effectExtent b="0" l="0" r="0" t="0"/>
            <wp:docPr id="17" name="image15.jpg"/>
            <a:graphic>
              <a:graphicData uri="http://schemas.openxmlformats.org/drawingml/2006/picture">
                <pic:pic>
                  <pic:nvPicPr>
                    <pic:cNvPr id="0" name="image15.jpg"/>
                    <pic:cNvPicPr preferRelativeResize="0"/>
                  </pic:nvPicPr>
                  <pic:blipFill>
                    <a:blip r:embed="rId3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Kenya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346">
      <w:pPr>
        <w:pageBreakBefore w:val="0"/>
        <w:jc w:val="center"/>
        <w:rPr/>
      </w:pPr>
      <w:r w:rsidDel="00000000" w:rsidR="00000000" w:rsidRPr="00000000">
        <w:rPr>
          <w:rtl w:val="0"/>
        </w:rPr>
      </w:r>
    </w:p>
    <w:p w:rsidR="00000000" w:rsidDel="00000000" w:rsidP="00000000" w:rsidRDefault="00000000" w:rsidRPr="00000000" w14:paraId="00000347">
      <w:pPr>
        <w:jc w:val="both"/>
        <w:rPr>
          <w:b w:val="1"/>
          <w:bCs w:val="1"/>
        </w:rPr>
      </w:pPr>
      <w:r w:rsidDel="00000000" w:rsidR="00000000" w:rsidRPr="00000000">
        <w:rPr>
          <w:b w:val="1"/>
          <w:bCs w:val="1"/>
        </w:rPr>
        <w:drawing>
          <wp:inline distB="114300" distT="114300" distL="114300" distR="114300">
            <wp:extent cx="5731200" cy="2959100"/>
            <wp:effectExtent b="0" l="0" r="0" t="0"/>
            <wp:docPr id="23" name="image17.jpg"/>
            <a:graphic>
              <a:graphicData uri="http://schemas.openxmlformats.org/drawingml/2006/picture">
                <pic:pic>
                  <pic:nvPicPr>
                    <pic:cNvPr id="0" name="image17.jpg"/>
                    <pic:cNvPicPr preferRelativeResize="0"/>
                  </pic:nvPicPr>
                  <pic:blipFill>
                    <a:blip r:embed="rId32"/>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Kenya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349">
      <w:pPr>
        <w:pageBreakBefore w:val="0"/>
        <w:jc w:val="both"/>
        <w:rPr/>
      </w:pPr>
      <w:r w:rsidDel="00000000" w:rsidR="00000000" w:rsidRPr="00000000">
        <w:rPr>
          <w:rtl w:val="0"/>
        </w:rPr>
      </w:r>
    </w:p>
    <w:p w:rsidR="00000000" w:rsidDel="00000000" w:rsidP="00000000" w:rsidRDefault="00000000" w:rsidRPr="00000000" w14:paraId="0000034A">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34B">
      <w:pPr>
        <w:pageBreakBefore w:val="0"/>
        <w:jc w:val="both"/>
        <w:rPr/>
      </w:pPr>
      <w:r w:rsidDel="00000000" w:rsidR="00000000" w:rsidRPr="00000000">
        <w:rPr>
          <w:rtl w:val="0"/>
        </w:rPr>
        <w:t xml:space="preserve">Decreasing export of each industry in </w:t>
      </w:r>
      <w:r w:rsidDel="00000000" w:rsidR="00000000" w:rsidRPr="00000000">
        <w:rPr>
          <w:rtl w:val="0"/>
        </w:rPr>
        <w:t xml:space="preserve">Kenya</w:t>
      </w:r>
      <w:r w:rsidDel="00000000" w:rsidR="00000000" w:rsidRPr="00000000">
        <w:rPr>
          <w:rtl w:val="0"/>
        </w:rPr>
        <w:t xml:space="preserve">’s current production space by 60% respectively, we derive the contingency strategy shown below. Though such strategic choices might have been effective in helping Kenya navigate the economic challenges brought about by the 2020 COVID-19 pandemic, our examination of structural optimality in the subsequent section reveals that Kenya's industrial development strategy during the 2019-2022 period did not follow such a trajectory. This might be a contributing factor to Kenya's comparatively lower ECI by the end of this timeframe.</w:t>
      </w:r>
    </w:p>
    <w:p w:rsidR="00000000" w:rsidDel="00000000" w:rsidP="00000000" w:rsidRDefault="00000000" w:rsidRPr="00000000" w14:paraId="0000034C">
      <w:pPr>
        <w:pageBreakBefore w:val="0"/>
        <w:jc w:val="center"/>
        <w:rPr>
          <w:sz w:val="22"/>
          <w:szCs w:val="22"/>
        </w:rPr>
      </w:pPr>
      <w:r w:rsidDel="00000000" w:rsidR="00000000" w:rsidRPr="00000000">
        <w:rPr>
          <w:rtl w:val="0"/>
        </w:rPr>
      </w:r>
    </w:p>
    <w:p w:rsidR="00000000" w:rsidDel="00000000" w:rsidP="00000000" w:rsidRDefault="00000000" w:rsidRPr="00000000" w14:paraId="0000034D">
      <w:pPr>
        <w:jc w:val="center"/>
        <w:rPr>
          <w:sz w:val="22"/>
          <w:szCs w:val="22"/>
        </w:rPr>
      </w:pPr>
      <w:r w:rsidDel="00000000" w:rsidR="00000000" w:rsidRPr="00000000">
        <w:rPr>
          <w:b w:val="1"/>
          <w:bCs w:val="1"/>
          <w:sz w:val="28"/>
          <w:szCs w:val="28"/>
        </w:rPr>
        <w:drawing>
          <wp:inline distB="114300" distT="114300" distL="114300" distR="114300">
            <wp:extent cx="5665096" cy="3019365"/>
            <wp:effectExtent b="0" l="0" r="0" t="0"/>
            <wp:docPr id="4" name="image2.jpg"/>
            <a:graphic>
              <a:graphicData uri="http://schemas.openxmlformats.org/drawingml/2006/picture">
                <pic:pic>
                  <pic:nvPicPr>
                    <pic:cNvPr id="0" name="image2.jpg"/>
                    <pic:cNvPicPr preferRelativeResize="0"/>
                  </pic:nvPicPr>
                  <pic:blipFill>
                    <a:blip r:embed="rId33"/>
                    <a:srcRect b="0" l="0" r="0" t="0"/>
                    <a:stretch>
                      <a:fillRect/>
                    </a:stretch>
                  </pic:blipFill>
                  <pic:spPr>
                    <a:xfrm>
                      <a:off x="0" y="0"/>
                      <a:ext cx="5665096" cy="3019365"/>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pageBreakBefore w:val="0"/>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Kenya</w:t>
      </w:r>
      <w:r w:rsidDel="00000000" w:rsidR="00000000" w:rsidRPr="00000000">
        <w:rPr>
          <w:sz w:val="22"/>
          <w:szCs w:val="22"/>
          <w:rtl w:val="0"/>
        </w:rPr>
        <w:t xml:space="preserve">’s Contingency Strategy (2018)</w:t>
      </w:r>
    </w:p>
    <w:p w:rsidR="00000000" w:rsidDel="00000000" w:rsidP="00000000" w:rsidRDefault="00000000" w:rsidRPr="00000000" w14:paraId="0000034F">
      <w:pPr>
        <w:jc w:val="left"/>
        <w:rPr/>
      </w:pPr>
      <w:r w:rsidDel="00000000" w:rsidR="00000000" w:rsidRPr="00000000">
        <w:rPr>
          <w:rtl w:val="0"/>
        </w:rPr>
      </w:r>
    </w:p>
    <w:p w:rsidR="00000000" w:rsidDel="00000000" w:rsidP="00000000" w:rsidRDefault="00000000" w:rsidRPr="00000000" w14:paraId="00000350">
      <w:pPr>
        <w:pageBreakBefore w:val="0"/>
        <w:jc w:val="both"/>
        <w:rPr>
          <w:b w:val="1"/>
          <w:bCs w:val="1"/>
        </w:rPr>
      </w:pPr>
      <w:r w:rsidDel="00000000" w:rsidR="00000000" w:rsidRPr="00000000">
        <w:rPr>
          <w:rtl w:val="0"/>
        </w:rPr>
      </w:r>
    </w:p>
    <w:p w:rsidR="00000000" w:rsidDel="00000000" w:rsidP="00000000" w:rsidRDefault="00000000" w:rsidRPr="00000000" w14:paraId="0000035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352">
      <w:pPr>
        <w:pageBreakBefore w:val="0"/>
        <w:jc w:val="both"/>
        <w:rPr>
          <w:b w:val="1"/>
          <w:bCs w:val="1"/>
        </w:rPr>
      </w:pPr>
      <w:r w:rsidDel="00000000" w:rsidR="00000000" w:rsidRPr="00000000">
        <w:rPr>
          <w:rtl w:val="0"/>
        </w:rPr>
      </w:r>
    </w:p>
    <w:p w:rsidR="00000000" w:rsidDel="00000000" w:rsidP="00000000" w:rsidRDefault="00000000" w:rsidRPr="00000000" w14:paraId="00000353">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354">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355">
      <w:pPr>
        <w:pageBreakBefore w:val="0"/>
        <w:jc w:val="both"/>
        <w:rPr/>
      </w:pPr>
      <w:r w:rsidDel="00000000" w:rsidR="00000000" w:rsidRPr="00000000">
        <w:rPr>
          <w:rtl w:val="0"/>
        </w:rPr>
      </w:r>
    </w:p>
    <w:p w:rsidR="00000000" w:rsidDel="00000000" w:rsidP="00000000" w:rsidRDefault="00000000" w:rsidRPr="00000000" w14:paraId="00000356">
      <w:pPr>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R2 of 4.5%. In other words, the more a country develops as suggested by calculations at a complexity level, the better economic outcomes it achieves. </w:t>
      </w:r>
    </w:p>
    <w:p w:rsidR="00000000" w:rsidDel="00000000" w:rsidP="00000000" w:rsidRDefault="00000000" w:rsidRPr="00000000" w14:paraId="00000357">
      <w:pPr>
        <w:pageBreakBefore w:val="0"/>
        <w:jc w:val="both"/>
        <w:rPr/>
      </w:pPr>
      <w:r w:rsidDel="00000000" w:rsidR="00000000" w:rsidRPr="00000000">
        <w:rPr>
          <w:rtl w:val="0"/>
        </w:rPr>
      </w:r>
    </w:p>
    <w:tbl>
      <w:tblPr>
        <w:tblStyle w:val="Table1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358">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5A">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5B">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5C">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5D">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5E">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5F">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360">
      <w:pPr>
        <w:pageBreakBefore w:val="0"/>
        <w:jc w:val="left"/>
        <w:rPr/>
      </w:pPr>
      <w:r w:rsidDel="00000000" w:rsidR="00000000" w:rsidRPr="00000000">
        <w:rPr>
          <w:rtl w:val="0"/>
        </w:rPr>
      </w:r>
    </w:p>
    <w:p w:rsidR="00000000" w:rsidDel="00000000" w:rsidP="00000000" w:rsidRDefault="00000000" w:rsidRPr="00000000" w14:paraId="00000361">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27"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362">
      <w:pPr>
        <w:pageBreakBefore w:val="0"/>
        <w:jc w:val="both"/>
        <w:rPr/>
      </w:pPr>
      <w:r w:rsidDel="00000000" w:rsidR="00000000" w:rsidRPr="00000000">
        <w:rPr>
          <w:rtl w:val="0"/>
        </w:rPr>
      </w:r>
    </w:p>
    <w:p w:rsidR="00000000" w:rsidDel="00000000" w:rsidP="00000000" w:rsidRDefault="00000000" w:rsidRPr="00000000" w14:paraId="00000363">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Kenya</w:t>
      </w:r>
      <w:r w:rsidDel="00000000" w:rsidR="00000000" w:rsidRPr="00000000">
        <w:rPr>
          <w:b w:val="1"/>
          <w:bCs w:val="1"/>
          <w:rtl w:val="0"/>
        </w:rPr>
        <w:t xml:space="preserve"> and Its Implications</w:t>
      </w:r>
    </w:p>
    <w:p w:rsidR="00000000" w:rsidDel="00000000" w:rsidP="00000000" w:rsidRDefault="00000000" w:rsidRPr="00000000" w14:paraId="00000364">
      <w:pPr>
        <w:pageBreakBefore w:val="0"/>
        <w:jc w:val="both"/>
        <w:rPr/>
      </w:pPr>
      <w:r w:rsidDel="00000000" w:rsidR="00000000" w:rsidRPr="00000000">
        <w:rPr>
          <w:rtl w:val="0"/>
        </w:rPr>
        <w:t xml:space="preserve">During the first examined period, </w:t>
      </w:r>
      <w:r w:rsidDel="00000000" w:rsidR="00000000" w:rsidRPr="00000000">
        <w:rPr>
          <w:rtl w:val="0"/>
        </w:rPr>
        <w:t xml:space="preserve">Kenya</w:t>
      </w:r>
      <w:r w:rsidDel="00000000" w:rsidR="00000000" w:rsidRPr="00000000">
        <w:rPr>
          <w:rtl w:val="0"/>
        </w:rPr>
        <w:t xml:space="preserve">, for instance, has a moderate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Kenya</w:t>
      </w:r>
      <w:r w:rsidDel="00000000" w:rsidR="00000000" w:rsidRPr="00000000">
        <w:rPr>
          <w:rtl w:val="0"/>
        </w:rPr>
        <w:t xml:space="preserve"> demonstrates a moderate level of correlation with the suggested developmental path, having an adjusted R-square of around 0.1606. </w:t>
      </w:r>
    </w:p>
    <w:p w:rsidR="00000000" w:rsidDel="00000000" w:rsidP="00000000" w:rsidRDefault="00000000" w:rsidRPr="00000000" w14:paraId="00000365">
      <w:pPr>
        <w:pageBreakBefore w:val="0"/>
        <w:jc w:val="both"/>
        <w:rPr/>
      </w:pPr>
      <w:r w:rsidDel="00000000" w:rsidR="00000000" w:rsidRPr="00000000">
        <w:rPr>
          <w:rtl w:val="0"/>
        </w:rPr>
      </w:r>
    </w:p>
    <w:p w:rsidR="00000000" w:rsidDel="00000000" w:rsidP="00000000" w:rsidRDefault="00000000" w:rsidRPr="00000000" w14:paraId="00000366">
      <w:pPr>
        <w:jc w:val="both"/>
        <w:rPr/>
      </w:pPr>
      <w:r w:rsidDel="00000000" w:rsidR="00000000" w:rsidRPr="00000000">
        <w:rPr>
          <w:rtl w:val="0"/>
        </w:rPr>
        <w:t xml:space="preserve">Kenya ranks in the top quartile among all countries in terms of SOI and has made a high rate of economic progress among its emerging peers from 2013 to 2018 with a 5-year GDP growth rate of 42.4%, which is consistent with the regression result in Figure 6. This is in direct contrast to developed economies such as Japan, where there is a moderate SOI of around -4.8% and a corresponding 5-year growth rate of 9.0%, ranking it as a slow-developing economy during the period. In sum, Kenya’s high rate of economic progress from 2013 to 2018 can be at least partially explained by a development strategy that demonstrates a strong level of alignment with our suggested developmental path. Specifically, Kenya invested heavily in the Energy &amp; Drilling industry, as recommended.</w:t>
      </w:r>
    </w:p>
    <w:p w:rsidR="00000000" w:rsidDel="00000000" w:rsidP="00000000" w:rsidRDefault="00000000" w:rsidRPr="00000000" w14:paraId="00000367">
      <w:pPr>
        <w:jc w:val="both"/>
        <w:rPr/>
      </w:pPr>
      <w:r w:rsidDel="00000000" w:rsidR="00000000" w:rsidRPr="00000000">
        <w:rPr>
          <w:rtl w:val="0"/>
        </w:rPr>
      </w:r>
    </w:p>
    <w:p w:rsidR="00000000" w:rsidDel="00000000" w:rsidP="00000000" w:rsidRDefault="00000000" w:rsidRPr="00000000" w14:paraId="00000368">
      <w:pPr>
        <w:pageBreakBefore w:val="0"/>
        <w:jc w:val="both"/>
        <w:rPr/>
      </w:pPr>
      <w:r w:rsidDel="00000000" w:rsidR="00000000" w:rsidRPr="00000000">
        <w:rPr>
          <w:rtl w:val="0"/>
        </w:rPr>
      </w:r>
    </w:p>
    <w:p w:rsidR="00000000" w:rsidDel="00000000" w:rsidP="00000000" w:rsidRDefault="00000000" w:rsidRPr="00000000" w14:paraId="00000369">
      <w:pPr>
        <w:pageBreakBefore w:val="0"/>
        <w:jc w:val="both"/>
        <w:rPr/>
      </w:pPr>
      <w:r w:rsidDel="00000000" w:rsidR="00000000" w:rsidRPr="00000000">
        <w:rPr>
          <w:rtl w:val="0"/>
        </w:rPr>
      </w:r>
    </w:p>
    <w:p w:rsidR="00000000" w:rsidDel="00000000" w:rsidP="00000000" w:rsidRDefault="00000000" w:rsidRPr="00000000" w14:paraId="0000036A">
      <w:pPr>
        <w:jc w:val="both"/>
        <w:rPr/>
      </w:pPr>
      <w:r w:rsidDel="00000000" w:rsidR="00000000" w:rsidRPr="00000000">
        <w:rPr/>
        <w:drawing>
          <wp:inline distB="114300" distT="114300" distL="114300" distR="114300">
            <wp:extent cx="5731200" cy="2400300"/>
            <wp:effectExtent b="0" l="0" r="0" t="0"/>
            <wp:docPr id="9" name="image31.png"/>
            <a:graphic>
              <a:graphicData uri="http://schemas.openxmlformats.org/drawingml/2006/picture">
                <pic:pic>
                  <pic:nvPicPr>
                    <pic:cNvPr id="0" name="image31.png"/>
                    <pic:cNvPicPr preferRelativeResize="0"/>
                  </pic:nvPicPr>
                  <pic:blipFill>
                    <a:blip r:embed="rId35"/>
                    <a:srcRect b="-4979" l="-3526" r="0" t="-7054"/>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Kenya</w:t>
      </w:r>
      <w:r w:rsidDel="00000000" w:rsidR="00000000" w:rsidRPr="00000000">
        <w:rPr>
          <w:sz w:val="22"/>
          <w:szCs w:val="22"/>
          <w:rtl w:val="0"/>
        </w:rPr>
        <w:t xml:space="preserve"> (2013-2018)</w:t>
      </w:r>
    </w:p>
    <w:p w:rsidR="00000000" w:rsidDel="00000000" w:rsidP="00000000" w:rsidRDefault="00000000" w:rsidRPr="00000000" w14:paraId="0000036C">
      <w:pPr>
        <w:jc w:val="center"/>
        <w:rPr>
          <w:sz w:val="22"/>
          <w:szCs w:val="22"/>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For the 2019-2022 years, </w:t>
      </w:r>
      <w:r w:rsidDel="00000000" w:rsidR="00000000" w:rsidRPr="00000000">
        <w:rPr>
          <w:rtl w:val="0"/>
        </w:rPr>
        <w:t xml:space="preserve">Kenya</w:t>
      </w:r>
      <w:r w:rsidDel="00000000" w:rsidR="00000000" w:rsidRPr="00000000">
        <w:rPr>
          <w:rtl w:val="0"/>
        </w:rPr>
        <w:t xml:space="preserve"> has a strong presence in the Chemical Manufacturing industry, b</w:t>
      </w:r>
      <w:r w:rsidDel="00000000" w:rsidR="00000000" w:rsidRPr="00000000">
        <w:rPr>
          <w:rtl w:val="0"/>
        </w:rPr>
        <w:t xml:space="preserve">ut they seem to be overdeveloped when considering their lower opportunity gain relative to RID</w:t>
      </w:r>
      <w:r w:rsidDel="00000000" w:rsidR="00000000" w:rsidRPr="00000000">
        <w:rPr>
          <w:rtl w:val="0"/>
        </w:rPr>
        <w:t xml:space="preserve">. It also could consider Precious Stones, and Energy Drilling and Mining to improve its growth. </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Lower than before, its adjusted R-squared value of 0.012 now indicates a low correlation between the GDP growth and the implemented development path. Progress is slow on a global scale during this period, but </w:t>
      </w:r>
      <w:r w:rsidDel="00000000" w:rsidR="00000000" w:rsidRPr="00000000">
        <w:rPr>
          <w:rtl w:val="0"/>
        </w:rPr>
        <w:t xml:space="preserve">Kenya</w:t>
      </w:r>
      <w:r w:rsidDel="00000000" w:rsidR="00000000" w:rsidRPr="00000000">
        <w:rPr>
          <w:rtl w:val="0"/>
        </w:rPr>
        <w:t xml:space="preserve"> demonstrates a greater ability to adjust to negative economic shocks by improving SOI and increasing GDP growth than it did between 2013 and 2018.</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jc w:val="center"/>
        <w:rPr/>
      </w:pPr>
      <w:r w:rsidDel="00000000" w:rsidR="00000000" w:rsidRPr="00000000">
        <w:rPr/>
        <w:drawing>
          <wp:inline distB="114300" distT="114300" distL="114300" distR="114300">
            <wp:extent cx="6040967" cy="2418394"/>
            <wp:effectExtent b="0" l="0" r="0" t="0"/>
            <wp:docPr id="5"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6040967" cy="2418394"/>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Kenya</w:t>
      </w:r>
      <w:r w:rsidDel="00000000" w:rsidR="00000000" w:rsidRPr="00000000">
        <w:rPr>
          <w:sz w:val="22"/>
          <w:szCs w:val="22"/>
          <w:rtl w:val="0"/>
        </w:rPr>
        <w:t xml:space="preserve"> (2019-2022)</w:t>
      </w:r>
    </w:p>
    <w:p w:rsidR="00000000" w:rsidDel="00000000" w:rsidP="00000000" w:rsidRDefault="00000000" w:rsidRPr="00000000" w14:paraId="00000373">
      <w:pPr>
        <w:pageBreakBefore w:val="0"/>
        <w:jc w:val="both"/>
        <w:rPr>
          <w:b w:val="1"/>
          <w:bCs w:val="1"/>
        </w:rPr>
      </w:pPr>
      <w:r w:rsidDel="00000000" w:rsidR="00000000" w:rsidRPr="00000000">
        <w:rPr>
          <w:rtl w:val="0"/>
        </w:rPr>
      </w:r>
    </w:p>
    <w:p w:rsidR="00000000" w:rsidDel="00000000" w:rsidP="00000000" w:rsidRDefault="00000000" w:rsidRPr="00000000" w14:paraId="00000374">
      <w:pPr>
        <w:pageBreakBefore w:val="0"/>
        <w:jc w:val="both"/>
        <w:rPr>
          <w:b w:val="1"/>
          <w:bCs w:val="1"/>
        </w:rPr>
      </w:pPr>
      <w:r w:rsidDel="00000000" w:rsidR="00000000" w:rsidRPr="00000000">
        <w:rPr>
          <w:rtl w:val="0"/>
        </w:rPr>
      </w:r>
    </w:p>
    <w:p w:rsidR="00000000" w:rsidDel="00000000" w:rsidP="00000000" w:rsidRDefault="00000000" w:rsidRPr="00000000" w14:paraId="00000375">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7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377">
      <w:pPr>
        <w:pageBreakBefore w:val="0"/>
        <w:jc w:val="both"/>
        <w:rPr/>
      </w:pPr>
      <w:r w:rsidDel="00000000" w:rsidR="00000000" w:rsidRPr="00000000">
        <w:rPr>
          <w:rtl w:val="0"/>
        </w:rPr>
      </w:r>
    </w:p>
    <w:p w:rsidR="00000000" w:rsidDel="00000000" w:rsidP="00000000" w:rsidRDefault="00000000" w:rsidRPr="00000000" w14:paraId="00000378">
      <w:pPr>
        <w:pageBreakBefore w:val="0"/>
        <w:jc w:val="both"/>
        <w:rPr/>
      </w:pPr>
      <w:r w:rsidDel="00000000" w:rsidR="00000000" w:rsidRPr="00000000">
        <w:rPr>
          <w:rtl w:val="0"/>
        </w:rPr>
        <w:t xml:space="preserve">In conclusion, </w:t>
      </w:r>
      <w:r w:rsidDel="00000000" w:rsidR="00000000" w:rsidRPr="00000000">
        <w:rPr>
          <w:rtl w:val="0"/>
        </w:rPr>
        <w:t xml:space="preserve">Kenya</w:t>
      </w:r>
      <w:r w:rsidDel="00000000" w:rsidR="00000000" w:rsidRPr="00000000">
        <w:rPr>
          <w:rtl w:val="0"/>
        </w:rPr>
        <w:t xml:space="preserve"> has demonstrated a moderate level of economic growth in terms of annual GDP increase during the period from 2013 to 2018, concurrent with an increase in economic complexity as compared with major developed economies. For 2019-2022, the growth in GDP has decreased alongside a large boost in ECI, </w:t>
      </w:r>
      <w:r w:rsidDel="00000000" w:rsidR="00000000" w:rsidRPr="00000000">
        <w:rPr>
          <w:rtl w:val="0"/>
        </w:rPr>
        <w:t xml:space="preserve">in line with its comparable countries and higher than many developing economies in the world</w:t>
      </w:r>
      <w:r w:rsidDel="00000000" w:rsidR="00000000" w:rsidRPr="00000000">
        <w:rPr>
          <w:rtl w:val="0"/>
        </w:rPr>
        <w:t xml:space="preserve">.</w:t>
      </w:r>
    </w:p>
    <w:p w:rsidR="00000000" w:rsidDel="00000000" w:rsidP="00000000" w:rsidRDefault="00000000" w:rsidRPr="00000000" w14:paraId="00000379">
      <w:pPr>
        <w:pageBreakBefore w:val="0"/>
        <w:jc w:val="both"/>
        <w:rPr/>
      </w:pPr>
      <w:r w:rsidDel="00000000" w:rsidR="00000000" w:rsidRPr="00000000">
        <w:rPr>
          <w:rtl w:val="0"/>
        </w:rPr>
      </w:r>
    </w:p>
    <w:p w:rsidR="00000000" w:rsidDel="00000000" w:rsidP="00000000" w:rsidRDefault="00000000" w:rsidRPr="00000000" w14:paraId="0000037A">
      <w:pPr>
        <w:pageBreakBefore w:val="0"/>
        <w:jc w:val="both"/>
        <w:rPr/>
      </w:pPr>
      <w:r w:rsidDel="00000000" w:rsidR="00000000" w:rsidRPr="00000000">
        <w:rPr>
          <w:rtl w:val="0"/>
        </w:rPr>
        <w:t xml:space="preserve">We believe that the mixed progress during the first period can be partially explained through the analysis of the economic and product complexity structure of </w:t>
      </w:r>
      <w:r w:rsidDel="00000000" w:rsidR="00000000" w:rsidRPr="00000000">
        <w:rPr>
          <w:rtl w:val="0"/>
        </w:rPr>
        <w:t xml:space="preserve">Kenya</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Kenya</w:t>
      </w:r>
      <w:r w:rsidDel="00000000" w:rsidR="00000000" w:rsidRPr="00000000">
        <w:rPr>
          <w:rtl w:val="0"/>
        </w:rPr>
        <w:t xml:space="preserve"> regressed in developing some of </w:t>
      </w:r>
      <w:r w:rsidDel="00000000" w:rsidR="00000000" w:rsidRPr="00000000">
        <w:rPr>
          <w:rtl w:val="0"/>
        </w:rPr>
        <w:t xml:space="preserve">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37B">
      <w:pPr>
        <w:pageBreakBefore w:val="0"/>
        <w:jc w:val="both"/>
        <w:rPr/>
      </w:pPr>
      <w:r w:rsidDel="00000000" w:rsidR="00000000" w:rsidRPr="00000000">
        <w:rPr>
          <w:rtl w:val="0"/>
        </w:rPr>
      </w:r>
    </w:p>
    <w:p w:rsidR="00000000" w:rsidDel="00000000" w:rsidP="00000000" w:rsidRDefault="00000000" w:rsidRPr="00000000" w14:paraId="0000037C">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Kenya</w:t>
      </w:r>
      <w:r w:rsidDel="00000000" w:rsidR="00000000" w:rsidRPr="00000000">
        <w:rPr>
          <w:rtl w:val="0"/>
        </w:rPr>
        <w:t xml:space="preserve"> can further its gains by prioritizing Raw Manufacturing and Chemicals. We further note that </w:t>
      </w:r>
      <w:r w:rsidDel="00000000" w:rsidR="00000000" w:rsidRPr="00000000">
        <w:rPr>
          <w:rtl w:val="0"/>
        </w:rPr>
        <w:t xml:space="preserve">Kenya</w:t>
      </w:r>
      <w:r w:rsidDel="00000000" w:rsidR="00000000" w:rsidRPr="00000000">
        <w:rPr>
          <w:rtl w:val="0"/>
        </w:rPr>
        <w:t xml:space="preserve"> has a balanced development strategy that indicates a moderate level (compared to other </w:t>
      </w:r>
      <w:r w:rsidDel="00000000" w:rsidR="00000000" w:rsidRPr="00000000">
        <w:rPr>
          <w:rtl w:val="0"/>
        </w:rPr>
        <w:t xml:space="preserve">develop</w:t>
      </w:r>
      <w:r w:rsidDel="00000000" w:rsidR="00000000" w:rsidRPr="00000000">
        <w:rPr>
          <w:rtl w:val="0"/>
        </w:rPr>
        <w:t xml:space="preserve">ing countries) of structural optimality on the complexity level, having an adjusted R-square of around 0.1606. Since a moderate exists between five-year GDP growth and the structural optimality index of an economy as we define and calculate, </w:t>
      </w:r>
      <w:r w:rsidDel="00000000" w:rsidR="00000000" w:rsidRPr="00000000">
        <w:rPr>
          <w:rtl w:val="0"/>
        </w:rPr>
        <w:t xml:space="preserve">Kenya</w:t>
      </w:r>
      <w:r w:rsidDel="00000000" w:rsidR="00000000" w:rsidRPr="00000000">
        <w:rPr>
          <w:rtl w:val="0"/>
        </w:rPr>
        <w:t xml:space="preserve">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37D">
      <w:pPr>
        <w:pageBreakBefore w:val="0"/>
        <w:jc w:val="both"/>
        <w:rPr/>
      </w:pPr>
      <w:r w:rsidDel="00000000" w:rsidR="00000000" w:rsidRPr="00000000">
        <w:rPr>
          <w:rtl w:val="0"/>
        </w:rPr>
      </w:r>
    </w:p>
    <w:p w:rsidR="00000000" w:rsidDel="00000000" w:rsidP="00000000" w:rsidRDefault="00000000" w:rsidRPr="00000000" w14:paraId="0000037E">
      <w:pPr>
        <w:jc w:val="both"/>
        <w:rPr/>
      </w:pPr>
      <w:r w:rsidDel="00000000" w:rsidR="00000000" w:rsidRPr="00000000">
        <w:rPr>
          <w:rtl w:val="0"/>
        </w:rPr>
        <w:t xml:space="preserve">During the second examined period from 2019 to 2022, </w:t>
      </w:r>
      <w:r w:rsidDel="00000000" w:rsidR="00000000" w:rsidRPr="00000000">
        <w:rPr>
          <w:rtl w:val="0"/>
        </w:rPr>
        <w:t xml:space="preserve">Kenya</w:t>
      </w:r>
      <w:r w:rsidDel="00000000" w:rsidR="00000000" w:rsidRPr="00000000">
        <w:rPr>
          <w:rtl w:val="0"/>
        </w:rPr>
        <w:t xml:space="preserve"> performed much stronger than before and compared to other countries, particularly Nigeria. We infer that during the  COVID-19 period, Kenya focused on developing </w:t>
      </w:r>
      <w:r w:rsidDel="00000000" w:rsidR="00000000" w:rsidRPr="00000000">
        <w:rPr>
          <w:rtl w:val="0"/>
        </w:rPr>
        <w:t xml:space="preserve">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Kenya</w:t>
      </w:r>
      <w:r w:rsidDel="00000000" w:rsidR="00000000" w:rsidRPr="00000000">
        <w:rPr>
          <w:rtl w:val="0"/>
        </w:rPr>
        <w:t xml:space="preserve"> has increased its investment in the sectors identified earlier, leading to a strong boost from the Energy Drilling and Mining industry, leaving some room for strategic improvement. It did invest in the industries which contributed the most to its advancements, such as Services and Utilities. The ECI suggests that greater growth could have been achieved through High-complexity Products, followed by Wood Products. The surprising growth also decreased the adjusted R-squared value to 0.012 in 2022 from 0.161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Kenya</w:t>
      </w:r>
      <w:r w:rsidDel="00000000" w:rsidR="00000000" w:rsidRPr="00000000">
        <w:rPr>
          <w:rtl w:val="0"/>
        </w:rPr>
        <w:t xml:space="preserve"> has further potential to advance its economic growth to maintain its position among other countries to continue its ongoing economic expansion.</w:t>
      </w:r>
    </w:p>
    <w:p w:rsidR="00000000" w:rsidDel="00000000" w:rsidP="00000000" w:rsidRDefault="00000000" w:rsidRPr="00000000" w14:paraId="0000037F">
      <w:pPr>
        <w:pageBreakBefore w:val="0"/>
        <w:jc w:val="both"/>
        <w:rPr/>
      </w:pPr>
      <w:r w:rsidDel="00000000" w:rsidR="00000000" w:rsidRPr="00000000">
        <w:rPr>
          <w:rtl w:val="0"/>
        </w:rPr>
      </w:r>
    </w:p>
    <w:p w:rsidR="00000000" w:rsidDel="00000000" w:rsidP="00000000" w:rsidRDefault="00000000" w:rsidRPr="00000000" w14:paraId="00000380">
      <w:pPr>
        <w:pageBreakBefore w:val="0"/>
        <w:jc w:val="both"/>
        <w:rPr/>
      </w:pPr>
      <w:r w:rsidDel="00000000" w:rsidR="00000000" w:rsidRPr="00000000">
        <w:rPr>
          <w:rtl w:val="0"/>
        </w:rPr>
      </w:r>
    </w:p>
    <w:p w:rsidR="00000000" w:rsidDel="00000000" w:rsidP="00000000" w:rsidRDefault="00000000" w:rsidRPr="00000000" w14:paraId="00000381">
      <w:pPr>
        <w:pageBreakBefore w:val="0"/>
        <w:jc w:val="both"/>
        <w:rPr/>
      </w:pPr>
      <w:r w:rsidDel="00000000" w:rsidR="00000000" w:rsidRPr="00000000">
        <w:rPr>
          <w:rtl w:val="0"/>
        </w:rPr>
      </w:r>
    </w:p>
    <w:p w:rsidR="00000000" w:rsidDel="00000000" w:rsidP="00000000" w:rsidRDefault="00000000" w:rsidRPr="00000000" w14:paraId="00000382">
      <w:pPr>
        <w:pageBreakBefore w:val="0"/>
        <w:jc w:val="both"/>
        <w:rPr/>
      </w:pPr>
      <w:r w:rsidDel="00000000" w:rsidR="00000000" w:rsidRPr="00000000">
        <w:rPr>
          <w:rtl w:val="0"/>
        </w:rPr>
      </w:r>
    </w:p>
    <w:p w:rsidR="00000000" w:rsidDel="00000000" w:rsidP="00000000" w:rsidRDefault="00000000" w:rsidRPr="00000000" w14:paraId="00000383">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8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38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8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387">
      <w:pPr>
        <w:pageBreakBefore w:val="0"/>
        <w:jc w:val="both"/>
        <w:rPr>
          <w:color w:val="000000"/>
          <w:highlight w:val="white"/>
        </w:rPr>
      </w:pPr>
      <w:r w:rsidDel="00000000" w:rsidR="00000000" w:rsidRPr="00000000">
        <w:rPr>
          <w:rtl w:val="0"/>
        </w:rPr>
      </w:r>
    </w:p>
    <w:p w:rsidR="00000000" w:rsidDel="00000000" w:rsidP="00000000" w:rsidRDefault="00000000" w:rsidRPr="00000000" w14:paraId="0000038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389">
      <w:pPr>
        <w:pageBreakBefore w:val="0"/>
        <w:jc w:val="both"/>
        <w:rPr>
          <w:color w:val="000000"/>
          <w:highlight w:val="white"/>
        </w:rPr>
      </w:pPr>
      <w:r w:rsidDel="00000000" w:rsidR="00000000" w:rsidRPr="00000000">
        <w:rPr>
          <w:rtl w:val="0"/>
        </w:rPr>
      </w:r>
    </w:p>
    <w:p w:rsidR="00000000" w:rsidDel="00000000" w:rsidP="00000000" w:rsidRDefault="00000000" w:rsidRPr="00000000" w14:paraId="0000038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38B">
      <w:pPr>
        <w:pageBreakBefore w:val="0"/>
        <w:jc w:val="both"/>
        <w:rPr>
          <w:color w:val="000000"/>
          <w:highlight w:val="white"/>
        </w:rPr>
      </w:pPr>
      <w:r w:rsidDel="00000000" w:rsidR="00000000" w:rsidRPr="00000000">
        <w:rPr>
          <w:rtl w:val="0"/>
        </w:rPr>
      </w:r>
    </w:p>
    <w:p w:rsidR="00000000" w:rsidDel="00000000" w:rsidP="00000000" w:rsidRDefault="00000000" w:rsidRPr="00000000" w14:paraId="0000038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38D">
      <w:pPr>
        <w:pageBreakBefore w:val="0"/>
        <w:jc w:val="both"/>
        <w:rPr>
          <w:color w:val="000000"/>
          <w:highlight w:val="white"/>
        </w:rPr>
      </w:pPr>
      <w:r w:rsidDel="00000000" w:rsidR="00000000" w:rsidRPr="00000000">
        <w:rPr>
          <w:rtl w:val="0"/>
        </w:rPr>
      </w:r>
    </w:p>
    <w:p w:rsidR="00000000" w:rsidDel="00000000" w:rsidP="00000000" w:rsidRDefault="00000000" w:rsidRPr="00000000" w14:paraId="0000038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38F">
      <w:pPr>
        <w:pageBreakBefore w:val="0"/>
        <w:jc w:val="both"/>
        <w:rPr>
          <w:color w:val="000000"/>
          <w:highlight w:val="white"/>
        </w:rPr>
      </w:pPr>
      <w:r w:rsidDel="00000000" w:rsidR="00000000" w:rsidRPr="00000000">
        <w:rPr>
          <w:rtl w:val="0"/>
        </w:rPr>
      </w:r>
    </w:p>
    <w:p w:rsidR="00000000" w:rsidDel="00000000" w:rsidP="00000000" w:rsidRDefault="00000000" w:rsidRPr="00000000" w14:paraId="0000039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391">
      <w:pPr>
        <w:pageBreakBefore w:val="0"/>
        <w:jc w:val="both"/>
        <w:rPr>
          <w:color w:val="000000"/>
          <w:highlight w:val="white"/>
        </w:rPr>
      </w:pPr>
      <w:r w:rsidDel="00000000" w:rsidR="00000000" w:rsidRPr="00000000">
        <w:rPr>
          <w:rtl w:val="0"/>
        </w:rPr>
      </w:r>
    </w:p>
    <w:p w:rsidR="00000000" w:rsidDel="00000000" w:rsidP="00000000" w:rsidRDefault="00000000" w:rsidRPr="00000000" w14:paraId="0000039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393">
      <w:pPr>
        <w:pageBreakBefore w:val="0"/>
        <w:jc w:val="both"/>
        <w:rPr>
          <w:color w:val="000000"/>
          <w:highlight w:val="white"/>
        </w:rPr>
      </w:pPr>
      <w:r w:rsidDel="00000000" w:rsidR="00000000" w:rsidRPr="00000000">
        <w:rPr>
          <w:rtl w:val="0"/>
        </w:rPr>
      </w:r>
    </w:p>
    <w:p w:rsidR="00000000" w:rsidDel="00000000" w:rsidP="00000000" w:rsidRDefault="00000000" w:rsidRPr="00000000" w14:paraId="0000039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395">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9.png"/><Relationship Id="rId22" Type="http://schemas.openxmlformats.org/officeDocument/2006/relationships/image" Target="media/image27.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7.jpg"/><Relationship Id="rId25" Type="http://schemas.openxmlformats.org/officeDocument/2006/relationships/image" Target="media/image5.jpg"/><Relationship Id="rId28" Type="http://schemas.openxmlformats.org/officeDocument/2006/relationships/image" Target="media/image28.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22.jpg"/><Relationship Id="rId7" Type="http://schemas.openxmlformats.org/officeDocument/2006/relationships/image" Target="media/image24.png"/><Relationship Id="rId8" Type="http://schemas.openxmlformats.org/officeDocument/2006/relationships/image" Target="media/image1.png"/><Relationship Id="rId31" Type="http://schemas.openxmlformats.org/officeDocument/2006/relationships/image" Target="media/image15.jpg"/><Relationship Id="rId30" Type="http://schemas.openxmlformats.org/officeDocument/2006/relationships/image" Target="media/image11.jpg"/><Relationship Id="rId11" Type="http://schemas.openxmlformats.org/officeDocument/2006/relationships/image" Target="media/image30.png"/><Relationship Id="rId33" Type="http://schemas.openxmlformats.org/officeDocument/2006/relationships/image" Target="media/image2.jpg"/><Relationship Id="rId10" Type="http://schemas.openxmlformats.org/officeDocument/2006/relationships/image" Target="media/image25.png"/><Relationship Id="rId32" Type="http://schemas.openxmlformats.org/officeDocument/2006/relationships/image" Target="media/image17.jpg"/><Relationship Id="rId13" Type="http://schemas.openxmlformats.org/officeDocument/2006/relationships/image" Target="media/image16.png"/><Relationship Id="rId35" Type="http://schemas.openxmlformats.org/officeDocument/2006/relationships/image" Target="media/image31.png"/><Relationship Id="rId12" Type="http://schemas.openxmlformats.org/officeDocument/2006/relationships/image" Target="media/image14.png"/><Relationship Id="rId34" Type="http://schemas.openxmlformats.org/officeDocument/2006/relationships/image" Target="media/image12.png"/><Relationship Id="rId15" Type="http://schemas.openxmlformats.org/officeDocument/2006/relationships/image" Target="media/image4.png"/><Relationship Id="rId37" Type="http://schemas.openxmlformats.org/officeDocument/2006/relationships/header" Target="header1.xml"/><Relationship Id="rId14" Type="http://schemas.openxmlformats.org/officeDocument/2006/relationships/image" Target="media/image9.png"/><Relationship Id="rId36" Type="http://schemas.openxmlformats.org/officeDocument/2006/relationships/image" Target="media/image8.png"/><Relationship Id="rId17" Type="http://schemas.openxmlformats.org/officeDocument/2006/relationships/image" Target="media/image6.png"/><Relationship Id="rId39" Type="http://schemas.openxmlformats.org/officeDocument/2006/relationships/footer" Target="footer3.xml"/><Relationship Id="rId16" Type="http://schemas.openxmlformats.org/officeDocument/2006/relationships/image" Target="media/image10.png"/><Relationship Id="rId38" Type="http://schemas.openxmlformats.org/officeDocument/2006/relationships/footer" Target="footer2.xml"/><Relationship Id="rId19" Type="http://schemas.openxmlformats.org/officeDocument/2006/relationships/image" Target="media/image18.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