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9.png"/>
            <a:graphic>
              <a:graphicData uri="http://schemas.openxmlformats.org/drawingml/2006/picture">
                <pic:pic>
                  <pic:nvPicPr>
                    <pic:cNvPr descr="horizontal line" id="0" name="image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15.png"/>
            <a:graphic>
              <a:graphicData uri="http://schemas.openxmlformats.org/drawingml/2006/picture">
                <pic:pic>
                  <pic:nvPicPr>
                    <pic:cNvPr id="0" name="image1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Niger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Niger</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Niger</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Niger</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Niger</w:t>
      </w:r>
      <w:r w:rsidDel="00000000" w:rsidR="00000000" w:rsidRPr="00000000">
        <w:rPr>
          <w:rtl w:val="0"/>
        </w:rPr>
        <w:t xml:space="preserve"> demonstrated a low level of economic growth with an average annual GDP growth rate of 2.15% between 2019 and 2022, with a similar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Niger</w:t>
      </w:r>
      <w:r w:rsidDel="00000000" w:rsidR="00000000" w:rsidRPr="00000000">
        <w:rPr>
          <w:rtl w:val="0"/>
        </w:rPr>
        <w:t xml:space="preserve"> on the industry group level, as well as the mostly stagnant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Niger</w:t>
      </w:r>
      <w:r w:rsidDel="00000000" w:rsidR="00000000" w:rsidRPr="00000000">
        <w:rPr>
          <w:rtl w:val="0"/>
        </w:rPr>
        <w:t xml:space="preserve"> progressed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Niger</w:t>
      </w:r>
      <w:r w:rsidDel="00000000" w:rsidR="00000000" w:rsidRPr="00000000">
        <w:rPr>
          <w:rtl w:val="0"/>
        </w:rPr>
        <w:t xml:space="preserve"> could have furthered its gains by prioritizing Services and Utilities, and Transportation in 2022, which are also one of the more developed industries at the time. We further note that </w:t>
      </w:r>
      <w:r w:rsidDel="00000000" w:rsidR="00000000" w:rsidRPr="00000000">
        <w:rPr>
          <w:rtl w:val="0"/>
        </w:rPr>
        <w:t xml:space="preserve">Niger</w:t>
      </w:r>
      <w:r w:rsidDel="00000000" w:rsidR="00000000" w:rsidRPr="00000000">
        <w:rPr>
          <w:rtl w:val="0"/>
        </w:rPr>
        <w:t xml:space="preserve"> has a slightly mismatched development strategy that indicates a high level (compared to other emerging countries) of structural optimality on the complexity level, having an adjusted R-square of around 0.716 in 2022, demonstrating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Niger</w:t>
      </w:r>
      <w:r w:rsidDel="00000000" w:rsidR="00000000" w:rsidRPr="00000000">
        <w:rPr>
          <w:rtl w:val="0"/>
        </w:rPr>
        <w:t xml:space="preserve"> indeed has a near-optimal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w:t>
      </w:r>
      <w:r w:rsidDel="00000000" w:rsidR="00000000" w:rsidRPr="00000000">
        <w:rPr>
          <w:rtl w:val="0"/>
        </w:rPr>
        <w:t xml:space="preserve">Niger</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Niger</w:t>
      </w:r>
      <w:r w:rsidDel="00000000" w:rsidR="00000000" w:rsidRPr="00000000">
        <w:rPr>
          <w:rtl w:val="0"/>
        </w:rPr>
        <w:t xml:space="preserve"> went through during the period from 2019 to 2022, before and after the COVID pandemic. Specifically, we dive into the topic through a macroeconomic overview of </w:t>
      </w:r>
      <w:r w:rsidDel="00000000" w:rsidR="00000000" w:rsidRPr="00000000">
        <w:rPr>
          <w:rtl w:val="0"/>
        </w:rPr>
        <w:t xml:space="preserve">Niger</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Niger</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Niger</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Figure 1 shows the GDP levels for </w:t>
      </w:r>
      <w:r w:rsidDel="00000000" w:rsidR="00000000" w:rsidRPr="00000000">
        <w:rPr>
          <w:rtl w:val="0"/>
        </w:rPr>
        <w:t xml:space="preserve">Niger</w:t>
      </w:r>
      <w:r w:rsidDel="00000000" w:rsidR="00000000" w:rsidRPr="00000000">
        <w:rPr>
          <w:rtl w:val="0"/>
        </w:rPr>
        <w:t xml:space="preserve"> and its peer countries (Nigeria, Ethiopia, and Togo) from 2019 to 2022. Similar to the other countries, </w:t>
      </w:r>
      <w:r w:rsidDel="00000000" w:rsidR="00000000" w:rsidRPr="00000000">
        <w:rPr>
          <w:rtl w:val="0"/>
        </w:rPr>
        <w:t xml:space="preserve">Niger</w:t>
      </w:r>
      <w:r w:rsidDel="00000000" w:rsidR="00000000" w:rsidRPr="00000000">
        <w:rPr>
          <w:rtl w:val="0"/>
        </w:rPr>
        <w:t xml:space="preserve"> displayed no increase in GDP from 2019 to 2020 because of the pandemic, with all GDPs rebounding in 2022. Over these three years, </w:t>
      </w:r>
      <w:r w:rsidDel="00000000" w:rsidR="00000000" w:rsidRPr="00000000">
        <w:rPr>
          <w:rtl w:val="0"/>
        </w:rPr>
        <w:t xml:space="preserve">Niger</w:t>
      </w:r>
      <w:r w:rsidDel="00000000" w:rsidR="00000000" w:rsidRPr="00000000">
        <w:rPr>
          <w:rtl w:val="0"/>
        </w:rPr>
        <w:t xml:space="preserve">’s average annual GDP growth rate (2.15%) is relatively low, as it is greater than Nigeria’s rate (0.34%) but less than Ethiopia’s (7.39%) and Togo’s rates (3.99%). It is notable that the GDP levels in </w:t>
      </w:r>
      <w:r w:rsidDel="00000000" w:rsidR="00000000" w:rsidRPr="00000000">
        <w:rPr>
          <w:rtl w:val="0"/>
        </w:rPr>
        <w:t xml:space="preserve">Niger</w:t>
      </w:r>
      <w:r w:rsidDel="00000000" w:rsidR="00000000" w:rsidRPr="00000000">
        <w:rPr>
          <w:rtl w:val="0"/>
        </w:rPr>
        <w:t xml:space="preserve"> and Togo almost evened out after 2018.</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i w:val="1"/>
          <w:iCs w:val="1"/>
          <w:color w:val="444499"/>
          <w:sz w:val="20"/>
          <w:szCs w:val="20"/>
        </w:rPr>
      </w:pPr>
      <w:r w:rsidDel="00000000" w:rsidR="00000000" w:rsidRPr="00000000">
        <w:rPr/>
        <w:drawing>
          <wp:inline distB="114300" distT="114300" distL="114300" distR="114300">
            <wp:extent cx="3220875" cy="2407631"/>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220875" cy="240763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The comparable countries </w:t>
      </w:r>
      <w:r w:rsidDel="00000000" w:rsidR="00000000" w:rsidRPr="00000000">
        <w:rPr>
          <w:rtl w:val="0"/>
        </w:rPr>
        <w:t xml:space="preserve">maintain sharp changes in ECI level between 2019 and 2022.</w:t>
      </w:r>
      <w:r w:rsidDel="00000000" w:rsidR="00000000" w:rsidRPr="00000000">
        <w:rPr>
          <w:rtl w:val="0"/>
        </w:rPr>
        <w:t xml:space="preserve"> Niger</w:t>
      </w:r>
      <w:r w:rsidDel="00000000" w:rsidR="00000000" w:rsidRPr="00000000">
        <w:rPr>
          <w:rtl w:val="0"/>
        </w:rPr>
        <w:t xml:space="preserve"> exhibits a large increase in production capability in 2020 to levels not seen prior, with diversification from oil dependence being one of the reasons. </w:t>
      </w:r>
      <w:r w:rsidDel="00000000" w:rsidR="00000000" w:rsidRPr="00000000">
        <w:rPr>
          <w:rtl w:val="0"/>
        </w:rPr>
        <w:t xml:space="preserve">Niger</w:t>
      </w:r>
      <w:r w:rsidDel="00000000" w:rsidR="00000000" w:rsidRPr="00000000">
        <w:rPr>
          <w:rtl w:val="0"/>
        </w:rPr>
        <w:t xml:space="preserve"> has seen a 178.83% increase in its ECI, which is greater than Nigeria's (55.39%). </w:t>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378038" cy="2537904"/>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78038" cy="253790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Figure 3 offers a further comparison of GDP Growth and ECI over the time span from 2019 to 2022 for </w:t>
      </w:r>
      <w:r w:rsidDel="00000000" w:rsidR="00000000" w:rsidRPr="00000000">
        <w:rPr>
          <w:rtl w:val="0"/>
        </w:rPr>
        <w:t xml:space="preserve">Niger</w:t>
      </w:r>
      <w:r w:rsidDel="00000000" w:rsidR="00000000" w:rsidRPr="00000000">
        <w:rPr>
          <w:rtl w:val="0"/>
        </w:rPr>
        <w:t xml:space="preserve">. T</w:t>
      </w:r>
      <w:r w:rsidDel="00000000" w:rsidR="00000000" w:rsidRPr="00000000">
        <w:rPr>
          <w:rtl w:val="0"/>
        </w:rPr>
        <w:t xml:space="preserve">he GDP growth during the period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Niger</w:t>
      </w:r>
      <w:r w:rsidDel="00000000" w:rsidR="00000000" w:rsidRPr="00000000">
        <w:rPr>
          <w:rtl w:val="0"/>
        </w:rPr>
        <w:t xml:space="preserve"> during the period from 2019 to 2022 is partially consistent with the predictions by ECI and that </w:t>
      </w:r>
      <w:r w:rsidDel="00000000" w:rsidR="00000000" w:rsidRPr="00000000">
        <w:rPr>
          <w:rtl w:val="0"/>
        </w:rPr>
        <w:t xml:space="preserve">Niger</w:t>
      </w:r>
      <w:r w:rsidDel="00000000" w:rsidR="00000000" w:rsidRPr="00000000">
        <w:rPr>
          <w:rtl w:val="0"/>
        </w:rPr>
        <w:t xml:space="preserve"> made strong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Niger</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073238" cy="2304928"/>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073238" cy="23049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Niger</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center"/>
        <w:rPr>
          <w:sz w:val="22"/>
          <w:szCs w:val="22"/>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Niger'</w:t>
      </w:r>
      <w:r w:rsidDel="00000000" w:rsidR="00000000" w:rsidRPr="00000000">
        <w:rPr>
          <w:rtl w:val="0"/>
        </w:rPr>
        <w:t xml:space="preserve">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Niger</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0.198398</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0.249853</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0.311300</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0.445303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0.142929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0.220237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0.292419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0.267222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0.303752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0.403889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0.261443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0.296352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0.378680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0.201613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0.301412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0.341725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0.410646</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0.406743</w:t>
            </w:r>
          </w:p>
        </w:tc>
      </w:tr>
    </w:tbl>
    <w:p w:rsidR="00000000" w:rsidDel="00000000" w:rsidP="00000000" w:rsidRDefault="00000000" w:rsidRPr="00000000" w14:paraId="000000AF">
      <w:pPr>
        <w:pageBreakBefore w:val="0"/>
        <w:jc w:val="center"/>
        <w:rPr>
          <w:sz w:val="22"/>
          <w:szCs w:val="22"/>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Niger</w:t>
      </w:r>
      <w:r w:rsidDel="00000000" w:rsidR="00000000" w:rsidRPr="00000000">
        <w:rPr>
          <w:rtl w:val="0"/>
        </w:rPr>
      </w:r>
    </w:p>
    <w:p w:rsidR="00000000" w:rsidDel="00000000" w:rsidP="00000000" w:rsidRDefault="00000000" w:rsidRPr="00000000" w14:paraId="000000B0">
      <w:pPr>
        <w:pageBreakBefore w:val="0"/>
        <w:jc w:val="center"/>
        <w:rPr>
          <w:sz w:val="22"/>
          <w:szCs w:val="22"/>
        </w:rPr>
      </w:pP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2">
      <w:pPr>
        <w:pageBreakBefore w:val="0"/>
        <w:jc w:val="both"/>
        <w:rPr/>
      </w:pPr>
      <w:r w:rsidDel="00000000" w:rsidR="00000000" w:rsidRPr="00000000">
        <w:rPr>
          <w:rtl w:val="0"/>
        </w:rPr>
        <w:t xml:space="preserve">Table 4a below summarize how the production strategy adopted by </w:t>
      </w:r>
      <w:r w:rsidDel="00000000" w:rsidR="00000000" w:rsidRPr="00000000">
        <w:rPr>
          <w:rtl w:val="0"/>
        </w:rPr>
        <w:t xml:space="preserve">Niger</w:t>
      </w:r>
      <w:r w:rsidDel="00000000" w:rsidR="00000000" w:rsidRPr="00000000">
        <w:rPr>
          <w:rtl w:val="0"/>
        </w:rPr>
        <w:t xml:space="preserve"> compares with selected leading economies in the world across different years, as measured in RID. Leading economies such as France, Canada, and Sweden gave a considerable level of attention to more advanced product groups such as High-complexity Products and Energy Drilling and Mining in 2022.</w: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Ranking</w:t>
            </w:r>
          </w:p>
        </w:tc>
        <w:tc>
          <w:tcPr/>
          <w:p w:rsidR="00000000" w:rsidDel="00000000" w:rsidP="00000000" w:rsidRDefault="00000000" w:rsidRPr="00000000" w14:paraId="000000B5">
            <w:pPr>
              <w:jc w:val="both"/>
              <w:rPr/>
            </w:pPr>
            <w:r w:rsidDel="00000000" w:rsidR="00000000" w:rsidRPr="00000000">
              <w:rPr>
                <w:rtl w:val="0"/>
              </w:rPr>
              <w:t xml:space="preserve">France</w:t>
            </w:r>
          </w:p>
        </w:tc>
        <w:tc>
          <w:tcPr/>
          <w:p w:rsidR="00000000" w:rsidDel="00000000" w:rsidP="00000000" w:rsidRDefault="00000000" w:rsidRPr="00000000" w14:paraId="000000B6">
            <w:pPr>
              <w:jc w:val="both"/>
              <w:rPr/>
            </w:pPr>
            <w:r w:rsidDel="00000000" w:rsidR="00000000" w:rsidRPr="00000000">
              <w:rPr>
                <w:rtl w:val="0"/>
              </w:rPr>
              <w:t xml:space="preserve">Canada</w:t>
            </w:r>
          </w:p>
        </w:tc>
        <w:tc>
          <w:tcPr/>
          <w:p w:rsidR="00000000" w:rsidDel="00000000" w:rsidP="00000000" w:rsidRDefault="00000000" w:rsidRPr="00000000" w14:paraId="000000B7">
            <w:pPr>
              <w:jc w:val="both"/>
              <w:rPr/>
            </w:pPr>
            <w:r w:rsidDel="00000000" w:rsidR="00000000" w:rsidRPr="00000000">
              <w:rPr>
                <w:rtl w:val="0"/>
              </w:rPr>
              <w:t xml:space="preserve">Sweden</w:t>
            </w:r>
          </w:p>
        </w:tc>
      </w:tr>
      <w:tr>
        <w:trPr>
          <w:cantSplit w:val="0"/>
          <w:tblHeader w:val="0"/>
        </w:trPr>
        <w:tc>
          <w:tcPr/>
          <w:p w:rsidR="00000000" w:rsidDel="00000000" w:rsidP="00000000" w:rsidRDefault="00000000" w:rsidRPr="00000000" w14:paraId="000000B8">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High-complexity Products</w:t>
            </w:r>
          </w:p>
        </w:tc>
      </w:tr>
      <w:tr>
        <w:trPr>
          <w:cantSplit w:val="0"/>
          <w:tblHeader w:val="0"/>
        </w:trPr>
        <w:tc>
          <w:tcPr>
            <w:shd w:fill="ffffff" w:val="clear"/>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Animals and By-products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Vegetables, Fruits and Plants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Transportation</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Energy Drilling and Mining</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Chemicals</w:t>
            </w:r>
          </w:p>
        </w:tc>
      </w:tr>
    </w:tbl>
    <w:p w:rsidR="00000000" w:rsidDel="00000000" w:rsidP="00000000" w:rsidRDefault="00000000" w:rsidRPr="00000000" w14:paraId="000000CC">
      <w:pPr>
        <w:jc w:val="center"/>
        <w:rPr/>
      </w:pPr>
      <w:r w:rsidDel="00000000" w:rsidR="00000000" w:rsidRPr="00000000">
        <w:rPr>
          <w:sz w:val="22"/>
          <w:szCs w:val="22"/>
          <w:rtl w:val="0"/>
        </w:rPr>
        <w:t xml:space="preserve">Table 4a. RID Comparison across Leading Economies (2022)</w:t>
      </w:r>
      <w:r w:rsidDel="00000000" w:rsidR="00000000" w:rsidRPr="00000000">
        <w:rPr>
          <w:rtl w:val="0"/>
        </w:rPr>
      </w:r>
    </w:p>
    <w:p w:rsidR="00000000" w:rsidDel="00000000" w:rsidP="00000000" w:rsidRDefault="00000000" w:rsidRPr="00000000" w14:paraId="000000CD">
      <w:pPr>
        <w:jc w:val="center"/>
        <w:rPr>
          <w:sz w:val="22"/>
          <w:szCs w:val="22"/>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Table 4b further examines </w:t>
      </w:r>
      <w:r w:rsidDel="00000000" w:rsidR="00000000" w:rsidRPr="00000000">
        <w:rPr>
          <w:rtl w:val="0"/>
        </w:rPr>
        <w:t xml:space="preserve">Niger</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shifts in strategies over the course of three years.</w:t>
      </w:r>
    </w:p>
    <w:p w:rsidR="00000000" w:rsidDel="00000000" w:rsidP="00000000" w:rsidRDefault="00000000" w:rsidRPr="00000000" w14:paraId="000000CF">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D0">
            <w:pPr>
              <w:jc w:val="both"/>
              <w:rPr/>
            </w:pPr>
            <w:r w:rsidDel="00000000" w:rsidR="00000000" w:rsidRPr="00000000">
              <w:rPr>
                <w:rtl w:val="0"/>
              </w:rPr>
              <w:t xml:space="preserve">Ranking</w:t>
            </w:r>
          </w:p>
        </w:tc>
        <w:tc>
          <w:tcPr/>
          <w:p w:rsidR="00000000" w:rsidDel="00000000" w:rsidP="00000000" w:rsidRDefault="00000000" w:rsidRPr="00000000" w14:paraId="000000D1">
            <w:pPr>
              <w:jc w:val="both"/>
              <w:rPr/>
            </w:pPr>
            <w:r w:rsidDel="00000000" w:rsidR="00000000" w:rsidRPr="00000000">
              <w:rPr>
                <w:rtl w:val="0"/>
              </w:rPr>
              <w:t xml:space="preserve">China</w:t>
            </w:r>
          </w:p>
        </w:tc>
        <w:tc>
          <w:tcPr/>
          <w:p w:rsidR="00000000" w:rsidDel="00000000" w:rsidP="00000000" w:rsidRDefault="00000000" w:rsidRPr="00000000" w14:paraId="000000D2">
            <w:pPr>
              <w:jc w:val="both"/>
              <w:rPr/>
            </w:pPr>
            <w:r w:rsidDel="00000000" w:rsidR="00000000" w:rsidRPr="00000000">
              <w:rPr>
                <w:rtl w:val="0"/>
              </w:rPr>
              <w:t xml:space="preserve">South Korea</w:t>
            </w:r>
          </w:p>
        </w:tc>
        <w:tc>
          <w:tcPr/>
          <w:p w:rsidR="00000000" w:rsidDel="00000000" w:rsidP="00000000" w:rsidRDefault="00000000" w:rsidRPr="00000000" w14:paraId="000000D3">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Transportation</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Weapons</w:t>
            </w:r>
          </w:p>
        </w:tc>
      </w:tr>
      <w:tr>
        <w:trPr>
          <w:cantSplit w:val="0"/>
          <w:tblHeader w:val="0"/>
        </w:trPr>
        <w:tc>
          <w:tcPr>
            <w:tcMar>
              <w:left w:w="0.0" w:type="dxa"/>
              <w:right w:w="0.0" w:type="dxa"/>
            </w:tcMar>
            <w:vAlign w:val="cente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Metals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High-complexity Products</w:t>
            </w:r>
          </w:p>
        </w:tc>
      </w:tr>
      <w:tr>
        <w:trPr>
          <w:cantSplit w:val="0"/>
          <w:tblHeader w:val="0"/>
        </w:trPr>
        <w:tc>
          <w:tcPr>
            <w:tcMar>
              <w:left w:w="0.0" w:type="dxa"/>
              <w:right w:w="0.0" w:type="dxa"/>
            </w:tcMar>
            <w:vAlign w:val="center"/>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Metals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E4">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Chemical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Machinery</w:t>
            </w:r>
          </w:p>
        </w:tc>
      </w:tr>
    </w:tbl>
    <w:p w:rsidR="00000000" w:rsidDel="00000000" w:rsidP="00000000" w:rsidRDefault="00000000" w:rsidRPr="00000000" w14:paraId="000000E8">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9">
      <w:pPr>
        <w:pageBreakBefore w:val="0"/>
        <w:jc w:val="center"/>
        <w:rPr>
          <w:sz w:val="22"/>
          <w:szCs w:val="22"/>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F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F2">
      <w:pPr>
        <w:pageBreakBefore w:val="0"/>
        <w:jc w:val="left"/>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Niger</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Colombia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Nigeria</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1.372</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1.0583</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2.470</w:t>
            </w:r>
          </w:p>
        </w:tc>
      </w:tr>
    </w:tbl>
    <w:p w:rsidR="00000000" w:rsidDel="00000000" w:rsidP="00000000" w:rsidRDefault="00000000" w:rsidRPr="00000000" w14:paraId="0000014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44">
      <w:pPr>
        <w:pageBreakBefore w:val="0"/>
        <w:jc w:val="center"/>
        <w:rPr/>
      </w:pP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Niger</w:t>
      </w:r>
      <w:r w:rsidDel="00000000" w:rsidR="00000000" w:rsidRPr="00000000">
        <w:rPr>
          <w:rtl w:val="0"/>
        </w:rPr>
        <w:t xml:space="preserve"> compares with a selected group of</w:t>
      </w:r>
      <w:r w:rsidDel="00000000" w:rsidR="00000000" w:rsidRPr="00000000">
        <w:rPr>
          <w:rtl w:val="0"/>
        </w:rPr>
        <w:t xml:space="preserve"> comparable and emerging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emerging countries have many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developed countries</w:t>
      </w:r>
      <w:r w:rsidDel="00000000" w:rsidR="00000000" w:rsidRPr="00000000">
        <w:rPr>
          <w:rtl w:val="0"/>
        </w:rPr>
        <w:t xml:space="preserve"> have much less industries with positive opportunity gain. It can be concluded that </w:t>
      </w:r>
      <w:r w:rsidDel="00000000" w:rsidR="00000000" w:rsidRPr="00000000">
        <w:rPr>
          <w:rtl w:val="0"/>
        </w:rPr>
        <w:t xml:space="preserve">Niger</w:t>
      </w:r>
      <w:r w:rsidDel="00000000" w:rsidR="00000000" w:rsidRPr="00000000">
        <w:rPr>
          <w:rtl w:val="0"/>
        </w:rPr>
        <w:t xml:space="preserve"> shares the characteristics of developing countries, with a balanced economic structure that leans towards intermediate-level industries.</w:t>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drawing>
          <wp:inline distB="114300" distT="114300" distL="114300" distR="114300">
            <wp:extent cx="5731200" cy="2400300"/>
            <wp:effectExtent b="0" l="0" r="0" t="0"/>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rtl w:val="0"/>
        </w:rPr>
      </w:r>
    </w:p>
    <w:p w:rsidR="00000000" w:rsidDel="00000000" w:rsidP="00000000" w:rsidRDefault="00000000" w:rsidRPr="00000000" w14:paraId="0000014B">
      <w:pPr>
        <w:pageBreakBefore w:val="0"/>
        <w:jc w:val="center"/>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52">
      <w:pPr>
        <w:pageBreakBefore w:val="0"/>
        <w:jc w:val="both"/>
        <w:rPr/>
      </w:pPr>
      <w:r w:rsidDel="00000000" w:rsidR="00000000" w:rsidRPr="00000000">
        <w:rPr>
          <w:rtl w:val="0"/>
        </w:rPr>
        <w:t xml:space="preserve"> </w:t>
      </w:r>
    </w:p>
    <w:p w:rsidR="00000000" w:rsidDel="00000000" w:rsidP="00000000" w:rsidRDefault="00000000" w:rsidRPr="00000000" w14:paraId="00000153">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54">
      <w:pPr>
        <w:pageBreakBefore w:val="0"/>
        <w:jc w:val="both"/>
        <w:rPr/>
      </w:pPr>
      <w:r w:rsidDel="00000000" w:rsidR="00000000" w:rsidRPr="00000000">
        <w:rPr>
          <w:rtl w:val="0"/>
        </w:rPr>
        <w:t xml:space="preserve"> </w:t>
      </w:r>
    </w:p>
    <w:p w:rsidR="00000000" w:rsidDel="00000000" w:rsidP="00000000" w:rsidRDefault="00000000" w:rsidRPr="00000000" w14:paraId="00000155">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56">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5A">
      <w:pPr>
        <w:pageBreakBefore w:val="0"/>
        <w:rPr/>
      </w:pPr>
      <w:r w:rsidDel="00000000" w:rsidR="00000000" w:rsidRPr="00000000">
        <w:rPr>
          <w:rtl w:val="0"/>
        </w:rPr>
        <w:t xml:space="preserve"> </w:t>
      </w:r>
    </w:p>
    <w:p w:rsidR="00000000" w:rsidDel="00000000" w:rsidP="00000000" w:rsidRDefault="00000000" w:rsidRPr="00000000" w14:paraId="0000015B">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5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63">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64">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8B">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8C">
      <w:pPr>
        <w:pageBreakBefore w:val="0"/>
        <w:jc w:val="center"/>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Niger</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Niger</w:t>
      </w:r>
      <w:r w:rsidDel="00000000" w:rsidR="00000000" w:rsidRPr="00000000">
        <w:rPr>
          <w:rtl w:val="0"/>
        </w:rPr>
        <w:t xml:space="preserve"> actually have different increments. </w:t>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We re-examine suggested strategies f</w:t>
      </w:r>
      <w:r w:rsidDel="00000000" w:rsidR="00000000" w:rsidRPr="00000000">
        <w:rPr>
          <w:rtl w:val="0"/>
        </w:rPr>
        <w:t xml:space="preserve">or 202</w:t>
      </w:r>
      <w:r w:rsidDel="00000000" w:rsidR="00000000" w:rsidRPr="00000000">
        <w:rPr>
          <w:rtl w:val="0"/>
        </w:rPr>
        <w:t xml:space="preserve">2. </w:t>
      </w:r>
      <w:r w:rsidDel="00000000" w:rsidR="00000000" w:rsidRPr="00000000">
        <w:rPr>
          <w:rtl w:val="0"/>
        </w:rPr>
        <w:t xml:space="preserve">For 2022, </w:t>
      </w:r>
      <w:r w:rsidDel="00000000" w:rsidR="00000000" w:rsidRPr="00000000">
        <w:rPr>
          <w:rtl w:val="0"/>
        </w:rPr>
        <w:t xml:space="preserve">a 5 percent increase in export would emphasize Energy Drilling and Mining, which is the same for 10, 15, and 20 percent export growth respectively. These strategies somewhat contrast with the suggested trajectories based on ECI. While the ECI analysis might advocate for a more varied approach to achieve optimal economic expansion, our optimization results favor a consistent focus on the Energy Drilling and Mining sector. This deviation is linked to the potential advantages of concentrated investments within a specific domain, which may open the door to higher efficiencies and heightened competitiveness that may arise from a concentrated economic strategy. A more detailed numerical representation of the portfolio for </w:t>
      </w:r>
      <w:r w:rsidDel="00000000" w:rsidR="00000000" w:rsidRPr="00000000">
        <w:rPr>
          <w:rtl w:val="0"/>
        </w:rPr>
        <w:t xml:space="preserve">Niger</w:t>
      </w:r>
      <w:r w:rsidDel="00000000" w:rsidR="00000000" w:rsidRPr="00000000">
        <w:rPr>
          <w:rtl w:val="0"/>
        </w:rPr>
        <w:t xml:space="preserve"> is shown in Table 8c.</w:t>
      </w:r>
    </w:p>
    <w:p w:rsidR="00000000" w:rsidDel="00000000" w:rsidP="00000000" w:rsidRDefault="00000000" w:rsidRPr="00000000" w14:paraId="00000190">
      <w:pPr>
        <w:pageBreakBefore w:val="0"/>
        <w:rPr>
          <w:sz w:val="22"/>
          <w:szCs w:val="22"/>
        </w:rPr>
      </w:pPr>
      <w:r w:rsidDel="00000000" w:rsidR="00000000" w:rsidRPr="00000000">
        <w:rPr/>
        <w:drawing>
          <wp:inline distB="114300" distT="114300" distL="114300" distR="114300">
            <wp:extent cx="5734050" cy="2114550"/>
            <wp:effectExtent b="0" l="0" r="0" t="0"/>
            <wp:docPr id="4" name="image10.png"/>
            <a:graphic>
              <a:graphicData uri="http://schemas.openxmlformats.org/drawingml/2006/picture">
                <pic:pic>
                  <pic:nvPicPr>
                    <pic:cNvPr id="0" name="image10.png"/>
                    <pic:cNvPicPr preferRelativeResize="0"/>
                  </pic:nvPicPr>
                  <pic:blipFill>
                    <a:blip r:embed="rId14"/>
                    <a:srcRect b="26246" l="0" r="0" t="0"/>
                    <a:stretch>
                      <a:fillRect/>
                    </a:stretch>
                  </pic:blipFill>
                  <pic:spPr>
                    <a:xfrm>
                      <a:off x="0" y="0"/>
                      <a:ext cx="57340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sz w:val="22"/>
          <w:szCs w:val="22"/>
        </w:rPr>
      </w:pPr>
      <w:r w:rsidDel="00000000" w:rsidR="00000000" w:rsidRPr="00000000">
        <w:rPr>
          <w:sz w:val="22"/>
          <w:szCs w:val="22"/>
        </w:rPr>
        <w:drawing>
          <wp:inline distB="114300" distT="114300" distL="114300" distR="114300">
            <wp:extent cx="5731200" cy="21590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Niger</w:t>
      </w:r>
      <w:r w:rsidDel="00000000" w:rsidR="00000000" w:rsidRPr="00000000">
        <w:rPr>
          <w:sz w:val="22"/>
          <w:szCs w:val="22"/>
          <w:rtl w:val="0"/>
        </w:rPr>
        <w:t xml:space="preserve"> with Different Budgets (2022)</w:t>
      </w:r>
    </w:p>
    <w:p w:rsidR="00000000" w:rsidDel="00000000" w:rsidP="00000000" w:rsidRDefault="00000000" w:rsidRPr="00000000" w14:paraId="00000193">
      <w:pPr>
        <w:jc w:val="left"/>
        <w:rPr>
          <w:sz w:val="22"/>
          <w:szCs w:val="22"/>
        </w:rPr>
      </w:pPr>
      <w:r w:rsidDel="00000000" w:rsidR="00000000" w:rsidRPr="00000000">
        <w:rPr>
          <w:rtl w:val="0"/>
        </w:rPr>
      </w:r>
    </w:p>
    <w:tbl>
      <w:tblPr>
        <w:tblStyle w:val="Table9"/>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jc w:val="center"/>
              <w:rPr>
                <w:sz w:val="20"/>
                <w:szCs w:val="20"/>
              </w:rPr>
            </w:pPr>
            <w:r w:rsidDel="00000000" w:rsidR="00000000" w:rsidRPr="00000000">
              <w:rPr>
                <w:b w:val="1"/>
                <w:bCs w:val="1"/>
                <w:sz w:val="20"/>
                <w:szCs w:val="20"/>
                <w:rtl w:val="0"/>
              </w:rPr>
              <w:t xml:space="preserve">Niger</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A">
            <w:pPr>
              <w:jc w:val="center"/>
              <w:rPr>
                <w:sz w:val="20"/>
                <w:szCs w:val="20"/>
              </w:rPr>
            </w:pPr>
            <w:r w:rsidDel="00000000" w:rsidR="00000000" w:rsidRPr="00000000">
              <w:rPr>
                <w:b w:val="1"/>
                <w:bCs w:val="1"/>
                <w:sz w:val="20"/>
                <w:szCs w:val="20"/>
                <w:rtl w:val="0"/>
              </w:rPr>
              <w:t xml:space="preserve">1.372</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2.18E+07</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4.35E+07</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6">
            <w:pPr>
              <w:widowControl w:val="0"/>
              <w:spacing w:line="276" w:lineRule="auto"/>
              <w:rPr>
                <w:sz w:val="18"/>
                <w:szCs w:val="18"/>
              </w:rPr>
            </w:pPr>
            <w:r w:rsidDel="00000000" w:rsidR="00000000" w:rsidRPr="00000000">
              <w:rPr>
                <w:sz w:val="18"/>
                <w:szCs w:val="18"/>
                <w:rtl w:val="0"/>
              </w:rPr>
              <w:t xml:space="preserve">6.53E+07</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7">
            <w:pPr>
              <w:widowControl w:val="0"/>
              <w:spacing w:line="276" w:lineRule="auto"/>
              <w:rPr>
                <w:sz w:val="18"/>
                <w:szCs w:val="18"/>
              </w:rPr>
            </w:pPr>
            <w:r w:rsidDel="00000000" w:rsidR="00000000" w:rsidRPr="00000000">
              <w:rPr>
                <w:sz w:val="18"/>
                <w:szCs w:val="18"/>
                <w:rtl w:val="0"/>
              </w:rPr>
              <w:t xml:space="preserve">8.71E+07</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9">
            <w:pPr>
              <w:widowControl w:val="0"/>
              <w:spacing w:line="276" w:lineRule="auto"/>
              <w:rPr>
                <w:b w:val="1"/>
                <w:bCs w:val="1"/>
                <w:sz w:val="20"/>
                <w:szCs w:val="20"/>
              </w:rPr>
            </w:pPr>
            <w:r w:rsidDel="00000000" w:rsidR="00000000" w:rsidRPr="00000000">
              <w:rPr>
                <w:b w:val="1"/>
                <w:bCs w:val="1"/>
                <w:sz w:val="20"/>
                <w:szCs w:val="20"/>
                <w:rtl w:val="0"/>
              </w:rPr>
              <w:t xml:space="preserve">           1.118058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A">
            <w:pPr>
              <w:widowControl w:val="0"/>
              <w:spacing w:line="276" w:lineRule="auto"/>
              <w:rPr>
                <w:b w:val="1"/>
                <w:bCs w:val="1"/>
                <w:sz w:val="20"/>
                <w:szCs w:val="20"/>
              </w:rPr>
            </w:pPr>
            <w:r w:rsidDel="00000000" w:rsidR="00000000" w:rsidRPr="00000000">
              <w:rPr>
                <w:b w:val="1"/>
                <w:bCs w:val="1"/>
                <w:sz w:val="20"/>
                <w:szCs w:val="20"/>
                <w:rtl w:val="0"/>
              </w:rPr>
              <w:t xml:space="preserve">           1.118058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B">
            <w:pPr>
              <w:widowControl w:val="0"/>
              <w:spacing w:line="276" w:lineRule="auto"/>
              <w:rPr>
                <w:b w:val="1"/>
                <w:bCs w:val="1"/>
                <w:sz w:val="20"/>
                <w:szCs w:val="20"/>
              </w:rPr>
            </w:pPr>
            <w:r w:rsidDel="00000000" w:rsidR="00000000" w:rsidRPr="00000000">
              <w:rPr>
                <w:b w:val="1"/>
                <w:bCs w:val="1"/>
                <w:sz w:val="20"/>
                <w:szCs w:val="20"/>
                <w:rtl w:val="0"/>
              </w:rPr>
              <w:t xml:space="preserve">           1.118058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C">
            <w:pPr>
              <w:widowControl w:val="0"/>
              <w:spacing w:line="276" w:lineRule="auto"/>
              <w:rPr>
                <w:b w:val="1"/>
                <w:bCs w:val="1"/>
                <w:sz w:val="20"/>
                <w:szCs w:val="20"/>
              </w:rPr>
            </w:pPr>
            <w:r w:rsidDel="00000000" w:rsidR="00000000" w:rsidRPr="00000000">
              <w:rPr>
                <w:b w:val="1"/>
                <w:bCs w:val="1"/>
                <w:sz w:val="20"/>
                <w:szCs w:val="20"/>
                <w:rtl w:val="0"/>
              </w:rPr>
              <w:t xml:space="preserve">           1.118058</w:t>
            </w:r>
          </w:p>
        </w:tc>
      </w:tr>
    </w:tbl>
    <w:p w:rsidR="00000000" w:rsidDel="00000000" w:rsidP="00000000" w:rsidRDefault="00000000" w:rsidRPr="00000000" w14:paraId="000001AD">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Niger</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1AE">
      <w:pPr>
        <w:jc w:val="center"/>
        <w:rPr>
          <w:sz w:val="22"/>
          <w:szCs w:val="22"/>
        </w:rPr>
      </w:pPr>
      <w:r w:rsidDel="00000000" w:rsidR="00000000" w:rsidRPr="00000000">
        <w:rPr>
          <w:rtl w:val="0"/>
        </w:rPr>
      </w:r>
    </w:p>
    <w:p w:rsidR="00000000" w:rsidDel="00000000" w:rsidP="00000000" w:rsidRDefault="00000000" w:rsidRPr="00000000" w14:paraId="000001AF">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B0">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Niger</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B1">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B2">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3">
      <w:pPr>
        <w:jc w:val="both"/>
        <w:rPr>
          <w:b w:val="1"/>
          <w:bCs w:val="1"/>
        </w:rPr>
      </w:pPr>
      <w:r w:rsidDel="00000000" w:rsidR="00000000" w:rsidRPr="00000000">
        <w:rPr>
          <w:b w:val="1"/>
          <w:bCs w:val="1"/>
        </w:rPr>
        <w:drawing>
          <wp:inline distB="114300" distT="114300" distL="114300" distR="114300">
            <wp:extent cx="5310188" cy="2519630"/>
            <wp:effectExtent b="0" l="0" r="0" t="0"/>
            <wp:docPr id="9" name="image1.jpg"/>
            <a:graphic>
              <a:graphicData uri="http://schemas.openxmlformats.org/drawingml/2006/picture">
                <pic:pic>
                  <pic:nvPicPr>
                    <pic:cNvPr id="0" name="image1.jpg"/>
                    <pic:cNvPicPr preferRelativeResize="0"/>
                  </pic:nvPicPr>
                  <pic:blipFill>
                    <a:blip r:embed="rId1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B5">
      <w:pPr>
        <w:pageBreakBefore w:val="0"/>
        <w:spacing w:after="240" w:before="240" w:line="276" w:lineRule="auto"/>
        <w:rPr>
          <w:b w:val="1"/>
          <w:bCs w:val="1"/>
        </w:rPr>
      </w:pPr>
      <w:r w:rsidDel="00000000" w:rsidR="00000000" w:rsidRPr="00000000">
        <w:rPr>
          <w:rtl w:val="0"/>
        </w:rPr>
        <w:t xml:space="preserve">The graphs are formulated as follows. There are two ECI Sensitivity graphs for 2022.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B6">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B7">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two industries as our base industries. We will be increasing or decreasing the absolute export level in both of these industries and observing the effects on the SDV. </w:t>
      </w:r>
    </w:p>
    <w:p w:rsidR="00000000" w:rsidDel="00000000" w:rsidP="00000000" w:rsidRDefault="00000000" w:rsidRPr="00000000" w14:paraId="000001B8">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1B9">
      <w:pPr>
        <w:pageBreakBefore w:val="0"/>
        <w:spacing w:line="276" w:lineRule="auto"/>
        <w:rPr/>
      </w:pPr>
      <w:r w:rsidDel="00000000" w:rsidR="00000000" w:rsidRPr="00000000">
        <w:rPr>
          <w:rtl w:val="0"/>
        </w:rPr>
        <w:t xml:space="preserve">Similar to the ECI sensitivity graphs above, we will be shocking the export of two industries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BA">
      <w:pPr>
        <w:pageBreakBefore w:val="0"/>
        <w:spacing w:line="276" w:lineRule="auto"/>
        <w:rPr/>
      </w:pPr>
      <w:r w:rsidDel="00000000" w:rsidR="00000000" w:rsidRPr="00000000">
        <w:rPr>
          <w:rtl w:val="0"/>
        </w:rPr>
      </w:r>
    </w:p>
    <w:p w:rsidR="00000000" w:rsidDel="00000000" w:rsidP="00000000" w:rsidRDefault="00000000" w:rsidRPr="00000000" w14:paraId="000001BB">
      <w:pPr>
        <w:pageBreakBefore w:val="0"/>
        <w:jc w:val="both"/>
        <w:rPr/>
      </w:pPr>
      <w:r w:rsidDel="00000000" w:rsidR="00000000" w:rsidRPr="00000000">
        <w:rPr/>
        <w:drawing>
          <wp:inline distB="114300" distT="114300" distL="114300" distR="114300">
            <wp:extent cx="5734050" cy="1739900"/>
            <wp:effectExtent b="0" l="0" r="0" t="0"/>
            <wp:docPr id="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1BD">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1BE">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1BF">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C0">
      <w:pPr>
        <w:pageBreakBefore w:val="0"/>
        <w:spacing w:line="276" w:lineRule="auto"/>
        <w:rPr/>
      </w:pPr>
      <w:r w:rsidDel="00000000" w:rsidR="00000000" w:rsidRPr="00000000">
        <w:rPr>
          <w:rtl w:val="0"/>
        </w:rPr>
      </w:r>
    </w:p>
    <w:tbl>
      <w:tblPr>
        <w:tblStyle w:val="Table1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0D">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0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0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1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11">
      <w:pPr>
        <w:pageBreakBefore w:val="0"/>
        <w:jc w:val="both"/>
        <w:rPr/>
      </w:pPr>
      <w:r w:rsidDel="00000000" w:rsidR="00000000" w:rsidRPr="00000000">
        <w:rPr>
          <w:rtl w:val="0"/>
        </w:rPr>
        <w:t xml:space="preserve">We examine </w:t>
      </w:r>
      <w:r w:rsidDel="00000000" w:rsidR="00000000" w:rsidRPr="00000000">
        <w:rPr>
          <w:rtl w:val="0"/>
        </w:rPr>
        <w:t xml:space="preserve">Niger</w:t>
      </w:r>
      <w:r w:rsidDel="00000000" w:rsidR="00000000" w:rsidRPr="00000000">
        <w:rPr>
          <w:rtl w:val="0"/>
        </w:rPr>
        <w:t xml:space="preserve">'s ECI Decremental and Incremental Sensitivity Charts for 2022. An increase in Weapons will lead to the highest change in ECI, followed by Services and Utilities. For the negative shock cases, Food and Preparations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212">
      <w:pPr>
        <w:pageBreakBefore w:val="0"/>
        <w:jc w:val="both"/>
        <w:rPr/>
      </w:pPr>
      <w:r w:rsidDel="00000000" w:rsidR="00000000" w:rsidRPr="00000000">
        <w:rPr>
          <w:rtl w:val="0"/>
        </w:rPr>
      </w:r>
    </w:p>
    <w:p w:rsidR="00000000" w:rsidDel="00000000" w:rsidP="00000000" w:rsidRDefault="00000000" w:rsidRPr="00000000" w14:paraId="00000213">
      <w:pPr>
        <w:pageBreakBefore w:val="0"/>
        <w:jc w:val="both"/>
        <w:rPr/>
      </w:pPr>
      <w:r w:rsidDel="00000000" w:rsidR="00000000" w:rsidRPr="00000000">
        <w:rPr/>
        <w:drawing>
          <wp:inline distB="114300" distT="114300" distL="114300" distR="114300">
            <wp:extent cx="5731200" cy="17272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(2022)</w:t>
      </w:r>
    </w:p>
    <w:p w:rsidR="00000000" w:rsidDel="00000000" w:rsidP="00000000" w:rsidRDefault="00000000" w:rsidRPr="00000000" w14:paraId="00000215">
      <w:pPr>
        <w:jc w:val="center"/>
        <w:rPr>
          <w:sz w:val="22"/>
          <w:szCs w:val="22"/>
        </w:rPr>
      </w:pPr>
      <w:r w:rsidDel="00000000" w:rsidR="00000000" w:rsidRPr="00000000">
        <w:rPr>
          <w:sz w:val="22"/>
          <w:szCs w:val="22"/>
        </w:rPr>
        <w:drawing>
          <wp:inline distB="114300" distT="114300" distL="114300" distR="114300">
            <wp:extent cx="5731200" cy="195580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17">
      <w:pPr>
        <w:pageBreakBefore w:val="0"/>
        <w:jc w:val="both"/>
        <w:rPr/>
      </w:pPr>
      <w:r w:rsidDel="00000000" w:rsidR="00000000" w:rsidRPr="00000000">
        <w:rPr>
          <w:rtl w:val="0"/>
        </w:rPr>
      </w:r>
    </w:p>
    <w:p w:rsidR="00000000" w:rsidDel="00000000" w:rsidP="00000000" w:rsidRDefault="00000000" w:rsidRPr="00000000" w14:paraId="00000218">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19">
      <w:pPr>
        <w:jc w:val="both"/>
        <w:rPr/>
      </w:pPr>
      <w:r w:rsidDel="00000000" w:rsidR="00000000" w:rsidRPr="00000000">
        <w:rPr>
          <w:rtl w:val="0"/>
        </w:rPr>
        <w:t xml:space="preserve">Decreasing export of each industry in Niger’s current production space by 60% respectively, we derive the contingency strategy shown below.  Though such strategic choices might have been effective in helping Niger navigate the economic challenges brought about by the 2020 COVID-19 pandemic, our examination of structural optimality in the subsequent section reveals that Niger's industrial development strategy during the 2019-2022 period did not follow such a trajectory. This might be a contributing factor to Niger's comparatively lower ECI by the end of this timeframe.</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center"/>
        <w:rPr>
          <w:sz w:val="22"/>
          <w:szCs w:val="22"/>
        </w:rPr>
      </w:pPr>
      <w:r w:rsidDel="00000000" w:rsidR="00000000" w:rsidRPr="00000000">
        <w:rPr>
          <w:rtl w:val="0"/>
        </w:rPr>
      </w:r>
    </w:p>
    <w:p w:rsidR="00000000" w:rsidDel="00000000" w:rsidP="00000000" w:rsidRDefault="00000000" w:rsidRPr="00000000" w14:paraId="0000021C">
      <w:pPr>
        <w:jc w:val="center"/>
        <w:rPr>
          <w:sz w:val="22"/>
          <w:szCs w:val="22"/>
        </w:rPr>
      </w:pPr>
      <w:r w:rsidDel="00000000" w:rsidR="00000000" w:rsidRPr="00000000">
        <w:rPr>
          <w:b w:val="1"/>
          <w:bCs w:val="1"/>
          <w:sz w:val="28"/>
          <w:szCs w:val="28"/>
        </w:rPr>
        <w:drawing>
          <wp:inline distB="114300" distT="114300" distL="114300" distR="114300">
            <wp:extent cx="5665096" cy="3019365"/>
            <wp:effectExtent b="0" l="0" r="0" t="0"/>
            <wp:docPr id="15"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665096" cy="301936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center"/>
        <w:rPr>
          <w:b w:val="1"/>
          <w:bCs w:val="1"/>
        </w:rPr>
      </w:pPr>
      <w:r w:rsidDel="00000000" w:rsidR="00000000" w:rsidRPr="00000000">
        <w:rPr>
          <w:sz w:val="22"/>
          <w:szCs w:val="22"/>
          <w:rtl w:val="0"/>
        </w:rPr>
        <w:t xml:space="preserve">Table 13. Niger’s Contingency Strategy (2018)</w:t>
      </w:r>
      <w:r w:rsidDel="00000000" w:rsidR="00000000" w:rsidRPr="00000000">
        <w:rPr>
          <w:rtl w:val="0"/>
        </w:rPr>
      </w:r>
    </w:p>
    <w:p w:rsidR="00000000" w:rsidDel="00000000" w:rsidP="00000000" w:rsidRDefault="00000000" w:rsidRPr="00000000" w14:paraId="0000021E">
      <w:pPr>
        <w:jc w:val="left"/>
        <w:rPr/>
      </w:pPr>
      <w:r w:rsidDel="00000000" w:rsidR="00000000" w:rsidRPr="00000000">
        <w:rPr>
          <w:rtl w:val="0"/>
        </w:rPr>
      </w:r>
    </w:p>
    <w:p w:rsidR="00000000" w:rsidDel="00000000" w:rsidP="00000000" w:rsidRDefault="00000000" w:rsidRPr="00000000" w14:paraId="0000021F">
      <w:pPr>
        <w:pageBreakBefore w:val="0"/>
        <w:jc w:val="center"/>
        <w:rPr>
          <w:sz w:val="28"/>
          <w:szCs w:val="28"/>
        </w:rPr>
      </w:pPr>
      <w:r w:rsidDel="00000000" w:rsidR="00000000" w:rsidRPr="00000000">
        <w:rPr>
          <w:rtl w:val="0"/>
        </w:rPr>
      </w:r>
    </w:p>
    <w:p w:rsidR="00000000" w:rsidDel="00000000" w:rsidP="00000000" w:rsidRDefault="00000000" w:rsidRPr="00000000" w14:paraId="00000220">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22">
      <w:pPr>
        <w:pageBreakBefore w:val="0"/>
        <w:jc w:val="both"/>
        <w:rPr>
          <w:b w:val="1"/>
          <w:bCs w:val="1"/>
        </w:rPr>
      </w:pPr>
      <w:r w:rsidDel="00000000" w:rsidR="00000000" w:rsidRPr="00000000">
        <w:rPr>
          <w:rtl w:val="0"/>
        </w:rPr>
      </w:r>
    </w:p>
    <w:p w:rsidR="00000000" w:rsidDel="00000000" w:rsidP="00000000" w:rsidRDefault="00000000" w:rsidRPr="00000000" w14:paraId="0000022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24">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25">
      <w:pPr>
        <w:pageBreakBefore w:val="0"/>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15.7% level and achieving an adjusted R2 of 56.6%. In other words, the more a country develops, as suggested by calculations on a complexity level, the better economic outcomes it achieves. </w:t>
      </w:r>
    </w:p>
    <w:p w:rsidR="00000000" w:rsidDel="00000000" w:rsidP="00000000" w:rsidRDefault="00000000" w:rsidRPr="00000000" w14:paraId="00000227">
      <w:pPr>
        <w:pageBreakBefore w:val="0"/>
        <w:jc w:val="both"/>
        <w:rPr/>
      </w:pPr>
      <w:r w:rsidDel="00000000" w:rsidR="00000000" w:rsidRPr="00000000">
        <w:rPr>
          <w:rtl w:val="0"/>
        </w:rPr>
      </w:r>
    </w:p>
    <w:tbl>
      <w:tblPr>
        <w:tblStyle w:val="Table1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2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2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2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2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2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2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2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30">
      <w:pPr>
        <w:pageBreakBefore w:val="0"/>
        <w:jc w:val="left"/>
        <w:rPr/>
      </w:pPr>
      <w:r w:rsidDel="00000000" w:rsidR="00000000" w:rsidRPr="00000000">
        <w:rPr>
          <w:rtl w:val="0"/>
        </w:rPr>
      </w:r>
    </w:p>
    <w:p w:rsidR="00000000" w:rsidDel="00000000" w:rsidP="00000000" w:rsidRDefault="00000000" w:rsidRPr="00000000" w14:paraId="00000231">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32">
      <w:pPr>
        <w:pageBreakBefore w:val="0"/>
        <w:jc w:val="both"/>
        <w:rPr/>
      </w:pPr>
      <w:r w:rsidDel="00000000" w:rsidR="00000000" w:rsidRPr="00000000">
        <w:rPr>
          <w:rtl w:val="0"/>
        </w:rPr>
      </w:r>
    </w:p>
    <w:p w:rsidR="00000000" w:rsidDel="00000000" w:rsidP="00000000" w:rsidRDefault="00000000" w:rsidRPr="00000000" w14:paraId="00000233">
      <w:pPr>
        <w:pageBreakBefore w:val="0"/>
        <w:jc w:val="both"/>
        <w:rPr>
          <w:sz w:val="22"/>
          <w:szCs w:val="22"/>
        </w:rPr>
      </w:pPr>
      <w:r w:rsidDel="00000000" w:rsidR="00000000" w:rsidRPr="00000000">
        <w:rPr>
          <w:b w:val="1"/>
          <w:bCs w:val="1"/>
          <w:rtl w:val="0"/>
        </w:rPr>
        <w:t xml:space="preserve">5.2 SOI of </w:t>
      </w:r>
      <w:r w:rsidDel="00000000" w:rsidR="00000000" w:rsidRPr="00000000">
        <w:rPr>
          <w:b w:val="1"/>
          <w:bCs w:val="1"/>
          <w:rtl w:val="0"/>
        </w:rPr>
        <w:t xml:space="preserve">Niger</w:t>
      </w:r>
      <w:r w:rsidDel="00000000" w:rsidR="00000000" w:rsidRPr="00000000">
        <w:rPr>
          <w:b w:val="1"/>
          <w:bCs w:val="1"/>
          <w:rtl w:val="0"/>
        </w:rPr>
        <w:t xml:space="preserve"> and Its Implications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For the 2019-2022 years, </w:t>
      </w:r>
      <w:r w:rsidDel="00000000" w:rsidR="00000000" w:rsidRPr="00000000">
        <w:rPr>
          <w:rtl w:val="0"/>
        </w:rPr>
        <w:t xml:space="preserve">Niger</w:t>
      </w:r>
      <w:r w:rsidDel="00000000" w:rsidR="00000000" w:rsidRPr="00000000">
        <w:rPr>
          <w:rtl w:val="0"/>
        </w:rPr>
        <w:t xml:space="preserve"> has a strong presence in the Energy Drilling and Mining and Wood Products industries, which </w:t>
      </w:r>
      <w:r w:rsidDel="00000000" w:rsidR="00000000" w:rsidRPr="00000000">
        <w:rPr>
          <w:rtl w:val="0"/>
        </w:rPr>
        <w:t xml:space="preserve">both present a good opportunity for further investment</w:t>
      </w:r>
      <w:r w:rsidDel="00000000" w:rsidR="00000000" w:rsidRPr="00000000">
        <w:rPr>
          <w:rtl w:val="0"/>
        </w:rPr>
        <w:t xml:space="preserve">. It also could consider Metals and Precious Stones to improve its growth. </w:t>
      </w:r>
      <w:r w:rsidDel="00000000" w:rsidR="00000000" w:rsidRPr="00000000">
        <w:rPr>
          <w:rtl w:val="0"/>
        </w:rPr>
        <w:t xml:space="preserve">Niger</w:t>
      </w:r>
      <w:r w:rsidDel="00000000" w:rsidR="00000000" w:rsidRPr="00000000">
        <w:rPr>
          <w:rtl w:val="0"/>
        </w:rPr>
        <w:t xml:space="preserve"> has seen a growth  in GDP over those three years of 2.15% annually. </w:t>
      </w:r>
      <w:r w:rsidDel="00000000" w:rsidR="00000000" w:rsidRPr="00000000">
        <w:rPr>
          <w:rtl w:val="0"/>
        </w:rPr>
        <w:t xml:space="preserve">Niger</w:t>
      </w:r>
      <w:r w:rsidDel="00000000" w:rsidR="00000000" w:rsidRPr="00000000">
        <w:rPr>
          <w:rtl w:val="0"/>
        </w:rPr>
        <w:t xml:space="preserve"> also ranked highly among all countries in terms of SOI.</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Its high adjusted R-squared value of 0.716 now indicates a high correlation between the GDP growth and the implemented development path. Progress is slow on a global scale during this period, but </w:t>
      </w:r>
      <w:r w:rsidDel="00000000" w:rsidR="00000000" w:rsidRPr="00000000">
        <w:rPr>
          <w:rtl w:val="0"/>
        </w:rPr>
        <w:t xml:space="preserve">Niger</w:t>
      </w:r>
      <w:r w:rsidDel="00000000" w:rsidR="00000000" w:rsidRPr="00000000">
        <w:rPr>
          <w:rtl w:val="0"/>
        </w:rPr>
        <w:t xml:space="preserve"> demonstrates an ability to adjust to negative economic shocks by improving SOI and increasing GDP growth.</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drawing>
          <wp:inline distB="114300" distT="114300" distL="114300" distR="114300">
            <wp:extent cx="5731200" cy="2298700"/>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Niger</w:t>
      </w:r>
      <w:r w:rsidDel="00000000" w:rsidR="00000000" w:rsidRPr="00000000">
        <w:rPr>
          <w:sz w:val="22"/>
          <w:szCs w:val="22"/>
          <w:rtl w:val="0"/>
        </w:rPr>
        <w:t xml:space="preserve"> (2019-2022)</w:t>
      </w:r>
    </w:p>
    <w:p w:rsidR="00000000" w:rsidDel="00000000" w:rsidP="00000000" w:rsidRDefault="00000000" w:rsidRPr="00000000" w14:paraId="0000023A">
      <w:pPr>
        <w:pageBreakBefore w:val="0"/>
        <w:jc w:val="both"/>
        <w:rPr>
          <w:b w:val="1"/>
          <w:bCs w:val="1"/>
        </w:rPr>
      </w:pPr>
      <w:r w:rsidDel="00000000" w:rsidR="00000000" w:rsidRPr="00000000">
        <w:rPr>
          <w:rtl w:val="0"/>
        </w:rPr>
      </w:r>
    </w:p>
    <w:p w:rsidR="00000000" w:rsidDel="00000000" w:rsidP="00000000" w:rsidRDefault="00000000" w:rsidRPr="00000000" w14:paraId="0000023B">
      <w:pPr>
        <w:pageBreakBefore w:val="0"/>
        <w:jc w:val="both"/>
        <w:rPr>
          <w:b w:val="1"/>
          <w:bCs w:val="1"/>
        </w:rPr>
      </w:pPr>
      <w:r w:rsidDel="00000000" w:rsidR="00000000" w:rsidRPr="00000000">
        <w:rPr>
          <w:rtl w:val="0"/>
        </w:rPr>
      </w:r>
    </w:p>
    <w:p w:rsidR="00000000" w:rsidDel="00000000" w:rsidP="00000000" w:rsidRDefault="00000000" w:rsidRPr="00000000" w14:paraId="0000023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3E">
      <w:pPr>
        <w:pageBreakBefore w:val="0"/>
        <w:jc w:val="both"/>
        <w:rPr/>
      </w:pPr>
      <w:r w:rsidDel="00000000" w:rsidR="00000000" w:rsidRPr="00000000">
        <w:rPr>
          <w:rtl w:val="0"/>
        </w:rPr>
      </w:r>
    </w:p>
    <w:p w:rsidR="00000000" w:rsidDel="00000000" w:rsidP="00000000" w:rsidRDefault="00000000" w:rsidRPr="00000000" w14:paraId="0000023F">
      <w:pPr>
        <w:pageBreakBefore w:val="0"/>
        <w:jc w:val="both"/>
        <w:rPr/>
      </w:pPr>
      <w:r w:rsidDel="00000000" w:rsidR="00000000" w:rsidRPr="00000000">
        <w:rPr>
          <w:rtl w:val="0"/>
        </w:rPr>
        <w:t xml:space="preserve">In conclusion, </w:t>
      </w:r>
      <w:r w:rsidDel="00000000" w:rsidR="00000000" w:rsidRPr="00000000">
        <w:rPr>
          <w:rtl w:val="0"/>
        </w:rPr>
        <w:t xml:space="preserve">Niger</w:t>
      </w:r>
      <w:r w:rsidDel="00000000" w:rsidR="00000000" w:rsidRPr="00000000">
        <w:rPr>
          <w:rtl w:val="0"/>
        </w:rPr>
        <w:t xml:space="preserve"> has demonstrated a low level of economic growth in terms of annual GDP increase during the period from 2019 to 2022, concurrent with an increase in economic complexity as compared with major developing economies.</w:t>
      </w:r>
    </w:p>
    <w:p w:rsidR="00000000" w:rsidDel="00000000" w:rsidP="00000000" w:rsidRDefault="00000000" w:rsidRPr="00000000" w14:paraId="00000240">
      <w:pPr>
        <w:pageBreakBefore w:val="0"/>
        <w:jc w:val="both"/>
        <w:rPr/>
      </w:pPr>
      <w:r w:rsidDel="00000000" w:rsidR="00000000" w:rsidRPr="00000000">
        <w:rPr>
          <w:rtl w:val="0"/>
        </w:rPr>
      </w:r>
    </w:p>
    <w:p w:rsidR="00000000" w:rsidDel="00000000" w:rsidP="00000000" w:rsidRDefault="00000000" w:rsidRPr="00000000" w14:paraId="00000241">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Niger</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Niger</w:t>
      </w:r>
      <w:r w:rsidDel="00000000" w:rsidR="00000000" w:rsidRPr="00000000">
        <w:rPr>
          <w:rtl w:val="0"/>
        </w:rPr>
        <w:t xml:space="preserve"> progressed in developing </w:t>
      </w:r>
      <w:r w:rsidDel="00000000" w:rsidR="00000000" w:rsidRPr="00000000">
        <w:rPr>
          <w:rtl w:val="0"/>
        </w:rPr>
        <w:t xml:space="preserve">most of its industries during the period, while its developing counterparts and emerging economies around the globe adopted similarly complex and progressive paths.</w:t>
      </w:r>
      <w:r w:rsidDel="00000000" w:rsidR="00000000" w:rsidRPr="00000000">
        <w:rPr>
          <w:rtl w:val="0"/>
        </w:rPr>
      </w:r>
    </w:p>
    <w:p w:rsidR="00000000" w:rsidDel="00000000" w:rsidP="00000000" w:rsidRDefault="00000000" w:rsidRPr="00000000" w14:paraId="00000242">
      <w:pPr>
        <w:pageBreakBefore w:val="0"/>
        <w:jc w:val="both"/>
        <w:rPr/>
      </w:pPr>
      <w:r w:rsidDel="00000000" w:rsidR="00000000" w:rsidRPr="00000000">
        <w:rPr>
          <w:rtl w:val="0"/>
        </w:rPr>
      </w:r>
    </w:p>
    <w:p w:rsidR="00000000" w:rsidDel="00000000" w:rsidP="00000000" w:rsidRDefault="00000000" w:rsidRPr="00000000" w14:paraId="00000243">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Niger</w:t>
      </w:r>
      <w:r w:rsidDel="00000000" w:rsidR="00000000" w:rsidRPr="00000000">
        <w:rPr>
          <w:rtl w:val="0"/>
        </w:rPr>
        <w:t xml:space="preserve"> can further its gains by prioritizing Energy Drilling and Mining, Precious Stones, and Metals. We further note that </w:t>
      </w:r>
      <w:r w:rsidDel="00000000" w:rsidR="00000000" w:rsidRPr="00000000">
        <w:rPr>
          <w:rtl w:val="0"/>
        </w:rPr>
        <w:t xml:space="preserve">Niger</w:t>
      </w:r>
      <w:r w:rsidDel="00000000" w:rsidR="00000000" w:rsidRPr="00000000">
        <w:rPr>
          <w:rtl w:val="0"/>
        </w:rPr>
        <w:t xml:space="preserve"> has a balanced developmental strategy that indicates a high level (compared to other </w:t>
      </w:r>
      <w:r w:rsidDel="00000000" w:rsidR="00000000" w:rsidRPr="00000000">
        <w:rPr>
          <w:rtl w:val="0"/>
        </w:rPr>
        <w:t xml:space="preserve">develop</w:t>
      </w:r>
      <w:r w:rsidDel="00000000" w:rsidR="00000000" w:rsidRPr="00000000">
        <w:rPr>
          <w:rtl w:val="0"/>
        </w:rPr>
        <w:t xml:space="preserve">ing countries) of structural optimality on the complexity level, having an adjusted R-square of around 0.716. Since a high correlation exists between five-year GDP growth and the structural optimality index of an economy as we define and calculate, </w:t>
      </w:r>
      <w:r w:rsidDel="00000000" w:rsidR="00000000" w:rsidRPr="00000000">
        <w:rPr>
          <w:rtl w:val="0"/>
        </w:rPr>
        <w:t xml:space="preserve">Niger</w:t>
      </w:r>
      <w:r w:rsidDel="00000000" w:rsidR="00000000" w:rsidRPr="00000000">
        <w:rPr>
          <w:rtl w:val="0"/>
        </w:rPr>
        <w:t xml:space="preserve"> indeed has a near-optimal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44">
      <w:pPr>
        <w:pageBreakBefore w:val="0"/>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During the period from 2019 to 2022, </w:t>
      </w:r>
      <w:r w:rsidDel="00000000" w:rsidR="00000000" w:rsidRPr="00000000">
        <w:rPr>
          <w:rtl w:val="0"/>
        </w:rPr>
        <w:t xml:space="preserve">Niger</w:t>
      </w:r>
      <w:r w:rsidDel="00000000" w:rsidR="00000000" w:rsidRPr="00000000">
        <w:rPr>
          <w:rtl w:val="0"/>
        </w:rPr>
        <w:t xml:space="preserve"> performed better when compared to other countries, particularly Nigeria. We infer that during the  COVID-19 period, Niger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Niger</w:t>
      </w:r>
      <w:r w:rsidDel="00000000" w:rsidR="00000000" w:rsidRPr="00000000">
        <w:rPr>
          <w:rtl w:val="0"/>
        </w:rPr>
        <w:t xml:space="preserve"> has increased its investment in the sectors identified earlier, leading to a strong boost from Energy Drilling and Mining. It did invest in the industries which contributed the most to its advancements, such as the Wood Products industry. With the revised focus, </w:t>
      </w:r>
      <w:r w:rsidDel="00000000" w:rsidR="00000000" w:rsidRPr="00000000">
        <w:rPr>
          <w:rtl w:val="0"/>
        </w:rPr>
        <w:t xml:space="preserve">Niger</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p>
    <w:p w:rsidR="00000000" w:rsidDel="00000000" w:rsidP="00000000" w:rsidRDefault="00000000" w:rsidRPr="00000000" w14:paraId="00000246">
      <w:pPr>
        <w:pageBreakBefore w:val="0"/>
        <w:jc w:val="both"/>
        <w:rPr/>
      </w:pPr>
      <w:r w:rsidDel="00000000" w:rsidR="00000000" w:rsidRPr="00000000">
        <w:rPr>
          <w:rtl w:val="0"/>
        </w:rPr>
      </w:r>
    </w:p>
    <w:p w:rsidR="00000000" w:rsidDel="00000000" w:rsidP="00000000" w:rsidRDefault="00000000" w:rsidRPr="00000000" w14:paraId="00000247">
      <w:pPr>
        <w:pageBreakBefore w:val="0"/>
        <w:jc w:val="both"/>
        <w:rPr/>
      </w:pPr>
      <w:r w:rsidDel="00000000" w:rsidR="00000000" w:rsidRPr="00000000">
        <w:rPr>
          <w:rtl w:val="0"/>
        </w:rPr>
      </w:r>
    </w:p>
    <w:p w:rsidR="00000000" w:rsidDel="00000000" w:rsidP="00000000" w:rsidRDefault="00000000" w:rsidRPr="00000000" w14:paraId="00000248">
      <w:pPr>
        <w:pageBreakBefore w:val="0"/>
        <w:jc w:val="both"/>
        <w:rPr/>
      </w:pPr>
      <w:r w:rsidDel="00000000" w:rsidR="00000000" w:rsidRPr="00000000">
        <w:rPr>
          <w:rtl w:val="0"/>
        </w:rPr>
      </w:r>
    </w:p>
    <w:p w:rsidR="00000000" w:rsidDel="00000000" w:rsidP="00000000" w:rsidRDefault="00000000" w:rsidRPr="00000000" w14:paraId="00000249">
      <w:pPr>
        <w:pageBreakBefore w:val="0"/>
        <w:jc w:val="both"/>
        <w:rPr/>
      </w:pPr>
      <w:r w:rsidDel="00000000" w:rsidR="00000000" w:rsidRPr="00000000">
        <w:rPr>
          <w:rtl w:val="0"/>
        </w:rPr>
      </w:r>
    </w:p>
    <w:p w:rsidR="00000000" w:rsidDel="00000000" w:rsidP="00000000" w:rsidRDefault="00000000" w:rsidRPr="00000000" w14:paraId="0000024A">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4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4E">
      <w:pPr>
        <w:pageBreakBefore w:val="0"/>
        <w:jc w:val="both"/>
        <w:rPr>
          <w:color w:val="000000"/>
          <w:highlight w:val="white"/>
        </w:rPr>
      </w:pPr>
      <w:r w:rsidDel="00000000" w:rsidR="00000000" w:rsidRPr="00000000">
        <w:rPr>
          <w:rtl w:val="0"/>
        </w:rPr>
      </w:r>
    </w:p>
    <w:p w:rsidR="00000000" w:rsidDel="00000000" w:rsidP="00000000" w:rsidRDefault="00000000" w:rsidRPr="00000000" w14:paraId="0000024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50">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52">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54">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5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58">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5A">
      <w:pPr>
        <w:pageBreakBefore w:val="0"/>
        <w:jc w:val="both"/>
        <w:rPr>
          <w:color w:val="000000"/>
          <w:highlight w:val="white"/>
        </w:rPr>
      </w:pPr>
      <w:r w:rsidDel="00000000" w:rsidR="00000000" w:rsidRPr="00000000">
        <w:rPr>
          <w:rtl w:val="0"/>
        </w:rPr>
      </w:r>
    </w:p>
    <w:p w:rsidR="00000000" w:rsidDel="00000000" w:rsidP="00000000" w:rsidRDefault="00000000" w:rsidRPr="00000000" w14:paraId="0000025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5C">
      <w:pPr>
        <w:pageBreakBefore w:val="0"/>
        <w:jc w:val="both"/>
        <w:rPr/>
      </w:pPr>
      <w:r w:rsidDel="00000000" w:rsidR="00000000" w:rsidRPr="00000000">
        <w:rPr>
          <w:rtl w:val="0"/>
        </w:rPr>
      </w:r>
    </w:p>
    <w:sectPr>
      <w:headerReference r:id="rId23" w:type="default"/>
      <w:footerReference r:id="rId24" w:type="default"/>
      <w:footerReference r:id="rId25" w:type="first"/>
      <w:footerReference r:id="rId2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11.png"/><Relationship Id="rId11" Type="http://schemas.openxmlformats.org/officeDocument/2006/relationships/image" Target="media/image17.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2.jpg"/><Relationship Id="rId16" Type="http://schemas.openxmlformats.org/officeDocument/2006/relationships/image" Target="media/image1.jpg"/><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