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5" name="image4.png"/>
            <a:graphic>
              <a:graphicData uri="http://schemas.openxmlformats.org/drawingml/2006/picture">
                <pic:pic>
                  <pic:nvPicPr>
                    <pic:cNvPr descr="horizontal line" id="0" name="image4.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7"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[South Africa ]</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16"/>
          <w:szCs w:val="16"/>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South Africa </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South Africa </w:t>
      </w:r>
      <w:r w:rsidDel="00000000" w:rsidR="00000000" w:rsidRPr="00000000">
        <w:rPr>
          <w:rtl w:val="0"/>
        </w:rPr>
        <w:t xml:space="preserve"> went through during the period from 2013 to 2022. Specifically, we dive into the topic through a macroeconomic overview of </w:t>
      </w:r>
      <w:r w:rsidDel="00000000" w:rsidR="00000000" w:rsidRPr="00000000">
        <w:rPr>
          <w:rtl w:val="0"/>
        </w:rPr>
        <w:t xml:space="preserve">South Africa </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South Africa </w:t>
      </w:r>
      <w:r w:rsidDel="00000000" w:rsidR="00000000" w:rsidRPr="00000000">
        <w:rPr>
          <w:rtl w:val="0"/>
        </w:rPr>
        <w:t xml:space="preserve"> demonstrated a low level of economic growth with an average annual GDP growth rate of 3.39% between 2013 and 2018 and 1.42% between 2019 and 2022, with decreased economic complexity compared to other major emerging economies. </w:t>
      </w:r>
    </w:p>
    <w:p w:rsidR="00000000" w:rsidDel="00000000" w:rsidP="00000000" w:rsidRDefault="00000000" w:rsidRPr="00000000" w14:paraId="0000000F">
      <w:pPr>
        <w:pageBreakBefore w:val="0"/>
        <w:jc w:val="both"/>
        <w:rPr>
          <w:b w:val="1"/>
          <w:bCs w:val="1"/>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w:t>
      </w:r>
      <w:r w:rsidDel="00000000" w:rsidR="00000000" w:rsidRPr="00000000">
        <w:rPr>
          <w:rtl w:val="0"/>
        </w:rPr>
        <w:t xml:space="preserve">South Africa </w:t>
      </w:r>
      <w:r w:rsidDel="00000000" w:rsidR="00000000" w:rsidRPr="00000000">
        <w:rPr>
          <w:rtl w:val="0"/>
        </w:rPr>
        <w:t xml:space="preserve"> on the industry group level, as well as the stagnant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South Africa </w:t>
      </w:r>
      <w:r w:rsidDel="00000000" w:rsidR="00000000" w:rsidRPr="00000000">
        <w:rPr>
          <w:rtl w:val="0"/>
        </w:rPr>
        <w:t xml:space="preserve"> regressed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South Africa </w:t>
      </w:r>
      <w:r w:rsidDel="00000000" w:rsidR="00000000" w:rsidRPr="00000000">
        <w:rPr>
          <w:rtl w:val="0"/>
        </w:rPr>
        <w:t xml:space="preserve"> could further its gains by prioritizing Weapons, Precious Stones, and Raw Manufacturing in 2018. Four years later, in 2022, its focus should shift to the High Tech and Energy Drilling and Mining industries, which are also one of the more developed industries at the time. We further note that </w:t>
      </w:r>
      <w:r w:rsidDel="00000000" w:rsidR="00000000" w:rsidRPr="00000000">
        <w:rPr>
          <w:rtl w:val="0"/>
        </w:rPr>
        <w:t xml:space="preserve">South Africa </w:t>
      </w:r>
      <w:r w:rsidDel="00000000" w:rsidR="00000000" w:rsidRPr="00000000">
        <w:rPr>
          <w:rtl w:val="0"/>
        </w:rPr>
        <w:t xml:space="preserve"> has a heavily mismatched development strategy that indicates a low level (compared to other </w:t>
      </w:r>
      <w:r w:rsidDel="00000000" w:rsidR="00000000" w:rsidRPr="00000000">
        <w:rPr>
          <w:rtl w:val="0"/>
        </w:rPr>
        <w:t xml:space="preserve">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-1.7% </w:t>
      </w:r>
      <w:r w:rsidDel="00000000" w:rsidR="00000000" w:rsidRPr="00000000">
        <w:rPr>
          <w:rtl w:val="0"/>
        </w:rPr>
        <w:t xml:space="preserve">in 2018 and a much higher score of -0.4% in 2022, demonstrating a shift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South Africa </w:t>
      </w:r>
      <w:r w:rsidDel="00000000" w:rsidR="00000000" w:rsidRPr="00000000">
        <w:rPr>
          <w:rtl w:val="0"/>
        </w:rPr>
        <w:t xml:space="preserve"> indeed has a</w:t>
      </w:r>
      <w:r w:rsidDel="00000000" w:rsidR="00000000" w:rsidRPr="00000000">
        <w:rPr>
          <w:rtl w:val="0"/>
        </w:rPr>
        <w:t xml:space="preserve"> </w:t>
      </w:r>
      <w:r w:rsidDel="00000000" w:rsidR="00000000" w:rsidRPr="00000000">
        <w:rPr>
          <w:rtl w:val="0"/>
        </w:rPr>
        <w:t xml:space="preserve">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four years between 2019 and 2022 showed a significant improvement in </w:t>
      </w:r>
      <w:r w:rsidDel="00000000" w:rsidR="00000000" w:rsidRPr="00000000">
        <w:rPr>
          <w:rtl w:val="0"/>
        </w:rPr>
        <w:t xml:space="preserve">South Africa </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South Africa </w:t>
      </w:r>
      <w:r w:rsidDel="00000000" w:rsidR="00000000" w:rsidRPr="00000000">
        <w:rPr>
          <w:rtl w:val="0"/>
        </w:rPr>
        <w:t xml:space="preserve"> went through during the period from 2019 to 2022, before and after the COVID pandemic, compared to its performance from 2013 to 2018, before and after the COVID pandemic. Specifically, we dive into the topic through a macroeconomic overview of </w:t>
      </w:r>
      <w:r w:rsidDel="00000000" w:rsidR="00000000" w:rsidRPr="00000000">
        <w:rPr>
          <w:rtl w:val="0"/>
        </w:rPr>
        <w:t xml:space="preserve">South Africa </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South Africa </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South Africa </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20">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South Africa </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Nigeria</w:t>
      </w:r>
      <w:r w:rsidDel="00000000" w:rsidR="00000000" w:rsidRPr="00000000">
        <w:rPr>
          <w:rtl w:val="0"/>
        </w:rPr>
        <w:t xml:space="preserve"> and </w:t>
      </w:r>
      <w:r w:rsidDel="00000000" w:rsidR="00000000" w:rsidRPr="00000000">
        <w:rPr>
          <w:rtl w:val="0"/>
        </w:rPr>
        <w:t xml:space="preserve">Senegal</w:t>
      </w:r>
      <w:r w:rsidDel="00000000" w:rsidR="00000000" w:rsidRPr="00000000">
        <w:rPr>
          <w:rtl w:val="0"/>
        </w:rPr>
        <w:t xml:space="preserve">) from 2013 to 2018. Similar to the other countries, </w:t>
      </w:r>
      <w:r w:rsidDel="00000000" w:rsidR="00000000" w:rsidRPr="00000000">
        <w:rPr>
          <w:rtl w:val="0"/>
        </w:rPr>
        <w:t xml:space="preserve">South Africa  </w:t>
      </w:r>
      <w:r w:rsidDel="00000000" w:rsidR="00000000" w:rsidRPr="00000000">
        <w:rPr>
          <w:rtl w:val="0"/>
        </w:rPr>
        <w:t xml:space="preserve">displayed an eventual upward trend over the period; however, its growth was less consistent than both Kenya and</w:t>
      </w:r>
      <w:r w:rsidDel="00000000" w:rsidR="00000000" w:rsidRPr="00000000">
        <w:rPr>
          <w:rtl w:val="0"/>
        </w:rPr>
        <w:t xml:space="preserve"> Senegal</w:t>
      </w:r>
      <w:r w:rsidDel="00000000" w:rsidR="00000000" w:rsidRPr="00000000">
        <w:rPr>
          <w:rtl w:val="0"/>
        </w:rPr>
        <w:t xml:space="preserve">’s growth. </w:t>
      </w:r>
      <w:r w:rsidDel="00000000" w:rsidR="00000000" w:rsidRPr="00000000">
        <w:rPr>
          <w:rtl w:val="0"/>
        </w:rPr>
        <w:t xml:space="preserve">South Africa </w:t>
      </w:r>
      <w:r w:rsidDel="00000000" w:rsidR="00000000" w:rsidRPr="00000000">
        <w:rPr>
          <w:rtl w:val="0"/>
        </w:rPr>
        <w:t xml:space="preserve">’s average annual GDP growth rate (1.42%) is in the middle, as it is greater than </w:t>
      </w:r>
      <w:r w:rsidDel="00000000" w:rsidR="00000000" w:rsidRPr="00000000">
        <w:rPr>
          <w:rtl w:val="0"/>
        </w:rPr>
        <w:t xml:space="preserve">Nigeria</w:t>
      </w:r>
      <w:r w:rsidDel="00000000" w:rsidR="00000000" w:rsidRPr="00000000">
        <w:rPr>
          <w:rtl w:val="0"/>
        </w:rPr>
        <w:t xml:space="preserve">’s rate (0.3%) but less than</w:t>
      </w:r>
      <w:r w:rsidDel="00000000" w:rsidR="00000000" w:rsidRPr="00000000">
        <w:rPr>
          <w:rtl w:val="0"/>
        </w:rPr>
        <w:t xml:space="preserve"> Senegal</w:t>
      </w:r>
      <w:r w:rsidDel="00000000" w:rsidR="00000000" w:rsidRPr="00000000">
        <w:rPr>
          <w:rtl w:val="0"/>
        </w:rPr>
        <w:t xml:space="preserve">’s rate (4.4%).</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rtl w:val="0"/>
        </w:rPr>
        <w:t xml:space="preserve">Figure 1b shows the GDP levels for </w:t>
      </w:r>
      <w:r w:rsidDel="00000000" w:rsidR="00000000" w:rsidRPr="00000000">
        <w:rPr>
          <w:rtl w:val="0"/>
        </w:rPr>
        <w:t xml:space="preserve">South Africa </w:t>
      </w:r>
      <w:r w:rsidDel="00000000" w:rsidR="00000000" w:rsidRPr="00000000">
        <w:rPr>
          <w:rtl w:val="0"/>
        </w:rPr>
        <w:t xml:space="preserve"> and its peer countries (</w:t>
      </w:r>
      <w:r w:rsidDel="00000000" w:rsidR="00000000" w:rsidRPr="00000000">
        <w:rPr>
          <w:rtl w:val="0"/>
        </w:rPr>
        <w:t xml:space="preserve">Nigeria</w:t>
      </w:r>
      <w:r w:rsidDel="00000000" w:rsidR="00000000" w:rsidRPr="00000000">
        <w:rPr>
          <w:rtl w:val="0"/>
        </w:rPr>
        <w:t xml:space="preserve">, </w:t>
      </w:r>
      <w:r w:rsidDel="00000000" w:rsidR="00000000" w:rsidRPr="00000000">
        <w:rPr>
          <w:rtl w:val="0"/>
        </w:rPr>
        <w:t xml:space="preserve">Senegal</w:t>
      </w:r>
      <w:r w:rsidDel="00000000" w:rsidR="00000000" w:rsidRPr="00000000">
        <w:rPr>
          <w:rtl w:val="0"/>
        </w:rPr>
        <w:t xml:space="preserve">, and </w:t>
      </w:r>
      <w:r w:rsidDel="00000000" w:rsidR="00000000" w:rsidRPr="00000000">
        <w:rPr>
          <w:rtl w:val="0"/>
        </w:rPr>
        <w:t xml:space="preserve">Kenya</w:t>
      </w:r>
      <w:r w:rsidDel="00000000" w:rsidR="00000000" w:rsidRPr="00000000">
        <w:rPr>
          <w:rtl w:val="0"/>
        </w:rPr>
        <w:t xml:space="preserve">) from 2019 to 2022. Similar to the other countries, </w:t>
      </w:r>
      <w:r w:rsidDel="00000000" w:rsidR="00000000" w:rsidRPr="00000000">
        <w:rPr>
          <w:rtl w:val="0"/>
        </w:rPr>
        <w:t xml:space="preserve">South Africa </w:t>
      </w:r>
      <w:r w:rsidDel="00000000" w:rsidR="00000000" w:rsidRPr="00000000">
        <w:rPr>
          <w:rtl w:val="0"/>
        </w:rPr>
        <w:t xml:space="preserve"> displayed a drop in GDP from 2019 to 2020 because of the pandemic, with all GDPs rebounding in 2022. Over these four years, </w:t>
      </w:r>
      <w:r w:rsidDel="00000000" w:rsidR="00000000" w:rsidRPr="00000000">
        <w:rPr>
          <w:rtl w:val="0"/>
        </w:rPr>
        <w:t xml:space="preserve">South Africa </w:t>
      </w:r>
      <w:r w:rsidDel="00000000" w:rsidR="00000000" w:rsidRPr="00000000">
        <w:rPr>
          <w:rtl w:val="0"/>
        </w:rPr>
        <w:t xml:space="preserve">’s average annual GDP growth rate (1.94%) is in the middle</w:t>
      </w:r>
      <w:r w:rsidDel="00000000" w:rsidR="00000000" w:rsidRPr="00000000">
        <w:rPr>
          <w:rtl w:val="0"/>
        </w:rPr>
        <w:t xml:space="preserve">,</w:t>
      </w:r>
      <w:r w:rsidDel="00000000" w:rsidR="00000000" w:rsidRPr="00000000">
        <w:rPr>
          <w:rtl w:val="0"/>
        </w:rPr>
        <w:t xml:space="preserve"> as it is greater than </w:t>
      </w:r>
      <w:r w:rsidDel="00000000" w:rsidR="00000000" w:rsidRPr="00000000">
        <w:rPr>
          <w:rtl w:val="0"/>
        </w:rPr>
        <w:t xml:space="preserve">Nigeria</w:t>
      </w:r>
      <w:r w:rsidDel="00000000" w:rsidR="00000000" w:rsidRPr="00000000">
        <w:rPr>
          <w:rtl w:val="0"/>
        </w:rPr>
        <w:t xml:space="preserve">’s rate (0.3%) but less than </w:t>
      </w:r>
      <w:r w:rsidDel="00000000" w:rsidR="00000000" w:rsidRPr="00000000">
        <w:rPr>
          <w:rtl w:val="0"/>
        </w:rPr>
        <w:t xml:space="preserve">Senegal</w:t>
      </w:r>
      <w:r w:rsidDel="00000000" w:rsidR="00000000" w:rsidRPr="00000000">
        <w:rPr>
          <w:rtl w:val="0"/>
        </w:rPr>
        <w:t xml:space="preserve">’s (4.4%) and </w:t>
      </w:r>
      <w:r w:rsidDel="00000000" w:rsidR="00000000" w:rsidRPr="00000000">
        <w:rPr>
          <w:rtl w:val="0"/>
        </w:rPr>
        <w:t xml:space="preserve">Kenya</w:t>
      </w:r>
      <w:r w:rsidDel="00000000" w:rsidR="00000000" w:rsidRPr="00000000">
        <w:rPr>
          <w:rtl w:val="0"/>
        </w:rPr>
        <w:t xml:space="preserve">’s rates (3.16%). It is notable that the GDP levels in Senegal and Kenya almost evened out after 2018.</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rPr>
          <w:i w:val="1"/>
          <w:iCs w:val="1"/>
          <w:color w:val="444499"/>
          <w:sz w:val="20"/>
          <w:szCs w:val="20"/>
        </w:rPr>
      </w:pPr>
      <w:r w:rsidDel="00000000" w:rsidR="00000000" w:rsidRPr="00000000">
        <w:rPr/>
        <w:drawing>
          <wp:inline distB="114300" distT="114300" distL="114300" distR="114300">
            <wp:extent cx="3035300" cy="1206694"/>
            <wp:effectExtent b="0" l="0" r="0" t="0"/>
            <wp:docPr id="3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035300" cy="1206694"/>
                    </a:xfrm>
                    <a:prstGeom prst="rect"/>
                    <a:ln/>
                  </pic:spPr>
                </pic:pic>
              </a:graphicData>
            </a:graphic>
          </wp:inline>
        </w:drawing>
      </w:r>
      <w:r w:rsidDel="00000000" w:rsidR="00000000" w:rsidRPr="00000000">
        <w:rPr/>
        <w:drawing>
          <wp:inline distB="114300" distT="114300" distL="114300" distR="114300">
            <wp:extent cx="2425700" cy="1847950"/>
            <wp:effectExtent b="0" l="0" r="0" t="0"/>
            <wp:docPr id="2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25700" cy="18479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2019-2022)</w:t>
      </w:r>
    </w:p>
    <w:p w:rsidR="00000000" w:rsidDel="00000000" w:rsidP="00000000" w:rsidRDefault="00000000" w:rsidRPr="00000000" w14:paraId="00000026">
      <w:pPr>
        <w:pageBreakBefore w:val="0"/>
        <w:jc w:val="left"/>
        <w:rPr/>
      </w:pPr>
      <w:r w:rsidDel="00000000" w:rsidR="00000000" w:rsidRPr="00000000">
        <w:rPr>
          <w:rtl w:val="0"/>
        </w:rPr>
      </w:r>
    </w:p>
    <w:p w:rsidR="00000000" w:rsidDel="00000000" w:rsidP="00000000" w:rsidRDefault="00000000" w:rsidRPr="00000000" w14:paraId="00000027">
      <w:pPr>
        <w:pageBreakBefore w:val="0"/>
        <w:jc w:val="left"/>
        <w:rPr/>
      </w:pPr>
      <w:r w:rsidDel="00000000" w:rsidR="00000000" w:rsidRPr="00000000">
        <w:rPr>
          <w:rtl w:val="0"/>
        </w:rPr>
      </w:r>
    </w:p>
    <w:p w:rsidR="00000000" w:rsidDel="00000000" w:rsidP="00000000" w:rsidRDefault="00000000" w:rsidRPr="00000000" w14:paraId="00000028">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9">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As shown, </w:t>
      </w:r>
      <w:r w:rsidDel="00000000" w:rsidR="00000000" w:rsidRPr="00000000">
        <w:rPr>
          <w:rtl w:val="0"/>
        </w:rPr>
        <w:t xml:space="preserve">South Africa </w:t>
      </w:r>
      <w:r w:rsidDel="00000000" w:rsidR="00000000" w:rsidRPr="00000000">
        <w:rPr>
          <w:rtl w:val="0"/>
        </w:rPr>
        <w:t xml:space="preserve"> exhibits a</w:t>
      </w:r>
      <w:r w:rsidDel="00000000" w:rsidR="00000000" w:rsidRPr="00000000">
        <w:rPr>
          <w:rtl w:val="0"/>
        </w:rPr>
        <w:t xml:space="preserve"> </w:t>
      </w:r>
      <w:r w:rsidDel="00000000" w:rsidR="00000000" w:rsidRPr="00000000">
        <w:rPr>
          <w:rtl w:val="0"/>
        </w:rPr>
        <w:t xml:space="preserve">mild decrease in terms of</w:t>
      </w:r>
      <w:r w:rsidDel="00000000" w:rsidR="00000000" w:rsidRPr="00000000">
        <w:rPr>
          <w:rtl w:val="0"/>
        </w:rPr>
        <w:t xml:space="preserve"> production</w:t>
      </w:r>
      <w:r w:rsidDel="00000000" w:rsidR="00000000" w:rsidRPr="00000000">
        <w:rPr>
          <w:rtl w:val="0"/>
        </w:rPr>
        <w:t xml:space="preserve"> capability from 2013 to 2018. </w:t>
      </w:r>
      <w:r w:rsidDel="00000000" w:rsidR="00000000" w:rsidRPr="00000000">
        <w:rPr>
          <w:rtl w:val="0"/>
        </w:rPr>
        <w:t xml:space="preserve">South Africa </w:t>
      </w:r>
      <w:r w:rsidDel="00000000" w:rsidR="00000000" w:rsidRPr="00000000">
        <w:rPr>
          <w:rtl w:val="0"/>
        </w:rPr>
        <w:t xml:space="preserve">is in a weak position in ECI terms, as its ECI change of 171.16% is greater than Nigeria’s (115.09%), but less than both </w:t>
      </w:r>
      <w:r w:rsidDel="00000000" w:rsidR="00000000" w:rsidRPr="00000000">
        <w:rPr>
          <w:rtl w:val="0"/>
        </w:rPr>
        <w:t xml:space="preserve">Senegal</w:t>
      </w:r>
      <w:r w:rsidDel="00000000" w:rsidR="00000000" w:rsidRPr="00000000">
        <w:rPr>
          <w:rtl w:val="0"/>
        </w:rPr>
        <w:t xml:space="preserve"> (191.47%) and</w:t>
      </w:r>
      <w:r w:rsidDel="00000000" w:rsidR="00000000" w:rsidRPr="00000000">
        <w:rPr>
          <w:rtl w:val="0"/>
        </w:rPr>
        <w:t xml:space="preserve"> </w:t>
      </w:r>
      <w:r w:rsidDel="00000000" w:rsidR="00000000" w:rsidRPr="00000000">
        <w:rPr>
          <w:rtl w:val="0"/>
        </w:rPr>
        <w:t xml:space="preserve">Kenya (195.65%).</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2022.</w:t>
      </w:r>
      <w:r w:rsidDel="00000000" w:rsidR="00000000" w:rsidRPr="00000000">
        <w:rPr>
          <w:rtl w:val="0"/>
        </w:rPr>
        <w:t xml:space="preserve"> South Africa </w:t>
      </w:r>
      <w:r w:rsidDel="00000000" w:rsidR="00000000" w:rsidRPr="00000000">
        <w:rPr>
          <w:rtl w:val="0"/>
        </w:rPr>
        <w:t xml:space="preserve"> exhibits a large increase in production capability in 2022 to levels not seen prior, with extensive</w:t>
      </w:r>
      <w:r w:rsidDel="00000000" w:rsidR="00000000" w:rsidRPr="00000000">
        <w:rPr>
          <w:rtl w:val="0"/>
        </w:rPr>
        <w:t xml:space="preserve"> microeconomic stimulus packages</w:t>
      </w:r>
      <w:r w:rsidDel="00000000" w:rsidR="00000000" w:rsidRPr="00000000">
        <w:rPr>
          <w:rtl w:val="0"/>
        </w:rPr>
        <w:t xml:space="preserve"> being one of the reasons. </w:t>
      </w:r>
      <w:r w:rsidDel="00000000" w:rsidR="00000000" w:rsidRPr="00000000">
        <w:rPr>
          <w:rtl w:val="0"/>
        </w:rPr>
        <w:t xml:space="preserve">South Africa </w:t>
      </w:r>
      <w:r w:rsidDel="00000000" w:rsidR="00000000" w:rsidRPr="00000000">
        <w:rPr>
          <w:rtl w:val="0"/>
        </w:rPr>
        <w:t xml:space="preserve"> has seen a 171.16% increase in its ECI, which is greater than Nigeria’s (115.09%), but less than both </w:t>
      </w:r>
      <w:r w:rsidDel="00000000" w:rsidR="00000000" w:rsidRPr="00000000">
        <w:rPr>
          <w:rtl w:val="0"/>
        </w:rPr>
        <w:t xml:space="preserve">Senegal</w:t>
      </w:r>
      <w:r w:rsidDel="00000000" w:rsidR="00000000" w:rsidRPr="00000000">
        <w:rPr>
          <w:rtl w:val="0"/>
        </w:rPr>
        <w:t xml:space="preserve"> (191.47%) and</w:t>
      </w:r>
      <w:r w:rsidDel="00000000" w:rsidR="00000000" w:rsidRPr="00000000">
        <w:rPr>
          <w:rtl w:val="0"/>
        </w:rPr>
        <w:t xml:space="preserve"> </w:t>
      </w:r>
      <w:r w:rsidDel="00000000" w:rsidR="00000000" w:rsidRPr="00000000">
        <w:rPr>
          <w:rtl w:val="0"/>
        </w:rPr>
        <w:t xml:space="preserve">Kenya (195.65%).</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left"/>
        <w:rPr/>
      </w:pPr>
      <w:r w:rsidDel="00000000" w:rsidR="00000000" w:rsidRPr="00000000">
        <w:rPr/>
        <w:drawing>
          <wp:inline distB="114300" distT="114300" distL="114300" distR="114300">
            <wp:extent cx="2753916" cy="1500188"/>
            <wp:effectExtent b="0" l="0" r="0" t="0"/>
            <wp:docPr id="28"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753916" cy="15001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49779" cy="1768475"/>
            <wp:effectExtent b="0" l="0" r="0" t="0"/>
            <wp:docPr id="2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349779" cy="17684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2019-2022) </w:t>
      </w:r>
      <w:r w:rsidDel="00000000" w:rsidR="00000000" w:rsidRPr="00000000">
        <w:rPr>
          <w:rtl w:val="0"/>
        </w:rPr>
        <w:t xml:space="preserve">                        </w:t>
      </w:r>
    </w:p>
    <w:p w:rsidR="00000000" w:rsidDel="00000000" w:rsidP="00000000" w:rsidRDefault="00000000" w:rsidRPr="00000000" w14:paraId="00000031">
      <w:pPr>
        <w:pageBreakBefore w:val="0"/>
        <w:jc w:val="left"/>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Figures 3a and 3b offer a further comparison of GDP Growth and ECI over the time span from 2013 to 2022 for </w:t>
      </w:r>
      <w:r w:rsidDel="00000000" w:rsidR="00000000" w:rsidRPr="00000000">
        <w:rPr>
          <w:rtl w:val="0"/>
        </w:rPr>
        <w:t xml:space="preserve">South Africa </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2022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South Africa </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South Africa </w:t>
      </w:r>
      <w:r w:rsidDel="00000000" w:rsidR="00000000" w:rsidRPr="00000000">
        <w:rPr>
          <w:rtl w:val="0"/>
        </w:rPr>
        <w:t xml:space="preserve"> made </w:t>
      </w:r>
      <w:r w:rsidDel="00000000" w:rsidR="00000000" w:rsidRPr="00000000">
        <w:rPr>
          <w:rtl w:val="0"/>
        </w:rPr>
        <w:t xml:space="preserv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2022,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South Africa </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jc w:val="center"/>
        <w:rPr>
          <w:b w:val="0"/>
          <w:bCs w:val="0"/>
          <w:i w:val="1"/>
          <w:iCs w:val="1"/>
          <w:color w:val="444499"/>
          <w:sz w:val="20"/>
          <w:szCs w:val="20"/>
        </w:rPr>
      </w:pPr>
      <w:r w:rsidDel="00000000" w:rsidR="00000000" w:rsidRPr="00000000">
        <w:rPr/>
        <w:drawing>
          <wp:inline distB="114300" distT="114300" distL="114300" distR="114300">
            <wp:extent cx="2844132" cy="1460500"/>
            <wp:effectExtent b="0" l="0" r="0" t="0"/>
            <wp:docPr id="15"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844132" cy="1460500"/>
                    </a:xfrm>
                    <a:prstGeom prst="rect"/>
                    <a:ln/>
                  </pic:spPr>
                </pic:pic>
              </a:graphicData>
            </a:graphic>
          </wp:inline>
        </w:drawing>
      </w:r>
      <w:r w:rsidDel="00000000" w:rsidR="00000000" w:rsidRPr="00000000">
        <w:rPr/>
        <w:drawing>
          <wp:inline distB="114300" distT="114300" distL="114300" distR="114300">
            <wp:extent cx="2517627" cy="1704975"/>
            <wp:effectExtent b="0" l="0" r="0" t="0"/>
            <wp:docPr id="3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517627" cy="1704975"/>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South Africa </w:t>
      </w:r>
      <w:r w:rsidDel="00000000" w:rsidR="00000000" w:rsidRPr="00000000">
        <w:rPr>
          <w:sz w:val="22"/>
          <w:szCs w:val="22"/>
          <w:rtl w:val="0"/>
        </w:rPr>
        <w:t xml:space="preserve"> (left: 2013-2018; right: 2019-2022)</w:t>
      </w:r>
      <w:r w:rsidDel="00000000" w:rsidR="00000000" w:rsidRPr="00000000">
        <w:rPr>
          <w:rtl w:val="0"/>
        </w:rPr>
      </w:r>
    </w:p>
    <w:p w:rsidR="00000000" w:rsidDel="00000000" w:rsidP="00000000" w:rsidRDefault="00000000" w:rsidRPr="00000000" w14:paraId="00000035">
      <w:pPr>
        <w:pageBreakBefore w:val="0"/>
        <w:jc w:val="both"/>
        <w:rPr>
          <w:b w:val="1"/>
          <w:bCs w:val="1"/>
        </w:rPr>
      </w:pPr>
      <w:r w:rsidDel="00000000" w:rsidR="00000000" w:rsidRPr="00000000">
        <w:rPr>
          <w:rtl w:val="0"/>
        </w:rPr>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9">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A">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B">
      <w:pPr>
        <w:pageBreakBefore w:val="0"/>
        <w:jc w:val="both"/>
        <w:rPr/>
      </w:pPr>
      <w:r w:rsidDel="00000000" w:rsidR="00000000" w:rsidRPr="00000000">
        <w:rPr>
          <w:rtl w:val="0"/>
        </w:rPr>
      </w:r>
    </w:p>
    <w:p w:rsidR="00000000" w:rsidDel="00000000" w:rsidP="00000000" w:rsidRDefault="00000000" w:rsidRPr="00000000" w14:paraId="0000003C">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D">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E">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F">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E">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A">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4">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7">
      <w:pPr>
        <w:pageBreakBefore w:val="0"/>
        <w:jc w:val="both"/>
        <w:rPr/>
      </w:pPr>
      <w:r w:rsidDel="00000000" w:rsidR="00000000" w:rsidRPr="00000000">
        <w:rPr>
          <w:rtl w:val="0"/>
        </w:rPr>
      </w:r>
    </w:p>
    <w:p w:rsidR="00000000" w:rsidDel="00000000" w:rsidP="00000000" w:rsidRDefault="00000000" w:rsidRPr="00000000" w14:paraId="00000068">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9">
            <w:pPr>
              <w:pageBreakBefore w:val="0"/>
              <w:jc w:val="center"/>
              <w:rPr/>
            </w:pPr>
            <w:r w:rsidDel="00000000" w:rsidR="00000000" w:rsidRPr="00000000">
              <w:rPr>
                <w:rtl w:val="0"/>
              </w:rPr>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2">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3">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7">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8">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A">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B">
            <w:pPr>
              <w:pageBreakBefore w:val="0"/>
              <w:jc w:val="center"/>
              <w:rPr/>
            </w:pPr>
            <w:r w:rsidDel="00000000" w:rsidR="00000000" w:rsidRPr="00000000">
              <w:rPr>
                <w:rtl w:val="0"/>
              </w:rPr>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D">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E">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4">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5">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7">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A">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B">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C">
      <w:pPr>
        <w:pageBreakBefore w:val="0"/>
        <w:jc w:val="both"/>
        <w:rPr>
          <w:b w:val="1"/>
          <w:bCs w:val="1"/>
        </w:rPr>
      </w:pPr>
      <w:r w:rsidDel="00000000" w:rsidR="00000000" w:rsidRPr="00000000">
        <w:rPr>
          <w:rtl w:val="0"/>
        </w:rPr>
      </w:r>
    </w:p>
    <w:p w:rsidR="00000000" w:rsidDel="00000000" w:rsidP="00000000" w:rsidRDefault="00000000" w:rsidRPr="00000000" w14:paraId="0000008D">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E">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South Africa '</w:t>
      </w:r>
      <w:r w:rsidDel="00000000" w:rsidR="00000000" w:rsidRPr="00000000">
        <w:rPr>
          <w:rtl w:val="0"/>
        </w:rPr>
        <w:t xml:space="preserve">s realized industry production strategy between 2013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South Africa </w:t>
      </w:r>
      <w:r w:rsidDel="00000000" w:rsidR="00000000" w:rsidRPr="00000000">
        <w:rPr>
          <w:rtl w:val="0"/>
        </w:rPr>
        <w:t xml:space="preserve"> and the 18 product groups in 2022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decreased</w:t>
      </w:r>
      <w:r w:rsidDel="00000000" w:rsidR="00000000" w:rsidRPr="00000000">
        <w:rPr>
          <w:rtl w:val="0"/>
        </w:rPr>
        <w:t xml:space="preserve"> to 0 by 2022.</w:t>
      </w:r>
    </w:p>
    <w:p w:rsidR="00000000" w:rsidDel="00000000" w:rsidP="00000000" w:rsidRDefault="00000000" w:rsidRPr="00000000" w14:paraId="0000008F">
      <w:pPr>
        <w:pageBreakBefore w:val="0"/>
        <w:jc w:val="center"/>
        <w:rPr/>
      </w:pPr>
      <w:r w:rsidDel="00000000" w:rsidR="00000000" w:rsidRPr="00000000">
        <w:rPr/>
        <w:drawing>
          <wp:inline distB="114300" distT="114300" distL="114300" distR="114300">
            <wp:extent cx="2843194" cy="3206750"/>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843194" cy="3206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South Africa </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3">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South Africa </w:t>
      </w:r>
      <w:r w:rsidDel="00000000" w:rsidR="00000000" w:rsidRPr="00000000">
        <w:rPr>
          <w:rtl w:val="0"/>
        </w:rPr>
        <w:t xml:space="preserve"> compares with selected leading economies in the world across different years, as measured in RID. Leading economies such as France, the UK, and Germany gave a considerable level of attention to more advanced product groups such as High-Complexity Products and Food and Preparations in 2018 and Services and Utilities and Precious Stones in 2022.</w:t>
      </w:r>
    </w:p>
    <w:p w:rsidR="00000000" w:rsidDel="00000000" w:rsidP="00000000" w:rsidRDefault="00000000" w:rsidRPr="00000000" w14:paraId="00000094">
      <w:pPr>
        <w:jc w:val="both"/>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95">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96">
            <w:pPr>
              <w:jc w:val="both"/>
              <w:rPr/>
            </w:pPr>
            <w:r w:rsidDel="00000000" w:rsidR="00000000" w:rsidRPr="00000000">
              <w:rPr>
                <w:rtl w:val="0"/>
              </w:rPr>
              <w:t xml:space="preserve">France</w:t>
            </w:r>
          </w:p>
        </w:tc>
        <w:tc>
          <w:tcPr>
            <w:vAlign w:val="center"/>
          </w:tcPr>
          <w:p w:rsidR="00000000" w:rsidDel="00000000" w:rsidP="00000000" w:rsidRDefault="00000000" w:rsidRPr="00000000" w14:paraId="00000097">
            <w:pPr>
              <w:jc w:val="both"/>
              <w:rPr/>
            </w:pPr>
            <w:r w:rsidDel="00000000" w:rsidR="00000000" w:rsidRPr="00000000">
              <w:rPr>
                <w:rtl w:val="0"/>
              </w:rPr>
              <w:t xml:space="preserve">the UK</w:t>
            </w:r>
          </w:p>
        </w:tc>
        <w:tc>
          <w:tcPr>
            <w:vAlign w:val="center"/>
          </w:tcPr>
          <w:p w:rsidR="00000000" w:rsidDel="00000000" w:rsidP="00000000" w:rsidRDefault="00000000" w:rsidRPr="00000000" w14:paraId="00000098">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99">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9D">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A1">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A5">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A9">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D">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AE">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AF">
            <w:pPr>
              <w:jc w:val="both"/>
              <w:rPr/>
            </w:pPr>
            <w:r w:rsidDel="00000000" w:rsidR="00000000" w:rsidRPr="00000000">
              <w:rPr>
                <w:rtl w:val="0"/>
              </w:rPr>
              <w:t xml:space="preserve">Ranking</w:t>
            </w:r>
          </w:p>
        </w:tc>
        <w:tc>
          <w:tcPr/>
          <w:p w:rsidR="00000000" w:rsidDel="00000000" w:rsidP="00000000" w:rsidRDefault="00000000" w:rsidRPr="00000000" w14:paraId="000000B0">
            <w:pPr>
              <w:jc w:val="both"/>
              <w:rPr/>
            </w:pPr>
            <w:r w:rsidDel="00000000" w:rsidR="00000000" w:rsidRPr="00000000">
              <w:rPr>
                <w:rtl w:val="0"/>
              </w:rPr>
              <w:t xml:space="preserve">France</w:t>
            </w:r>
          </w:p>
        </w:tc>
        <w:tc>
          <w:tcPr/>
          <w:p w:rsidR="00000000" w:rsidDel="00000000" w:rsidP="00000000" w:rsidRDefault="00000000" w:rsidRPr="00000000" w14:paraId="000000B1">
            <w:pPr>
              <w:jc w:val="both"/>
              <w:rPr/>
            </w:pPr>
            <w:r w:rsidDel="00000000" w:rsidR="00000000" w:rsidRPr="00000000">
              <w:rPr>
                <w:rtl w:val="0"/>
              </w:rPr>
              <w:t xml:space="preserve">the UK</w:t>
            </w:r>
          </w:p>
        </w:tc>
        <w:tc>
          <w:tcPr/>
          <w:p w:rsidR="00000000" w:rsidDel="00000000" w:rsidP="00000000" w:rsidRDefault="00000000" w:rsidRPr="00000000" w14:paraId="000000B2">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3">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4">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5">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6">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B7">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8">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A">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B">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C">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BF">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C3">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C7">
      <w:pPr>
        <w:jc w:val="center"/>
        <w:rPr/>
      </w:pPr>
      <w:r w:rsidDel="00000000" w:rsidR="00000000" w:rsidRPr="00000000">
        <w:rPr>
          <w:sz w:val="22"/>
          <w:szCs w:val="22"/>
          <w:rtl w:val="0"/>
        </w:rPr>
        <w:t xml:space="preserve">Table 4b. RID Comparison across Leading Economies (2022)</w:t>
      </w:r>
      <w:r w:rsidDel="00000000" w:rsidR="00000000" w:rsidRPr="00000000">
        <w:rPr>
          <w:rtl w:val="0"/>
        </w:rPr>
      </w:r>
    </w:p>
    <w:p w:rsidR="00000000" w:rsidDel="00000000" w:rsidP="00000000" w:rsidRDefault="00000000" w:rsidRPr="00000000" w14:paraId="000000C8">
      <w:pPr>
        <w:jc w:val="center"/>
        <w:rPr>
          <w:sz w:val="22"/>
          <w:szCs w:val="22"/>
        </w:rPr>
      </w:pPr>
      <w:r w:rsidDel="00000000" w:rsidR="00000000" w:rsidRPr="00000000">
        <w:rPr>
          <w:rtl w:val="0"/>
        </w:rPr>
      </w:r>
    </w:p>
    <w:p w:rsidR="00000000" w:rsidDel="00000000" w:rsidP="00000000" w:rsidRDefault="00000000" w:rsidRPr="00000000" w14:paraId="000000C9">
      <w:pPr>
        <w:jc w:val="both"/>
        <w:rPr>
          <w:sz w:val="22"/>
          <w:szCs w:val="22"/>
        </w:rPr>
      </w:pPr>
      <w:r w:rsidDel="00000000" w:rsidR="00000000" w:rsidRPr="00000000">
        <w:rPr>
          <w:rtl w:val="0"/>
        </w:rPr>
        <w:t xml:space="preserve">Tables 4c-4d further examine </w:t>
      </w:r>
      <w:r w:rsidDel="00000000" w:rsidR="00000000" w:rsidRPr="00000000">
        <w:rPr>
          <w:rtl w:val="0"/>
        </w:rPr>
        <w:t xml:space="preserve">South Africa </w:t>
      </w:r>
      <w:r w:rsidDel="00000000" w:rsidR="00000000" w:rsidRPr="00000000">
        <w:rPr>
          <w:rtl w:val="0"/>
        </w:rPr>
        <w:t xml:space="preserve">'s development strategy against those of emerging economies on a global scale. Reasonably, emerging economies such as China, South Korea, and Singapore have devoted the majority of their efforts to intermediate industry groups, showing drastic shifts in strategies over the course of four years.</w:t>
      </w: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0CB">
            <w:pPr>
              <w:jc w:val="both"/>
              <w:rPr/>
            </w:pPr>
            <w:r w:rsidDel="00000000" w:rsidR="00000000" w:rsidRPr="00000000">
              <w:rPr>
                <w:rtl w:val="0"/>
              </w:rPr>
              <w:t xml:space="preserve">Ranking</w:t>
            </w:r>
          </w:p>
        </w:tc>
        <w:tc>
          <w:tcPr/>
          <w:p w:rsidR="00000000" w:rsidDel="00000000" w:rsidP="00000000" w:rsidRDefault="00000000" w:rsidRPr="00000000" w14:paraId="000000CC">
            <w:pPr>
              <w:jc w:val="both"/>
              <w:rPr/>
            </w:pPr>
            <w:r w:rsidDel="00000000" w:rsidR="00000000" w:rsidRPr="00000000">
              <w:rPr>
                <w:rtl w:val="0"/>
              </w:rPr>
              <w:t xml:space="preserve">China</w:t>
            </w:r>
          </w:p>
        </w:tc>
        <w:tc>
          <w:tcPr/>
          <w:p w:rsidR="00000000" w:rsidDel="00000000" w:rsidP="00000000" w:rsidRDefault="00000000" w:rsidRPr="00000000" w14:paraId="000000CD">
            <w:pPr>
              <w:jc w:val="both"/>
              <w:rPr/>
            </w:pPr>
            <w:r w:rsidDel="00000000" w:rsidR="00000000" w:rsidRPr="00000000">
              <w:rPr>
                <w:rtl w:val="0"/>
              </w:rPr>
              <w:t xml:space="preserve">South Korea</w:t>
            </w:r>
          </w:p>
        </w:tc>
        <w:tc>
          <w:tcPr/>
          <w:p w:rsidR="00000000" w:rsidDel="00000000" w:rsidP="00000000" w:rsidRDefault="00000000" w:rsidRPr="00000000" w14:paraId="000000CE">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3">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China</w:t>
            </w:r>
          </w:p>
        </w:tc>
        <w:tc>
          <w:tcPr/>
          <w:p w:rsidR="00000000" w:rsidDel="00000000" w:rsidP="00000000" w:rsidRDefault="00000000" w:rsidRPr="00000000" w14:paraId="000000E7">
            <w:pPr>
              <w:jc w:val="both"/>
              <w:rPr/>
            </w:pPr>
            <w:r w:rsidDel="00000000" w:rsidR="00000000" w:rsidRPr="00000000">
              <w:rPr>
                <w:rtl w:val="0"/>
              </w:rPr>
              <w:t xml:space="preserve">South Korea</w:t>
            </w:r>
          </w:p>
        </w:tc>
        <w:tc>
          <w:tcPr/>
          <w:p w:rsidR="00000000" w:rsidDel="00000000" w:rsidP="00000000" w:rsidRDefault="00000000" w:rsidRPr="00000000" w14:paraId="000000E8">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A">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B">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EC">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EE">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EF">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0">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2">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3">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4">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6">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7">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8">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A">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B">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C">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0FD">
      <w:pPr>
        <w:jc w:val="center"/>
        <w:rPr/>
      </w:pPr>
      <w:r w:rsidDel="00000000" w:rsidR="00000000" w:rsidRPr="00000000">
        <w:rPr>
          <w:sz w:val="22"/>
          <w:szCs w:val="22"/>
          <w:rtl w:val="0"/>
        </w:rPr>
        <w:t xml:space="preserve">Table 4d. RID Comparison across Emerging Economies (2022)</w:t>
      </w:r>
      <w:r w:rsidDel="00000000" w:rsidR="00000000" w:rsidRPr="00000000">
        <w:rPr>
          <w:rtl w:val="0"/>
        </w:rPr>
      </w:r>
    </w:p>
    <w:p w:rsidR="00000000" w:rsidDel="00000000" w:rsidP="00000000" w:rsidRDefault="00000000" w:rsidRPr="00000000" w14:paraId="000000FE">
      <w:pPr>
        <w:pageBreakBefore w:val="0"/>
        <w:jc w:val="center"/>
        <w:rPr>
          <w:sz w:val="22"/>
          <w:szCs w:val="22"/>
        </w:rPr>
      </w:pPr>
      <w:r w:rsidDel="00000000" w:rsidR="00000000" w:rsidRPr="00000000">
        <w:rPr>
          <w:rtl w:val="0"/>
        </w:rPr>
      </w:r>
    </w:p>
    <w:p w:rsidR="00000000" w:rsidDel="00000000" w:rsidP="00000000" w:rsidRDefault="00000000" w:rsidRPr="00000000" w14:paraId="000000FF">
      <w:pPr>
        <w:pageBreakBefore w:val="0"/>
        <w:jc w:val="both"/>
        <w:rPr/>
      </w:pPr>
      <w:r w:rsidDel="00000000" w:rsidR="00000000" w:rsidRPr="00000000">
        <w:rPr>
          <w:rtl w:val="0"/>
        </w:rPr>
      </w:r>
    </w:p>
    <w:p w:rsidR="00000000" w:rsidDel="00000000" w:rsidP="00000000" w:rsidRDefault="00000000" w:rsidRPr="00000000" w14:paraId="0000010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1">
      <w:pPr>
        <w:pageBreakBefore w:val="0"/>
        <w:jc w:val="both"/>
        <w:rPr>
          <w:b w:val="1"/>
          <w:bCs w:val="1"/>
        </w:rPr>
      </w:pPr>
      <w:r w:rsidDel="00000000" w:rsidR="00000000" w:rsidRPr="00000000">
        <w:rPr>
          <w:rtl w:val="0"/>
        </w:rPr>
      </w:r>
    </w:p>
    <w:p w:rsidR="00000000" w:rsidDel="00000000" w:rsidP="00000000" w:rsidRDefault="00000000" w:rsidRPr="00000000" w14:paraId="00000102">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0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5">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06">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07">
      <w:pPr>
        <w:pageBreakBefore w:val="0"/>
        <w:jc w:val="both"/>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drawing>
          <wp:inline distB="114300" distT="114300" distL="114300" distR="114300">
            <wp:extent cx="5156200" cy="2586665"/>
            <wp:effectExtent b="0" l="0" r="0" t="0"/>
            <wp:docPr id="14" name="image17.jpg"/>
            <a:graphic>
              <a:graphicData uri="http://schemas.openxmlformats.org/drawingml/2006/picture">
                <pic:pic>
                  <pic:nvPicPr>
                    <pic:cNvPr id="0" name="image17.jpg"/>
                    <pic:cNvPicPr preferRelativeResize="0"/>
                  </pic:nvPicPr>
                  <pic:blipFill>
                    <a:blip r:embed="rId15"/>
                    <a:srcRect b="18369" l="0" r="0" t="9887"/>
                    <a:stretch>
                      <a:fillRect/>
                    </a:stretch>
                  </pic:blipFill>
                  <pic:spPr>
                    <a:xfrm>
                      <a:off x="0" y="0"/>
                      <a:ext cx="5156200" cy="258666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0A">
      <w:pPr>
        <w:jc w:val="left"/>
        <w:rPr/>
      </w:pPr>
      <w:r w:rsidDel="00000000" w:rsidR="00000000" w:rsidRPr="00000000">
        <w:rPr/>
        <w:drawing>
          <wp:inline distB="114300" distT="114300" distL="114300" distR="114300">
            <wp:extent cx="5295900" cy="2357643"/>
            <wp:effectExtent b="0" l="0" r="0" t="0"/>
            <wp:docPr id="1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295900" cy="235764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0C">
      <w:pPr>
        <w:pageBreakBefore w:val="0"/>
        <w:jc w:val="left"/>
        <w:rPr/>
      </w:pPr>
      <w:r w:rsidDel="00000000" w:rsidR="00000000" w:rsidRPr="00000000">
        <w:rPr/>
        <w:drawing>
          <wp:inline distB="114300" distT="114300" distL="114300" distR="114300">
            <wp:extent cx="5229225" cy="3203575"/>
            <wp:effectExtent b="0" l="0" r="0" t="0"/>
            <wp:docPr id="7" name="image18.jpg"/>
            <a:graphic>
              <a:graphicData uri="http://schemas.openxmlformats.org/drawingml/2006/picture">
                <pic:pic>
                  <pic:nvPicPr>
                    <pic:cNvPr id="0" name="image18.jpg"/>
                    <pic:cNvPicPr preferRelativeResize="0"/>
                  </pic:nvPicPr>
                  <pic:blipFill>
                    <a:blip r:embed="rId17"/>
                    <a:srcRect b="14327" l="8029" r="831" t="11978"/>
                    <a:stretch>
                      <a:fillRect/>
                    </a:stretch>
                  </pic:blipFill>
                  <pic:spPr>
                    <a:xfrm>
                      <a:off x="0" y="0"/>
                      <a:ext cx="5229225"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2022</w:t>
      </w:r>
      <w:r w:rsidDel="00000000" w:rsidR="00000000" w:rsidRPr="00000000">
        <w:rPr>
          <w:sz w:val="22"/>
          <w:szCs w:val="22"/>
          <w:rtl w:val="0"/>
        </w:rPr>
        <w:t xml:space="preserve">)</w:t>
      </w:r>
    </w:p>
    <w:p w:rsidR="00000000" w:rsidDel="00000000" w:rsidP="00000000" w:rsidRDefault="00000000" w:rsidRPr="00000000" w14:paraId="0000010E">
      <w:pPr>
        <w:pageBreakBefore w:val="0"/>
        <w:jc w:val="center"/>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South Africa </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Animals and By Products and Energy Drilling and mining industries. It can be concluded that </w:t>
      </w:r>
      <w:r w:rsidDel="00000000" w:rsidR="00000000" w:rsidRPr="00000000">
        <w:rPr>
          <w:rtl w:val="0"/>
        </w:rPr>
        <w:t xml:space="preserve">South Africa </w:t>
      </w:r>
      <w:r w:rsidDel="00000000" w:rsidR="00000000" w:rsidRPr="00000000">
        <w:rPr>
          <w:rtl w:val="0"/>
        </w:rPr>
        <w:t xml:space="preserve"> shares the characteristics of developing countries, with a balanced economic structure that leans towards emerging-level industries.</w:t>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jc w:val="center"/>
        <w:rPr/>
      </w:pPr>
      <w:r w:rsidDel="00000000" w:rsidR="00000000" w:rsidRPr="00000000">
        <w:rPr/>
        <w:drawing>
          <wp:inline distB="114300" distT="114300" distL="114300" distR="114300">
            <wp:extent cx="5664605" cy="2290763"/>
            <wp:effectExtent b="0" l="0" r="0" t="0"/>
            <wp:docPr id="26" name="image11.jpg"/>
            <a:graphic>
              <a:graphicData uri="http://schemas.openxmlformats.org/drawingml/2006/picture">
                <pic:pic>
                  <pic:nvPicPr>
                    <pic:cNvPr id="0" name="image11.jpg"/>
                    <pic:cNvPicPr preferRelativeResize="0"/>
                  </pic:nvPicPr>
                  <pic:blipFill>
                    <a:blip r:embed="rId18"/>
                    <a:srcRect b="0" l="1827" r="0" t="0"/>
                    <a:stretch>
                      <a:fillRect/>
                    </a:stretch>
                  </pic:blipFill>
                  <pic:spPr>
                    <a:xfrm>
                      <a:off x="0" y="0"/>
                      <a:ext cx="5664605" cy="2290763"/>
                    </a:xfrm>
                    <a:prstGeom prst="rect"/>
                    <a:ln/>
                  </pic:spPr>
                </pic:pic>
              </a:graphicData>
            </a:graphic>
          </wp:inline>
        </w:drawing>
      </w: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114">
      <w:pPr>
        <w:pageBreakBefore w:val="0"/>
        <w:jc w:val="center"/>
        <w:rPr>
          <w:sz w:val="22"/>
          <w:szCs w:val="22"/>
        </w:rPr>
      </w:pPr>
      <w:r w:rsidDel="00000000" w:rsidR="00000000" w:rsidRPr="00000000">
        <w:rPr>
          <w:rtl w:val="0"/>
        </w:rPr>
      </w:r>
    </w:p>
    <w:p w:rsidR="00000000" w:rsidDel="00000000" w:rsidP="00000000" w:rsidRDefault="00000000" w:rsidRPr="00000000" w14:paraId="00000115">
      <w:pPr>
        <w:pageBreakBefore w:val="0"/>
        <w:jc w:val="center"/>
        <w:rPr/>
      </w:pPr>
      <w:r w:rsidDel="00000000" w:rsidR="00000000" w:rsidRPr="00000000">
        <w:rPr>
          <w:rtl w:val="0"/>
        </w:rPr>
      </w:r>
    </w:p>
    <w:p w:rsidR="00000000" w:rsidDel="00000000" w:rsidP="00000000" w:rsidRDefault="00000000" w:rsidRPr="00000000" w14:paraId="00000116">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17">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18">
      <w:pPr>
        <w:pageBreakBefore w:val="0"/>
        <w:jc w:val="both"/>
        <w:rPr/>
      </w:pPr>
      <w:r w:rsidDel="00000000" w:rsidR="00000000" w:rsidRPr="00000000">
        <w:rPr>
          <w:rtl w:val="0"/>
        </w:rPr>
      </w:r>
    </w:p>
    <w:p w:rsidR="00000000" w:rsidDel="00000000" w:rsidP="00000000" w:rsidRDefault="00000000" w:rsidRPr="00000000" w14:paraId="00000119">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ageBreakBefore w:val="0"/>
        <w:jc w:val="center"/>
        <w:rPr/>
      </w:pPr>
      <w:r w:rsidDel="00000000" w:rsidR="00000000" w:rsidRPr="00000000">
        <w:rPr>
          <w:rtl w:val="0"/>
        </w:rPr>
      </w:r>
    </w:p>
    <w:p w:rsidR="00000000" w:rsidDel="00000000" w:rsidP="00000000" w:rsidRDefault="00000000" w:rsidRPr="00000000" w14:paraId="0000011B">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1C">
      <w:pPr>
        <w:pageBreakBefore w:val="0"/>
        <w:jc w:val="both"/>
        <w:rPr/>
      </w:pP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1E">
      <w:pPr>
        <w:pageBreakBefore w:val="0"/>
        <w:jc w:val="both"/>
        <w:rPr/>
      </w:pPr>
      <w:r w:rsidDel="00000000" w:rsidR="00000000" w:rsidRPr="00000000">
        <w:rPr>
          <w:rtl w:val="0"/>
        </w:rPr>
        <w:t xml:space="preserve"> </w:t>
      </w:r>
    </w:p>
    <w:p w:rsidR="00000000" w:rsidDel="00000000" w:rsidP="00000000" w:rsidRDefault="00000000" w:rsidRPr="00000000" w14:paraId="0000011F">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20">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2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24">
      <w:pPr>
        <w:pageBreakBefore w:val="0"/>
        <w:rPr/>
      </w:pPr>
      <w:r w:rsidDel="00000000" w:rsidR="00000000" w:rsidRPr="00000000">
        <w:rPr>
          <w:rtl w:val="0"/>
        </w:rPr>
        <w:t xml:space="preserve"> </w:t>
      </w:r>
    </w:p>
    <w:p w:rsidR="00000000" w:rsidDel="00000000" w:rsidP="00000000" w:rsidRDefault="00000000" w:rsidRPr="00000000" w14:paraId="00000125">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28">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2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ageBreakBefore w:val="0"/>
        <w:jc w:val="both"/>
        <w:rPr>
          <w:b w:val="1"/>
          <w:bCs w:val="1"/>
        </w:rPr>
      </w:pPr>
      <w:r w:rsidDel="00000000" w:rsidR="00000000" w:rsidRPr="00000000">
        <w:rPr>
          <w:rtl w:val="0"/>
        </w:rPr>
      </w:r>
    </w:p>
    <w:p w:rsidR="00000000" w:rsidDel="00000000" w:rsidP="00000000" w:rsidRDefault="00000000" w:rsidRPr="00000000" w14:paraId="0000012C">
      <w:pPr>
        <w:pageBreakBefore w:val="0"/>
        <w:jc w:val="both"/>
        <w:rPr>
          <w:b w:val="1"/>
          <w:bCs w:val="1"/>
        </w:rPr>
      </w:pPr>
      <w:r w:rsidDel="00000000" w:rsidR="00000000" w:rsidRPr="00000000">
        <w:rPr>
          <w:rtl w:val="0"/>
        </w:rPr>
      </w:r>
    </w:p>
    <w:p w:rsidR="00000000" w:rsidDel="00000000" w:rsidP="00000000" w:rsidRDefault="00000000" w:rsidRPr="00000000" w14:paraId="0000012D">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2E">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2F">
      <w:pPr>
        <w:pageBreakBefore w:val="0"/>
        <w:jc w:val="both"/>
        <w:rPr/>
      </w:pP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56">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57">
      <w:pPr>
        <w:pageBreakBefore w:val="0"/>
        <w:jc w:val="center"/>
        <w:rPr/>
      </w:pPr>
      <w:r w:rsidDel="00000000" w:rsidR="00000000" w:rsidRPr="00000000">
        <w:rPr>
          <w:rtl w:val="0"/>
        </w:rPr>
      </w:r>
    </w:p>
    <w:p w:rsidR="00000000" w:rsidDel="00000000" w:rsidP="00000000" w:rsidRDefault="00000000" w:rsidRPr="00000000" w14:paraId="00000158">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South Africa </w:t>
      </w:r>
      <w:r w:rsidDel="00000000" w:rsidR="00000000" w:rsidRPr="00000000">
        <w:rPr>
          <w:rtl w:val="0"/>
        </w:rPr>
        <w:t xml:space="preserve"> in 2013, 2018, and 2022. We can see that for different percentages of heuristic total export growth, the ECIs of </w:t>
      </w:r>
      <w:r w:rsidDel="00000000" w:rsidR="00000000" w:rsidRPr="00000000">
        <w:rPr>
          <w:rtl w:val="0"/>
        </w:rPr>
        <w:t xml:space="preserve">South Africa </w:t>
      </w:r>
      <w:r w:rsidDel="00000000" w:rsidR="00000000" w:rsidRPr="00000000">
        <w:rPr>
          <w:rtl w:val="0"/>
        </w:rPr>
        <w:t xml:space="preserve"> actually have different increments. </w:t>
      </w:r>
    </w:p>
    <w:p w:rsidR="00000000" w:rsidDel="00000000" w:rsidP="00000000" w:rsidRDefault="00000000" w:rsidRPr="00000000" w14:paraId="00000159">
      <w:pPr>
        <w:pageBreakBefore w:val="0"/>
        <w:jc w:val="both"/>
        <w:rPr/>
      </w:pPr>
      <w:r w:rsidDel="00000000" w:rsidR="00000000" w:rsidRPr="00000000">
        <w:rPr>
          <w:rtl w:val="0"/>
        </w:rPr>
        <w:t xml:space="preserve"> </w:t>
      </w:r>
    </w:p>
    <w:p w:rsidR="00000000" w:rsidDel="00000000" w:rsidP="00000000" w:rsidRDefault="00000000" w:rsidRPr="00000000" w14:paraId="0000015A">
      <w:pPr>
        <w:pageBreakBefore w:val="0"/>
        <w:jc w:val="both"/>
        <w:rPr/>
      </w:pPr>
      <w:r w:rsidDel="00000000" w:rsidR="00000000" w:rsidRPr="00000000">
        <w:rPr>
          <w:rtl w:val="0"/>
        </w:rPr>
        <w:t xml:space="preserve">For 2013, in the case of 5 percent export growth, Raw Manufacturing is one of the main components. With a budget of 10 percent export growth, Textile accounts for most of the portfolio. Meanwhile, for 15 and 20 percent export growth scenarios, Textile and Machinery and Construction account for most of the portfolio. A more detailed numerical representation of the portfolio is shown in Table 8a. </w:t>
      </w:r>
    </w:p>
    <w:p w:rsidR="00000000" w:rsidDel="00000000" w:rsidP="00000000" w:rsidRDefault="00000000" w:rsidRPr="00000000" w14:paraId="0000015B">
      <w:pPr>
        <w:pageBreakBefore w:val="0"/>
        <w:jc w:val="both"/>
        <w:rPr>
          <w:b w:val="0"/>
          <w:bCs w:val="0"/>
          <w:i w:val="1"/>
          <w:iCs w:val="1"/>
          <w:color w:val="444499"/>
          <w:sz w:val="20"/>
          <w:szCs w:val="20"/>
        </w:rPr>
      </w:pPr>
      <w:r w:rsidDel="00000000" w:rsidR="00000000" w:rsidRPr="00000000">
        <w:rPr/>
        <w:drawing>
          <wp:inline distB="114300" distT="114300" distL="114300" distR="114300">
            <wp:extent cx="5731200" cy="2324100"/>
            <wp:effectExtent b="0" l="0" r="0" t="0"/>
            <wp:docPr id="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324100"/>
                    </a:xfrm>
                    <a:prstGeom prst="rect"/>
                    <a:ln/>
                  </pic:spPr>
                </pic:pic>
              </a:graphicData>
            </a:graphic>
          </wp:inline>
        </w:drawing>
      </w:r>
      <w:r w:rsidDel="00000000" w:rsidR="00000000" w:rsidRPr="00000000">
        <w:rPr/>
        <w:drawing>
          <wp:inline distB="114300" distT="114300" distL="114300" distR="114300">
            <wp:extent cx="5731200" cy="1828800"/>
            <wp:effectExtent b="0" l="0" r="0" t="0"/>
            <wp:docPr id="1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both"/>
        <w:rPr/>
      </w:pPr>
      <w:r w:rsidDel="00000000" w:rsidR="00000000" w:rsidRPr="00000000">
        <w:rPr>
          <w:rtl w:val="0"/>
        </w:rPr>
      </w:r>
    </w:p>
    <w:p w:rsidR="00000000" w:rsidDel="00000000" w:rsidP="00000000" w:rsidRDefault="00000000" w:rsidRPr="00000000" w14:paraId="0000015D">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South Africa </w:t>
      </w:r>
      <w:r w:rsidDel="00000000" w:rsidR="00000000" w:rsidRPr="00000000">
        <w:rPr>
          <w:sz w:val="22"/>
          <w:szCs w:val="22"/>
          <w:rtl w:val="0"/>
        </w:rPr>
        <w:t xml:space="preserve"> with Different Budgets (2013)</w:t>
      </w:r>
    </w:p>
    <w:p w:rsidR="00000000" w:rsidDel="00000000" w:rsidP="00000000" w:rsidRDefault="00000000" w:rsidRPr="00000000" w14:paraId="0000015E">
      <w:pPr>
        <w:jc w:val="center"/>
        <w:rPr/>
      </w:pPr>
      <w:r w:rsidDel="00000000" w:rsidR="00000000" w:rsidRPr="00000000">
        <w:rPr>
          <w:rtl w:val="0"/>
        </w:rPr>
      </w:r>
    </w:p>
    <w:tbl>
      <w:tblPr>
        <w:tblStyle w:val="Table9"/>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F">
            <w:pPr>
              <w:jc w:val="center"/>
              <w:rPr>
                <w:sz w:val="20"/>
                <w:szCs w:val="20"/>
              </w:rPr>
            </w:pPr>
            <w:r w:rsidDel="00000000" w:rsidR="00000000" w:rsidRPr="00000000">
              <w:rPr>
                <w:b w:val="1"/>
                <w:bCs w:val="1"/>
                <w:sz w:val="20"/>
                <w:szCs w:val="20"/>
                <w:rtl w:val="0"/>
              </w:rPr>
              <w:t xml:space="preserve">South Africa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5">
            <w:pPr>
              <w:jc w:val="center"/>
              <w:rPr>
                <w:sz w:val="20"/>
                <w:szCs w:val="20"/>
              </w:rPr>
            </w:pPr>
            <w:r w:rsidDel="00000000" w:rsidR="00000000" w:rsidRPr="00000000">
              <w:rPr>
                <w:b w:val="1"/>
                <w:bCs w:val="1"/>
                <w:sz w:val="20"/>
                <w:szCs w:val="20"/>
                <w:rtl w:val="0"/>
              </w:rPr>
              <w:t xml:space="preserve">0.36</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540" w:firstLine="0"/>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left="540" w:firstLine="0"/>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540" w:firstLine="0"/>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540" w:firstLine="0"/>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Services and Utilities </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1">
            <w:pPr>
              <w:widowControl w:val="0"/>
              <w:spacing w:line="276" w:lineRule="auto"/>
              <w:rPr>
                <w:sz w:val="18"/>
                <w:szCs w:val="18"/>
              </w:rPr>
            </w:pPr>
            <w:r w:rsidDel="00000000" w:rsidR="00000000" w:rsidRPr="00000000">
              <w:rPr>
                <w:sz w:val="20"/>
                <w:szCs w:val="20"/>
                <w:rtl w:val="0"/>
              </w:rPr>
              <w:t xml:space="preserve">58581939363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2">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High Complexity Products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1038089922</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6">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7">
            <w:pPr>
              <w:widowControl w:val="0"/>
              <w:spacing w:line="276" w:lineRule="auto"/>
              <w:rPr>
                <w:sz w:val="18"/>
                <w:szCs w:val="18"/>
              </w:rPr>
            </w:pPr>
            <w:r w:rsidDel="00000000" w:rsidR="00000000" w:rsidRPr="00000000">
              <w:rPr>
                <w:sz w:val="20"/>
                <w:szCs w:val="20"/>
                <w:rtl w:val="0"/>
              </w:rPr>
              <w:t xml:space="preserve">26934224994</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Textile </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rFonts w:ascii="Arial" w:cs="Arial" w:eastAsia="Arial" w:hAnsi="Arial"/>
                <w:sz w:val="20"/>
                <w:szCs w:val="20"/>
                <w:rtl w:val="0"/>
              </w:rPr>
              <w:t xml:space="preserve">1.</w:t>
            </w:r>
            <w:r w:rsidDel="00000000" w:rsidR="00000000" w:rsidRPr="00000000">
              <w:rPr>
                <w:sz w:val="20"/>
                <w:szCs w:val="20"/>
                <w:rtl w:val="0"/>
              </w:rPr>
              <w:t xml:space="preserve">6609E</w:t>
            </w: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4.0121E+10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B">
            <w:pPr>
              <w:widowControl w:val="0"/>
              <w:spacing w:line="276" w:lineRule="auto"/>
              <w:rPr>
                <w:sz w:val="18"/>
                <w:szCs w:val="18"/>
              </w:rPr>
            </w:pPr>
            <w:r w:rsidDel="00000000" w:rsidR="00000000" w:rsidRPr="00000000">
              <w:rPr>
                <w:sz w:val="20"/>
                <w:szCs w:val="20"/>
                <w:rtl w:val="0"/>
              </w:rPr>
              <w:t xml:space="preserve">14645484841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C">
            <w:pPr>
              <w:widowControl w:val="0"/>
              <w:spacing w:line="276" w:lineRule="auto"/>
              <w:rPr>
                <w:sz w:val="18"/>
                <w:szCs w:val="18"/>
              </w:rPr>
            </w:pPr>
            <w:r w:rsidDel="00000000" w:rsidR="00000000" w:rsidRPr="00000000">
              <w:rPr>
                <w:sz w:val="20"/>
                <w:szCs w:val="20"/>
                <w:rtl w:val="0"/>
              </w:rPr>
              <w:t xml:space="preserve">33667781243</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1">
            <w:pPr>
              <w:widowControl w:val="0"/>
              <w:spacing w:line="276" w:lineRule="auto"/>
              <w:rPr>
                <w:sz w:val="18"/>
                <w:szCs w:val="18"/>
              </w:rPr>
            </w:pPr>
            <w:r w:rsidDel="00000000" w:rsidR="00000000" w:rsidRPr="00000000">
              <w:rPr>
                <w:sz w:val="20"/>
                <w:szCs w:val="20"/>
                <w:rtl w:val="0"/>
              </w:rPr>
              <w:t xml:space="preserve">20200668746</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2076179843</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7294685936</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5">
            <w:pPr>
              <w:widowControl w:val="0"/>
              <w:spacing w:line="276" w:lineRule="auto"/>
              <w:rPr>
                <w:sz w:val="18"/>
                <w:szCs w:val="18"/>
              </w:rPr>
            </w:pPr>
            <w:r w:rsidDel="00000000" w:rsidR="00000000" w:rsidRPr="00000000">
              <w:rPr>
                <w:sz w:val="20"/>
                <w:szCs w:val="20"/>
                <w:rtl w:val="0"/>
              </w:rPr>
              <w:t xml:space="preserve">9763656560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6">
            <w:pPr>
              <w:widowControl w:val="0"/>
              <w:spacing w:line="276" w:lineRule="auto"/>
              <w:rPr>
                <w:sz w:val="18"/>
                <w:szCs w:val="18"/>
              </w:rPr>
            </w:pPr>
            <w:r w:rsidDel="00000000" w:rsidR="00000000" w:rsidRPr="00000000">
              <w:rPr>
                <w:sz w:val="20"/>
                <w:szCs w:val="20"/>
                <w:rtl w:val="0"/>
              </w:rPr>
              <w:t xml:space="preserve">1023949012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8">
            <w:pPr>
              <w:widowControl w:val="0"/>
              <w:spacing w:line="276" w:lineRule="auto"/>
              <w:rPr>
                <w:b w:val="1"/>
                <w:bCs w:val="1"/>
                <w:sz w:val="20"/>
                <w:szCs w:val="20"/>
              </w:rPr>
            </w:pPr>
            <w:r w:rsidDel="00000000" w:rsidR="00000000" w:rsidRPr="00000000">
              <w:rPr>
                <w:b w:val="1"/>
                <w:bCs w:val="1"/>
                <w:sz w:val="20"/>
                <w:szCs w:val="20"/>
                <w:rtl w:val="0"/>
              </w:rPr>
              <w:t xml:space="preserve">1.1419E+10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9">
            <w:pPr>
              <w:widowControl w:val="0"/>
              <w:spacing w:line="276" w:lineRule="auto"/>
              <w:rPr>
                <w:b w:val="1"/>
                <w:bCs w:val="1"/>
                <w:sz w:val="20"/>
                <w:szCs w:val="20"/>
              </w:rPr>
            </w:pPr>
            <w:r w:rsidDel="00000000" w:rsidR="00000000" w:rsidRPr="00000000">
              <w:rPr>
                <w:b w:val="1"/>
                <w:bCs w:val="1"/>
                <w:sz w:val="20"/>
                <w:szCs w:val="20"/>
                <w:rtl w:val="0"/>
              </w:rPr>
              <w:t xml:space="preserve">6.2005E+10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A">
            <w:pPr>
              <w:widowControl w:val="0"/>
              <w:spacing w:line="276" w:lineRule="auto"/>
              <w:rPr>
                <w:b w:val="1"/>
                <w:bCs w:val="1"/>
                <w:sz w:val="20"/>
                <w:szCs w:val="20"/>
              </w:rPr>
            </w:pPr>
            <w:r w:rsidDel="00000000" w:rsidR="00000000" w:rsidRPr="00000000">
              <w:rPr>
                <w:b w:val="1"/>
                <w:bCs w:val="1"/>
                <w:sz w:val="20"/>
                <w:szCs w:val="20"/>
                <w:rtl w:val="0"/>
              </w:rPr>
              <w:t xml:space="preserve">63463767643</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B">
            <w:pPr>
              <w:widowControl w:val="0"/>
              <w:spacing w:line="276" w:lineRule="auto"/>
              <w:rPr>
                <w:b w:val="1"/>
                <w:bCs w:val="1"/>
                <w:sz w:val="20"/>
                <w:szCs w:val="20"/>
              </w:rPr>
            </w:pPr>
            <w:r w:rsidDel="00000000" w:rsidR="00000000" w:rsidRPr="00000000">
              <w:rPr>
                <w:b w:val="1"/>
                <w:bCs w:val="1"/>
                <w:sz w:val="20"/>
                <w:szCs w:val="20"/>
                <w:rtl w:val="0"/>
              </w:rPr>
              <w:t xml:space="preserve">16833890621</w:t>
            </w:r>
          </w:p>
        </w:tc>
      </w:tr>
      <w:tr>
        <w:trPr>
          <w:cantSplit w:val="0"/>
          <w:trHeight w:val="225" w:hRule="atLeast"/>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8C">
            <w:pPr>
              <w:jc w:val="center"/>
              <w:rPr>
                <w:sz w:val="20"/>
                <w:szCs w:val="20"/>
              </w:rPr>
            </w:pPr>
            <w:r w:rsidDel="00000000" w:rsidR="00000000" w:rsidRPr="00000000">
              <w:rPr>
                <w:b w:val="1"/>
                <w:bCs w:val="1"/>
                <w:sz w:val="20"/>
                <w:szCs w:val="20"/>
                <w:rtl w:val="0"/>
              </w:rPr>
              <w:t xml:space="preserve">South Africa (2013)</w:t>
            </w:r>
            <w:r w:rsidDel="00000000" w:rsidR="00000000" w:rsidRPr="00000000">
              <w:rPr>
                <w:rtl w:val="0"/>
              </w:rPr>
            </w:r>
          </w:p>
        </w:tc>
      </w:tr>
    </w:tbl>
    <w:p w:rsidR="00000000" w:rsidDel="00000000" w:rsidP="00000000" w:rsidRDefault="00000000" w:rsidRPr="00000000" w14:paraId="00000191">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South Africa </w:t>
      </w:r>
      <w:r w:rsidDel="00000000" w:rsidR="00000000" w:rsidRPr="00000000">
        <w:rPr>
          <w:sz w:val="22"/>
          <w:szCs w:val="22"/>
          <w:rtl w:val="0"/>
        </w:rPr>
        <w:t xml:space="preserve"> (2013)</w:t>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t xml:space="preserve">For further suggestions on </w:t>
      </w:r>
      <w:r w:rsidDel="00000000" w:rsidR="00000000" w:rsidRPr="00000000">
        <w:rPr>
          <w:rtl w:val="0"/>
        </w:rPr>
        <w:t xml:space="preserve">South Africa </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South Africa </w:t>
      </w:r>
      <w:r w:rsidDel="00000000" w:rsidR="00000000" w:rsidRPr="00000000">
        <w:rPr>
          <w:rtl w:val="0"/>
        </w:rPr>
        <w:t xml:space="preserve"> in 2018. A more detailed numerical representation of the portfolio is shown in Table 8b. </w:t>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drawing>
          <wp:inline distB="114300" distT="114300" distL="114300" distR="114300">
            <wp:extent cx="5731200" cy="2324100"/>
            <wp:effectExtent b="0" l="0" r="0" t="0"/>
            <wp:docPr id="1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324100"/>
                    </a:xfrm>
                    <a:prstGeom prst="rect"/>
                    <a:ln/>
                  </pic:spPr>
                </pic:pic>
              </a:graphicData>
            </a:graphic>
          </wp:inline>
        </w:drawing>
      </w:r>
      <w:r w:rsidDel="00000000" w:rsidR="00000000" w:rsidRPr="00000000">
        <w:rPr/>
        <w:drawing>
          <wp:inline distB="114300" distT="114300" distL="114300" distR="114300">
            <wp:extent cx="5731200" cy="1828800"/>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South Africa </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r>
    </w:p>
    <w:tbl>
      <w:tblPr>
        <w:tblStyle w:val="Table10"/>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8">
            <w:pPr>
              <w:jc w:val="center"/>
              <w:rPr>
                <w:sz w:val="20"/>
                <w:szCs w:val="20"/>
              </w:rPr>
            </w:pPr>
            <w:r w:rsidDel="00000000" w:rsidR="00000000" w:rsidRPr="00000000">
              <w:rPr>
                <w:b w:val="1"/>
                <w:bCs w:val="1"/>
                <w:sz w:val="20"/>
                <w:szCs w:val="20"/>
                <w:rtl w:val="0"/>
              </w:rPr>
              <w:t xml:space="preserve">South Africa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E">
            <w:pPr>
              <w:jc w:val="center"/>
              <w:rPr>
                <w:sz w:val="20"/>
                <w:szCs w:val="20"/>
              </w:rPr>
            </w:pPr>
            <w:r w:rsidDel="00000000" w:rsidR="00000000" w:rsidRPr="00000000">
              <w:rPr>
                <w:b w:val="1"/>
                <w:bCs w:val="1"/>
                <w:sz w:val="20"/>
                <w:szCs w:val="20"/>
                <w:rtl w:val="0"/>
              </w:rPr>
              <w:t xml:space="preserve">0.36</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540" w:firstLine="0"/>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540" w:firstLine="0"/>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left="540" w:firstLine="0"/>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540" w:firstLine="0"/>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Services and Utilities </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A">
            <w:pPr>
              <w:widowControl w:val="0"/>
              <w:spacing w:line="276" w:lineRule="auto"/>
              <w:rPr>
                <w:sz w:val="18"/>
                <w:szCs w:val="18"/>
              </w:rPr>
            </w:pPr>
            <w:r w:rsidDel="00000000" w:rsidR="00000000" w:rsidRPr="00000000">
              <w:rPr>
                <w:sz w:val="20"/>
                <w:szCs w:val="20"/>
                <w:rtl w:val="0"/>
              </w:rPr>
              <w:t xml:space="preserve">58581939363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B">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High Complexity Products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1038089922</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F">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0">
            <w:pPr>
              <w:widowControl w:val="0"/>
              <w:spacing w:line="276" w:lineRule="auto"/>
              <w:rPr>
                <w:sz w:val="18"/>
                <w:szCs w:val="18"/>
              </w:rPr>
            </w:pPr>
            <w:r w:rsidDel="00000000" w:rsidR="00000000" w:rsidRPr="00000000">
              <w:rPr>
                <w:sz w:val="20"/>
                <w:szCs w:val="20"/>
                <w:rtl w:val="0"/>
              </w:rPr>
              <w:t xml:space="preserve">26934224994</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Textile </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rFonts w:ascii="Arial" w:cs="Arial" w:eastAsia="Arial" w:hAnsi="Arial"/>
                <w:sz w:val="20"/>
                <w:szCs w:val="20"/>
                <w:rtl w:val="0"/>
              </w:rPr>
              <w:t xml:space="preserve">1.</w:t>
            </w:r>
            <w:r w:rsidDel="00000000" w:rsidR="00000000" w:rsidRPr="00000000">
              <w:rPr>
                <w:sz w:val="20"/>
                <w:szCs w:val="20"/>
                <w:rtl w:val="0"/>
              </w:rPr>
              <w:t xml:space="preserve">6609E</w:t>
            </w: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4.0121E+10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4">
            <w:pPr>
              <w:widowControl w:val="0"/>
              <w:spacing w:line="276" w:lineRule="auto"/>
              <w:rPr>
                <w:sz w:val="18"/>
                <w:szCs w:val="18"/>
              </w:rPr>
            </w:pPr>
            <w:r w:rsidDel="00000000" w:rsidR="00000000" w:rsidRPr="00000000">
              <w:rPr>
                <w:sz w:val="20"/>
                <w:szCs w:val="20"/>
                <w:rtl w:val="0"/>
              </w:rPr>
              <w:t xml:space="preserve">14645484841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5">
            <w:pPr>
              <w:widowControl w:val="0"/>
              <w:spacing w:line="276" w:lineRule="auto"/>
              <w:rPr>
                <w:sz w:val="18"/>
                <w:szCs w:val="18"/>
              </w:rPr>
            </w:pPr>
            <w:r w:rsidDel="00000000" w:rsidR="00000000" w:rsidRPr="00000000">
              <w:rPr>
                <w:sz w:val="20"/>
                <w:szCs w:val="20"/>
                <w:rtl w:val="0"/>
              </w:rPr>
              <w:t xml:space="preserve">33667781243</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9">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A">
            <w:pPr>
              <w:widowControl w:val="0"/>
              <w:spacing w:line="276" w:lineRule="auto"/>
              <w:rPr>
                <w:sz w:val="18"/>
                <w:szCs w:val="18"/>
              </w:rPr>
            </w:pPr>
            <w:r w:rsidDel="00000000" w:rsidR="00000000" w:rsidRPr="00000000">
              <w:rPr>
                <w:sz w:val="20"/>
                <w:szCs w:val="20"/>
                <w:rtl w:val="0"/>
              </w:rPr>
              <w:t xml:space="preserve">20200668746</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2076179843</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7294685936</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E">
            <w:pPr>
              <w:widowControl w:val="0"/>
              <w:spacing w:line="276" w:lineRule="auto"/>
              <w:rPr>
                <w:sz w:val="18"/>
                <w:szCs w:val="18"/>
              </w:rPr>
            </w:pPr>
            <w:r w:rsidDel="00000000" w:rsidR="00000000" w:rsidRPr="00000000">
              <w:rPr>
                <w:sz w:val="20"/>
                <w:szCs w:val="20"/>
                <w:rtl w:val="0"/>
              </w:rPr>
              <w:t xml:space="preserve">9763656560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F">
            <w:pPr>
              <w:widowControl w:val="0"/>
              <w:spacing w:line="276" w:lineRule="auto"/>
              <w:rPr>
                <w:sz w:val="18"/>
                <w:szCs w:val="18"/>
              </w:rPr>
            </w:pPr>
            <w:r w:rsidDel="00000000" w:rsidR="00000000" w:rsidRPr="00000000">
              <w:rPr>
                <w:sz w:val="20"/>
                <w:szCs w:val="20"/>
                <w:rtl w:val="0"/>
              </w:rPr>
              <w:t xml:space="preserve">1023949012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C1">
            <w:pPr>
              <w:widowControl w:val="0"/>
              <w:spacing w:line="276" w:lineRule="auto"/>
              <w:rPr>
                <w:b w:val="1"/>
                <w:bCs w:val="1"/>
                <w:sz w:val="20"/>
                <w:szCs w:val="20"/>
              </w:rPr>
            </w:pPr>
            <w:r w:rsidDel="00000000" w:rsidR="00000000" w:rsidRPr="00000000">
              <w:rPr>
                <w:b w:val="1"/>
                <w:bCs w:val="1"/>
                <w:sz w:val="20"/>
                <w:szCs w:val="20"/>
                <w:rtl w:val="0"/>
              </w:rPr>
              <w:t xml:space="preserve">1.1419E+10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C2">
            <w:pPr>
              <w:widowControl w:val="0"/>
              <w:spacing w:line="276" w:lineRule="auto"/>
              <w:rPr>
                <w:b w:val="1"/>
                <w:bCs w:val="1"/>
                <w:sz w:val="20"/>
                <w:szCs w:val="20"/>
              </w:rPr>
            </w:pPr>
            <w:r w:rsidDel="00000000" w:rsidR="00000000" w:rsidRPr="00000000">
              <w:rPr>
                <w:b w:val="1"/>
                <w:bCs w:val="1"/>
                <w:sz w:val="20"/>
                <w:szCs w:val="20"/>
                <w:rtl w:val="0"/>
              </w:rPr>
              <w:t xml:space="preserve">6.2005E+10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C3">
            <w:pPr>
              <w:widowControl w:val="0"/>
              <w:spacing w:line="276" w:lineRule="auto"/>
              <w:rPr>
                <w:b w:val="1"/>
                <w:bCs w:val="1"/>
                <w:sz w:val="20"/>
                <w:szCs w:val="20"/>
              </w:rPr>
            </w:pPr>
            <w:r w:rsidDel="00000000" w:rsidR="00000000" w:rsidRPr="00000000">
              <w:rPr>
                <w:b w:val="1"/>
                <w:bCs w:val="1"/>
                <w:sz w:val="20"/>
                <w:szCs w:val="20"/>
                <w:rtl w:val="0"/>
              </w:rPr>
              <w:t xml:space="preserve">63463767643</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C4">
            <w:pPr>
              <w:widowControl w:val="0"/>
              <w:spacing w:line="276" w:lineRule="auto"/>
              <w:rPr>
                <w:b w:val="1"/>
                <w:bCs w:val="1"/>
                <w:sz w:val="20"/>
                <w:szCs w:val="20"/>
              </w:rPr>
            </w:pPr>
            <w:r w:rsidDel="00000000" w:rsidR="00000000" w:rsidRPr="00000000">
              <w:rPr>
                <w:b w:val="1"/>
                <w:bCs w:val="1"/>
                <w:sz w:val="20"/>
                <w:szCs w:val="20"/>
                <w:rtl w:val="0"/>
              </w:rPr>
              <w:t xml:space="preserve">16833890621</w:t>
            </w:r>
          </w:p>
        </w:tc>
      </w:tr>
      <w:tr>
        <w:trPr>
          <w:cantSplit w:val="0"/>
          <w:trHeight w:val="225" w:hRule="atLeast"/>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5">
            <w:pPr>
              <w:jc w:val="center"/>
              <w:rPr>
                <w:sz w:val="20"/>
                <w:szCs w:val="20"/>
              </w:rPr>
            </w:pPr>
            <w:r w:rsidDel="00000000" w:rsidR="00000000" w:rsidRPr="00000000">
              <w:rPr>
                <w:b w:val="1"/>
                <w:bCs w:val="1"/>
                <w:sz w:val="20"/>
                <w:szCs w:val="20"/>
                <w:rtl w:val="0"/>
              </w:rPr>
              <w:t xml:space="preserve">South Africa (2018)</w:t>
            </w:r>
            <w:r w:rsidDel="00000000" w:rsidR="00000000" w:rsidRPr="00000000">
              <w:rPr>
                <w:rtl w:val="0"/>
              </w:rPr>
            </w:r>
          </w:p>
        </w:tc>
      </w:tr>
    </w:tbl>
    <w:p w:rsidR="00000000" w:rsidDel="00000000" w:rsidP="00000000" w:rsidRDefault="00000000" w:rsidRPr="00000000" w14:paraId="000001CA">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South Africa </w:t>
      </w:r>
      <w:r w:rsidDel="00000000" w:rsidR="00000000" w:rsidRPr="00000000">
        <w:rPr>
          <w:sz w:val="22"/>
          <w:szCs w:val="22"/>
          <w:rtl w:val="0"/>
        </w:rPr>
        <w:t xml:space="preserve"> (2018)</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2022</w:t>
      </w:r>
      <w:r w:rsidDel="00000000" w:rsidR="00000000" w:rsidRPr="00000000">
        <w:rPr>
          <w:rtl w:val="0"/>
        </w:rPr>
        <w:t xml:space="preserve">. </w:t>
      </w:r>
      <w:r w:rsidDel="00000000" w:rsidR="00000000" w:rsidRPr="00000000">
        <w:rPr>
          <w:rtl w:val="0"/>
        </w:rPr>
        <w:t xml:space="preserve">For 2022, </w:t>
      </w:r>
      <w:r w:rsidDel="00000000" w:rsidR="00000000" w:rsidRPr="00000000">
        <w:rPr>
          <w:rtl w:val="0"/>
        </w:rPr>
        <w:t xml:space="preserve">a 5 percent increase in export would emphasize Services and Utilities, followed by High Complexity Products, Textile, Machinery and Construction, and Raw Manufacturing for 10, 15, and 20 percent export growth respectively. These strategies go in line with the suggested trajectories based on ECI. A more detailed numerical representation of the portfolio for </w:t>
      </w:r>
      <w:r w:rsidDel="00000000" w:rsidR="00000000" w:rsidRPr="00000000">
        <w:rPr>
          <w:rtl w:val="0"/>
        </w:rPr>
        <w:t xml:space="preserve">South Africa </w:t>
      </w:r>
      <w:r w:rsidDel="00000000" w:rsidR="00000000" w:rsidRPr="00000000">
        <w:rPr>
          <w:rtl w:val="0"/>
        </w:rPr>
        <w:t xml:space="preserve"> is shown in Table 8c.</w:t>
      </w:r>
    </w:p>
    <w:p w:rsidR="00000000" w:rsidDel="00000000" w:rsidP="00000000" w:rsidRDefault="00000000" w:rsidRPr="00000000" w14:paraId="000001CD">
      <w:pPr>
        <w:jc w:val="both"/>
        <w:rPr>
          <w:sz w:val="22"/>
          <w:szCs w:val="22"/>
        </w:rPr>
      </w:pPr>
      <w:r w:rsidDel="00000000" w:rsidR="00000000" w:rsidRPr="00000000">
        <w:rPr/>
        <w:drawing>
          <wp:inline distB="114300" distT="114300" distL="114300" distR="114300">
            <wp:extent cx="5731200" cy="2324100"/>
            <wp:effectExtent b="0" l="0" r="0" t="0"/>
            <wp:docPr id="2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both"/>
        <w:rPr>
          <w:sz w:val="22"/>
          <w:szCs w:val="22"/>
        </w:rPr>
      </w:pPr>
      <w:r w:rsidDel="00000000" w:rsidR="00000000" w:rsidRPr="00000000">
        <w:rPr/>
        <w:drawing>
          <wp:inline distB="114300" distT="114300" distL="114300" distR="114300">
            <wp:extent cx="5731200" cy="1828800"/>
            <wp:effectExtent b="0" l="0" r="0" t="0"/>
            <wp:docPr id="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South Africa </w:t>
      </w:r>
      <w:r w:rsidDel="00000000" w:rsidR="00000000" w:rsidRPr="00000000">
        <w:rPr>
          <w:sz w:val="22"/>
          <w:szCs w:val="22"/>
          <w:rtl w:val="0"/>
        </w:rPr>
        <w:t xml:space="preserve"> with Different Budgets (2022)</w:t>
      </w:r>
    </w:p>
    <w:p w:rsidR="00000000" w:rsidDel="00000000" w:rsidP="00000000" w:rsidRDefault="00000000" w:rsidRPr="00000000" w14:paraId="000001D0">
      <w:pPr>
        <w:jc w:val="left"/>
        <w:rPr>
          <w:sz w:val="22"/>
          <w:szCs w:val="22"/>
        </w:rPr>
      </w:pPr>
      <w:r w:rsidDel="00000000" w:rsidR="00000000" w:rsidRPr="00000000">
        <w:rPr>
          <w:rtl w:val="0"/>
        </w:rPr>
      </w:r>
    </w:p>
    <w:p w:rsidR="00000000" w:rsidDel="00000000" w:rsidP="00000000" w:rsidRDefault="00000000" w:rsidRPr="00000000" w14:paraId="000001D1">
      <w:pPr>
        <w:jc w:val="center"/>
        <w:rPr/>
      </w:pPr>
      <w:r w:rsidDel="00000000" w:rsidR="00000000" w:rsidRPr="00000000">
        <w:rPr>
          <w:rtl w:val="0"/>
        </w:rPr>
      </w:r>
    </w:p>
    <w:tbl>
      <w:tblPr>
        <w:tblStyle w:val="Table11"/>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D2">
            <w:pPr>
              <w:jc w:val="center"/>
              <w:rPr>
                <w:sz w:val="20"/>
                <w:szCs w:val="20"/>
              </w:rPr>
            </w:pPr>
            <w:r w:rsidDel="00000000" w:rsidR="00000000" w:rsidRPr="00000000">
              <w:rPr>
                <w:b w:val="1"/>
                <w:bCs w:val="1"/>
                <w:sz w:val="20"/>
                <w:szCs w:val="20"/>
                <w:rtl w:val="0"/>
              </w:rPr>
              <w:t xml:space="preserve">South Africa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8">
            <w:pPr>
              <w:jc w:val="center"/>
              <w:rPr>
                <w:sz w:val="20"/>
                <w:szCs w:val="20"/>
              </w:rPr>
            </w:pPr>
            <w:r w:rsidDel="00000000" w:rsidR="00000000" w:rsidRPr="00000000">
              <w:rPr>
                <w:b w:val="1"/>
                <w:bCs w:val="1"/>
                <w:sz w:val="20"/>
                <w:szCs w:val="20"/>
                <w:rtl w:val="0"/>
              </w:rPr>
              <w:t xml:space="preserve">0.36</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left="540" w:firstLine="0"/>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540" w:firstLine="0"/>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left="540" w:firstLine="0"/>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left="540" w:firstLine="0"/>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Services and Utilities </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E4">
            <w:pPr>
              <w:widowControl w:val="0"/>
              <w:spacing w:line="276" w:lineRule="auto"/>
              <w:rPr>
                <w:sz w:val="18"/>
                <w:szCs w:val="18"/>
              </w:rPr>
            </w:pPr>
            <w:r w:rsidDel="00000000" w:rsidR="00000000" w:rsidRPr="00000000">
              <w:rPr>
                <w:sz w:val="20"/>
                <w:szCs w:val="20"/>
                <w:rtl w:val="0"/>
              </w:rPr>
              <w:t xml:space="preserve">58581939363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E5">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High Complexity Products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1038089922</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E9">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EA">
            <w:pPr>
              <w:widowControl w:val="0"/>
              <w:spacing w:line="276" w:lineRule="auto"/>
              <w:rPr>
                <w:sz w:val="18"/>
                <w:szCs w:val="18"/>
              </w:rPr>
            </w:pPr>
            <w:r w:rsidDel="00000000" w:rsidR="00000000" w:rsidRPr="00000000">
              <w:rPr>
                <w:sz w:val="20"/>
                <w:szCs w:val="20"/>
                <w:rtl w:val="0"/>
              </w:rPr>
              <w:t xml:space="preserve">26934224994</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Textile </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rFonts w:ascii="Arial" w:cs="Arial" w:eastAsia="Arial" w:hAnsi="Arial"/>
                <w:sz w:val="20"/>
                <w:szCs w:val="20"/>
                <w:rtl w:val="0"/>
              </w:rPr>
              <w:t xml:space="preserve">1.</w:t>
            </w:r>
            <w:r w:rsidDel="00000000" w:rsidR="00000000" w:rsidRPr="00000000">
              <w:rPr>
                <w:sz w:val="20"/>
                <w:szCs w:val="20"/>
                <w:rtl w:val="0"/>
              </w:rPr>
              <w:t xml:space="preserve">6609E</w:t>
            </w: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4.0121E+10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EE">
            <w:pPr>
              <w:widowControl w:val="0"/>
              <w:spacing w:line="276" w:lineRule="auto"/>
              <w:rPr>
                <w:sz w:val="18"/>
                <w:szCs w:val="18"/>
              </w:rPr>
            </w:pPr>
            <w:r w:rsidDel="00000000" w:rsidR="00000000" w:rsidRPr="00000000">
              <w:rPr>
                <w:sz w:val="20"/>
                <w:szCs w:val="20"/>
                <w:rtl w:val="0"/>
              </w:rPr>
              <w:t xml:space="preserve">14645484841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EF">
            <w:pPr>
              <w:widowControl w:val="0"/>
              <w:spacing w:line="276" w:lineRule="auto"/>
              <w:rPr>
                <w:sz w:val="18"/>
                <w:szCs w:val="18"/>
              </w:rPr>
            </w:pPr>
            <w:r w:rsidDel="00000000" w:rsidR="00000000" w:rsidRPr="00000000">
              <w:rPr>
                <w:sz w:val="20"/>
                <w:szCs w:val="20"/>
                <w:rtl w:val="0"/>
              </w:rPr>
              <w:t xml:space="preserve">33667781243</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3">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4">
            <w:pPr>
              <w:widowControl w:val="0"/>
              <w:spacing w:line="276" w:lineRule="auto"/>
              <w:rPr>
                <w:sz w:val="18"/>
                <w:szCs w:val="18"/>
              </w:rPr>
            </w:pPr>
            <w:r w:rsidDel="00000000" w:rsidR="00000000" w:rsidRPr="00000000">
              <w:rPr>
                <w:sz w:val="20"/>
                <w:szCs w:val="20"/>
                <w:rtl w:val="0"/>
              </w:rPr>
              <w:t xml:space="preserve">20200668746</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2076179843</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7294685936</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8">
            <w:pPr>
              <w:widowControl w:val="0"/>
              <w:spacing w:line="276" w:lineRule="auto"/>
              <w:rPr>
                <w:sz w:val="18"/>
                <w:szCs w:val="18"/>
              </w:rPr>
            </w:pPr>
            <w:r w:rsidDel="00000000" w:rsidR="00000000" w:rsidRPr="00000000">
              <w:rPr>
                <w:sz w:val="20"/>
                <w:szCs w:val="20"/>
                <w:rtl w:val="0"/>
              </w:rPr>
              <w:t xml:space="preserve">9763656560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9">
            <w:pPr>
              <w:widowControl w:val="0"/>
              <w:spacing w:line="276" w:lineRule="auto"/>
              <w:rPr>
                <w:sz w:val="18"/>
                <w:szCs w:val="18"/>
              </w:rPr>
            </w:pPr>
            <w:r w:rsidDel="00000000" w:rsidR="00000000" w:rsidRPr="00000000">
              <w:rPr>
                <w:sz w:val="20"/>
                <w:szCs w:val="20"/>
                <w:rtl w:val="0"/>
              </w:rPr>
              <w:t xml:space="preserve">1023949012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B">
            <w:pPr>
              <w:widowControl w:val="0"/>
              <w:spacing w:line="276" w:lineRule="auto"/>
              <w:rPr>
                <w:b w:val="1"/>
                <w:bCs w:val="1"/>
                <w:sz w:val="20"/>
                <w:szCs w:val="20"/>
              </w:rPr>
            </w:pPr>
            <w:r w:rsidDel="00000000" w:rsidR="00000000" w:rsidRPr="00000000">
              <w:rPr>
                <w:b w:val="1"/>
                <w:bCs w:val="1"/>
                <w:sz w:val="20"/>
                <w:szCs w:val="20"/>
                <w:rtl w:val="0"/>
              </w:rPr>
              <w:t xml:space="preserve">1.1419E+10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C">
            <w:pPr>
              <w:widowControl w:val="0"/>
              <w:spacing w:line="276" w:lineRule="auto"/>
              <w:rPr>
                <w:b w:val="1"/>
                <w:bCs w:val="1"/>
                <w:sz w:val="20"/>
                <w:szCs w:val="20"/>
              </w:rPr>
            </w:pPr>
            <w:r w:rsidDel="00000000" w:rsidR="00000000" w:rsidRPr="00000000">
              <w:rPr>
                <w:b w:val="1"/>
                <w:bCs w:val="1"/>
                <w:sz w:val="20"/>
                <w:szCs w:val="20"/>
                <w:rtl w:val="0"/>
              </w:rPr>
              <w:t xml:space="preserve">6.2005E+10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D">
            <w:pPr>
              <w:widowControl w:val="0"/>
              <w:spacing w:line="276" w:lineRule="auto"/>
              <w:rPr>
                <w:b w:val="1"/>
                <w:bCs w:val="1"/>
                <w:sz w:val="20"/>
                <w:szCs w:val="20"/>
              </w:rPr>
            </w:pPr>
            <w:r w:rsidDel="00000000" w:rsidR="00000000" w:rsidRPr="00000000">
              <w:rPr>
                <w:b w:val="1"/>
                <w:bCs w:val="1"/>
                <w:sz w:val="20"/>
                <w:szCs w:val="20"/>
                <w:rtl w:val="0"/>
              </w:rPr>
              <w:t xml:space="preserve">63463767643</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E">
            <w:pPr>
              <w:widowControl w:val="0"/>
              <w:spacing w:line="276" w:lineRule="auto"/>
              <w:rPr>
                <w:b w:val="1"/>
                <w:bCs w:val="1"/>
                <w:sz w:val="20"/>
                <w:szCs w:val="20"/>
              </w:rPr>
            </w:pPr>
            <w:r w:rsidDel="00000000" w:rsidR="00000000" w:rsidRPr="00000000">
              <w:rPr>
                <w:b w:val="1"/>
                <w:bCs w:val="1"/>
                <w:sz w:val="20"/>
                <w:szCs w:val="20"/>
                <w:rtl w:val="0"/>
              </w:rPr>
              <w:t xml:space="preserve">16833890621</w:t>
            </w:r>
          </w:p>
        </w:tc>
      </w:tr>
      <w:tr>
        <w:trPr>
          <w:cantSplit w:val="0"/>
          <w:trHeight w:val="225" w:hRule="atLeast"/>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FF">
            <w:pPr>
              <w:jc w:val="center"/>
              <w:rPr>
                <w:sz w:val="20"/>
                <w:szCs w:val="20"/>
              </w:rPr>
            </w:pPr>
            <w:r w:rsidDel="00000000" w:rsidR="00000000" w:rsidRPr="00000000">
              <w:rPr>
                <w:b w:val="1"/>
                <w:bCs w:val="1"/>
                <w:sz w:val="20"/>
                <w:szCs w:val="20"/>
                <w:rtl w:val="0"/>
              </w:rPr>
              <w:t xml:space="preserve">South Africa (2022)</w:t>
            </w:r>
            <w:r w:rsidDel="00000000" w:rsidR="00000000" w:rsidRPr="00000000">
              <w:rPr>
                <w:rtl w:val="0"/>
              </w:rPr>
            </w:r>
          </w:p>
        </w:tc>
      </w:tr>
    </w:tbl>
    <w:p w:rsidR="00000000" w:rsidDel="00000000" w:rsidP="00000000" w:rsidRDefault="00000000" w:rsidRPr="00000000" w14:paraId="00000204">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South Africa </w:t>
      </w:r>
      <w:r w:rsidDel="00000000" w:rsidR="00000000" w:rsidRPr="00000000">
        <w:rPr>
          <w:sz w:val="22"/>
          <w:szCs w:val="22"/>
          <w:rtl w:val="0"/>
        </w:rPr>
        <w:t xml:space="preserv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205">
      <w:pPr>
        <w:jc w:val="center"/>
        <w:rPr>
          <w:sz w:val="22"/>
          <w:szCs w:val="22"/>
        </w:rPr>
      </w:pPr>
      <w:r w:rsidDel="00000000" w:rsidR="00000000" w:rsidRPr="00000000">
        <w:rPr>
          <w:rtl w:val="0"/>
        </w:rPr>
      </w:r>
    </w:p>
    <w:p w:rsidR="00000000" w:rsidDel="00000000" w:rsidP="00000000" w:rsidRDefault="00000000" w:rsidRPr="00000000" w14:paraId="00000206">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07">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South Africa </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208">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209">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0A">
      <w:pPr>
        <w:jc w:val="both"/>
        <w:rPr>
          <w:b w:val="1"/>
          <w:bCs w:val="1"/>
        </w:rPr>
      </w:pPr>
      <w:r w:rsidDel="00000000" w:rsidR="00000000" w:rsidRPr="00000000">
        <w:rPr>
          <w:b w:val="1"/>
          <w:bCs w:val="1"/>
        </w:rPr>
        <w:drawing>
          <wp:inline distB="114300" distT="114300" distL="114300" distR="114300">
            <wp:extent cx="5310188" cy="2519630"/>
            <wp:effectExtent b="0" l="0" r="0" t="0"/>
            <wp:docPr id="13"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0C">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2022, 2018, and 2013. The first chart, Incremental ECI Sensitivity, shows positive </w:t>
      </w:r>
      <w:r w:rsidDel="00000000" w:rsidR="00000000" w:rsidRPr="00000000">
        <w:rPr>
          <w:rtl w:val="0"/>
        </w:rPr>
        <w:t xml:space="preserve">shocking</w:t>
      </w:r>
      <w:r w:rsidDel="00000000" w:rsidR="00000000" w:rsidRPr="00000000">
        <w:rPr>
          <w:rtl w:val="0"/>
        </w:rPr>
        <w:t xml:space="preserve">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0D">
      <w:pPr>
        <w:pageBreakBefore w:val="0"/>
        <w:spacing w:after="0" w:before="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E">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0F">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210">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211">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12">
      <w:pPr>
        <w:pageBreakBefore w:val="0"/>
        <w:spacing w:line="276" w:lineRule="auto"/>
        <w:rPr/>
      </w:pPr>
      <w:r w:rsidDel="00000000" w:rsidR="00000000" w:rsidRPr="00000000">
        <w:rPr>
          <w:rtl w:val="0"/>
        </w:rPr>
      </w:r>
    </w:p>
    <w:p w:rsidR="00000000" w:rsidDel="00000000" w:rsidP="00000000" w:rsidRDefault="00000000" w:rsidRPr="00000000" w14:paraId="00000213">
      <w:pPr>
        <w:pageBreakBefore w:val="0"/>
        <w:jc w:val="both"/>
        <w:rPr/>
      </w:pPr>
      <w:r w:rsidDel="00000000" w:rsidR="00000000" w:rsidRPr="00000000">
        <w:rPr/>
        <w:drawing>
          <wp:inline distB="114300" distT="114300" distL="114300" distR="114300">
            <wp:extent cx="5734050" cy="1739900"/>
            <wp:effectExtent b="0" l="0" r="0" t="0"/>
            <wp:docPr id="2"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15">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216">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217">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18">
      <w:pPr>
        <w:pageBreakBefore w:val="0"/>
        <w:spacing w:line="276" w:lineRule="auto"/>
        <w:rPr/>
      </w:pPr>
      <w:r w:rsidDel="00000000" w:rsidR="00000000" w:rsidRPr="00000000">
        <w:rPr>
          <w:rtl w:val="0"/>
        </w:rPr>
      </w:r>
    </w:p>
    <w:tbl>
      <w:tblPr>
        <w:tblStyle w:val="Table12"/>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5">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65">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26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8">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69">
      <w:pPr>
        <w:pageBreakBefore w:val="0"/>
        <w:jc w:val="both"/>
        <w:rPr/>
      </w:pPr>
      <w:r w:rsidDel="00000000" w:rsidR="00000000" w:rsidRPr="00000000">
        <w:rPr>
          <w:rtl w:val="0"/>
        </w:rPr>
        <w:t xml:space="preserve">We examine </w:t>
      </w:r>
      <w:r w:rsidDel="00000000" w:rsidR="00000000" w:rsidRPr="00000000">
        <w:rPr>
          <w:rtl w:val="0"/>
        </w:rPr>
        <w:t xml:space="preserve">South Africa </w:t>
      </w:r>
      <w:r w:rsidDel="00000000" w:rsidR="00000000" w:rsidRPr="00000000">
        <w:rPr>
          <w:rtl w:val="0"/>
        </w:rPr>
        <w:t xml:space="preserve">'s ECI Decremental and Incremental Sensitivity Charts for 2022. An increase in Energy Drilling and Mining will lead to the highest change in ECI, followed by Chemical Manufacturing, and Animal and By-products. The strong sensitivity effect of manipulating the Energy Drilling and Mining category remains consistent with previous years. For the negative shock cases, Weapons, Precious Stones, and Raw Manufacturing become most impactful,</w:t>
      </w:r>
      <w:r w:rsidDel="00000000" w:rsidR="00000000" w:rsidRPr="00000000">
        <w:rPr>
          <w:rtl w:val="0"/>
        </w:rPr>
        <w:t xml:space="preserve">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26A">
      <w:pPr>
        <w:pageBreakBefore w:val="0"/>
        <w:jc w:val="both"/>
        <w:rPr/>
      </w:pPr>
      <w:r w:rsidDel="00000000" w:rsidR="00000000" w:rsidRPr="00000000">
        <w:rPr>
          <w:rtl w:val="0"/>
        </w:rPr>
      </w:r>
    </w:p>
    <w:p w:rsidR="00000000" w:rsidDel="00000000" w:rsidP="00000000" w:rsidRDefault="00000000" w:rsidRPr="00000000" w14:paraId="0000026B">
      <w:pPr>
        <w:pageBreakBefore w:val="0"/>
        <w:jc w:val="both"/>
        <w:rPr/>
      </w:pPr>
      <w:r w:rsidDel="00000000" w:rsidR="00000000" w:rsidRPr="00000000">
        <w:rPr/>
        <w:drawing>
          <wp:inline distB="114300" distT="114300" distL="114300" distR="114300">
            <wp:extent cx="4900613" cy="3280643"/>
            <wp:effectExtent b="0" l="0" r="0" t="0"/>
            <wp:docPr id="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900613" cy="3280643"/>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South Africa </w:t>
      </w:r>
      <w:r w:rsidDel="00000000" w:rsidR="00000000" w:rsidRPr="00000000">
        <w:rPr>
          <w:sz w:val="22"/>
          <w:szCs w:val="22"/>
          <w:rtl w:val="0"/>
        </w:rPr>
        <w:t xml:space="preserve"> (2022)</w:t>
      </w:r>
    </w:p>
    <w:p w:rsidR="00000000" w:rsidDel="00000000" w:rsidP="00000000" w:rsidRDefault="00000000" w:rsidRPr="00000000" w14:paraId="0000026D">
      <w:pPr>
        <w:jc w:val="center"/>
        <w:rPr>
          <w:sz w:val="22"/>
          <w:szCs w:val="22"/>
        </w:rPr>
      </w:pPr>
      <w:r w:rsidDel="00000000" w:rsidR="00000000" w:rsidRPr="00000000">
        <w:rPr>
          <w:sz w:val="22"/>
          <w:szCs w:val="22"/>
        </w:rPr>
        <w:drawing>
          <wp:inline distB="114300" distT="114300" distL="114300" distR="114300">
            <wp:extent cx="5731200" cy="1905000"/>
            <wp:effectExtent b="0" l="0" r="0" t="0"/>
            <wp:docPr id="2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South Africa </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26F">
      <w:pPr>
        <w:pageBreakBefore w:val="0"/>
        <w:jc w:val="both"/>
        <w:rPr/>
      </w:pPr>
      <w:r w:rsidDel="00000000" w:rsidR="00000000" w:rsidRPr="00000000">
        <w:rPr>
          <w:rtl w:val="0"/>
        </w:rPr>
      </w:r>
    </w:p>
    <w:p w:rsidR="00000000" w:rsidDel="00000000" w:rsidP="00000000" w:rsidRDefault="00000000" w:rsidRPr="00000000" w14:paraId="00000270">
      <w:pPr>
        <w:pageBreakBefore w:val="0"/>
        <w:jc w:val="both"/>
        <w:rPr/>
      </w:pPr>
      <w:r w:rsidDel="00000000" w:rsidR="00000000" w:rsidRPr="00000000">
        <w:rPr>
          <w:rtl w:val="0"/>
        </w:rPr>
        <w:t xml:space="preserve">Below is </w:t>
      </w:r>
      <w:r w:rsidDel="00000000" w:rsidR="00000000" w:rsidRPr="00000000">
        <w:rPr>
          <w:rtl w:val="0"/>
        </w:rPr>
        <w:t xml:space="preserve">South Africa </w:t>
      </w:r>
      <w:r w:rsidDel="00000000" w:rsidR="00000000" w:rsidRPr="00000000">
        <w:rPr>
          <w:rtl w:val="0"/>
        </w:rPr>
        <w:t xml:space="preserve">'s 2018 ECI Sensitivity Charts. First, in the positive chart, we notice immediately that increases in Energy Drilling and Mining, Chemical Manufacturing, and Animal and By-products lead to an uptrend of ECI. Energy Drilling and Mining and Chemical Manufacturing seem to give the most immediate increase in ECI for only a 20-30% increase in export magnitude. </w:t>
      </w:r>
    </w:p>
    <w:p w:rsidR="00000000" w:rsidDel="00000000" w:rsidP="00000000" w:rsidRDefault="00000000" w:rsidRPr="00000000" w14:paraId="00000271">
      <w:pPr>
        <w:pageBreakBefore w:val="0"/>
        <w:jc w:val="both"/>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Next, we consider </w:t>
      </w:r>
      <w:r w:rsidDel="00000000" w:rsidR="00000000" w:rsidRPr="00000000">
        <w:rPr>
          <w:rtl w:val="0"/>
        </w:rPr>
        <w:t xml:space="preserve">South Africa </w:t>
      </w:r>
      <w:r w:rsidDel="00000000" w:rsidR="00000000" w:rsidRPr="00000000">
        <w:rPr>
          <w:rtl w:val="0"/>
        </w:rPr>
        <w:t xml:space="preserve">'s 2018 Negative Shock chart. We see that </w:t>
      </w:r>
      <w:r w:rsidDel="00000000" w:rsidR="00000000" w:rsidRPr="00000000">
        <w:rPr>
          <w:rtl w:val="0"/>
        </w:rPr>
        <w:t xml:space="preserve">South Africa </w:t>
      </w:r>
      <w:r w:rsidDel="00000000" w:rsidR="00000000" w:rsidRPr="00000000">
        <w:rPr>
          <w:rtl w:val="0"/>
        </w:rPr>
        <w:t xml:space="preserve"> is sensitive to changes in export levels in Weapons, Precious Stones, and Raw Manufacturing as well as Daily Instruments and Food and Preparations. Interestingly, </w:t>
      </w:r>
      <w:r w:rsidDel="00000000" w:rsidR="00000000" w:rsidRPr="00000000">
        <w:rPr>
          <w:rtl w:val="0"/>
        </w:rPr>
        <w:t xml:space="preserve">South Africa </w:t>
      </w:r>
      <w:r w:rsidDel="00000000" w:rsidR="00000000" w:rsidRPr="00000000">
        <w:rPr>
          <w:rtl w:val="0"/>
        </w:rPr>
        <w:t xml:space="preserve"> is highly insensitive to changes in most other industries suggesting that </w:t>
      </w:r>
      <w:r w:rsidDel="00000000" w:rsidR="00000000" w:rsidRPr="00000000">
        <w:rPr>
          <w:rtl w:val="0"/>
        </w:rPr>
        <w:t xml:space="preserve">South Africa </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273">
      <w:pPr>
        <w:jc w:val="both"/>
        <w:rPr>
          <w:b w:val="1"/>
          <w:bCs w:val="1"/>
        </w:rPr>
      </w:pPr>
      <w:r w:rsidDel="00000000" w:rsidR="00000000" w:rsidRPr="00000000">
        <w:rPr/>
        <w:drawing>
          <wp:inline distB="114300" distT="114300" distL="114300" distR="114300">
            <wp:extent cx="5731200" cy="3835400"/>
            <wp:effectExtent b="0" l="0" r="0" t="0"/>
            <wp:docPr id="34"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South Africa </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75">
      <w:pPr>
        <w:pageBreakBefore w:val="0"/>
        <w:jc w:val="both"/>
        <w:rPr>
          <w:b w:val="1"/>
          <w:bCs w:val="1"/>
        </w:rPr>
      </w:pPr>
      <w:r w:rsidDel="00000000" w:rsidR="00000000" w:rsidRPr="00000000">
        <w:rPr>
          <w:rtl w:val="0"/>
        </w:rPr>
      </w:r>
    </w:p>
    <w:p w:rsidR="00000000" w:rsidDel="00000000" w:rsidP="00000000" w:rsidRDefault="00000000" w:rsidRPr="00000000" w14:paraId="00000276">
      <w:pPr>
        <w:jc w:val="center"/>
        <w:rPr>
          <w:b w:val="1"/>
          <w:bCs w:val="1"/>
        </w:rPr>
      </w:pPr>
      <w:r w:rsidDel="00000000" w:rsidR="00000000" w:rsidRPr="00000000">
        <w:rPr>
          <w:sz w:val="22"/>
          <w:szCs w:val="22"/>
        </w:rPr>
        <w:drawing>
          <wp:inline distB="114300" distT="114300" distL="114300" distR="114300">
            <wp:extent cx="5731200" cy="1905000"/>
            <wp:effectExtent b="0" l="0" r="0" t="0"/>
            <wp:docPr id="2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South Africa </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78">
      <w:pPr>
        <w:pageBreakBefore w:val="0"/>
        <w:jc w:val="center"/>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Weapons, Precious Stones, and Raw Manufacturing as well as Daily Instruments and Food and Preparations lead to an uptrend in ECI. However, we see that in 2018 </w:t>
      </w:r>
      <w:r w:rsidDel="00000000" w:rsidR="00000000" w:rsidRPr="00000000">
        <w:rPr>
          <w:rtl w:val="0"/>
        </w:rPr>
        <w:t xml:space="preserve">South Africa </w:t>
      </w:r>
      <w:r w:rsidDel="00000000" w:rsidR="00000000" w:rsidRPr="00000000">
        <w:rPr>
          <w:rtl w:val="0"/>
        </w:rPr>
        <w:t xml:space="preserve"> seems to be highly sensitive to increases in Energy Drilling and Mining.</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b w:val="1"/>
          <w:bCs w:val="1"/>
        </w:rPr>
      </w:pPr>
      <w:r w:rsidDel="00000000" w:rsidR="00000000" w:rsidRPr="00000000">
        <w:rPr>
          <w:rtl w:val="0"/>
        </w:rPr>
        <w:t xml:space="preserve">In the 2013 negative shocking case, we see that again </w:t>
      </w:r>
      <w:r w:rsidDel="00000000" w:rsidR="00000000" w:rsidRPr="00000000">
        <w:rPr>
          <w:rtl w:val="0"/>
        </w:rPr>
        <w:t xml:space="preserve">South Africa </w:t>
      </w:r>
      <w:r w:rsidDel="00000000" w:rsidR="00000000" w:rsidRPr="00000000">
        <w:rPr>
          <w:rtl w:val="0"/>
        </w:rPr>
        <w:t xml:space="preserve"> is very sensitive to drawbacks in Weapons, Precious Stones, and Raw Manufacturing as well as Daily Instruments and Food and Preparations. Again, we see that </w:t>
      </w:r>
      <w:r w:rsidDel="00000000" w:rsidR="00000000" w:rsidRPr="00000000">
        <w:rPr>
          <w:rtl w:val="0"/>
        </w:rPr>
        <w:t xml:space="preserve">South Africa </w:t>
      </w:r>
      <w:r w:rsidDel="00000000" w:rsidR="00000000" w:rsidRPr="00000000">
        <w:rPr>
          <w:rtl w:val="0"/>
        </w:rPr>
        <w:t xml:space="preserve"> is highly insensitive to drawdowns in the majority of its industries. However, unlike the 2018 case, we see quite a bit of sensitivity to Energy Drilling and Mining.</w:t>
      </w:r>
      <w:r w:rsidDel="00000000" w:rsidR="00000000" w:rsidRPr="00000000">
        <w:rPr/>
        <w:drawing>
          <wp:inline distB="114300" distT="114300" distL="114300" distR="114300">
            <wp:extent cx="5731200" cy="3835400"/>
            <wp:effectExtent b="0" l="0" r="0" t="0"/>
            <wp:docPr id="6"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South Africa </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7D">
      <w:pPr>
        <w:pageBreakBefore w:val="0"/>
        <w:jc w:val="center"/>
        <w:rPr/>
      </w:pPr>
      <w:r w:rsidDel="00000000" w:rsidR="00000000" w:rsidRPr="00000000">
        <w:rPr>
          <w:rtl w:val="0"/>
        </w:rPr>
      </w:r>
    </w:p>
    <w:p w:rsidR="00000000" w:rsidDel="00000000" w:rsidP="00000000" w:rsidRDefault="00000000" w:rsidRPr="00000000" w14:paraId="0000027E">
      <w:pPr>
        <w:jc w:val="center"/>
        <w:rPr>
          <w:b w:val="1"/>
          <w:bCs w:val="1"/>
        </w:rPr>
      </w:pPr>
      <w:r w:rsidDel="00000000" w:rsidR="00000000" w:rsidRPr="00000000">
        <w:rPr>
          <w:sz w:val="22"/>
          <w:szCs w:val="22"/>
        </w:rPr>
        <w:drawing>
          <wp:inline distB="114300" distT="114300" distL="114300" distR="114300">
            <wp:extent cx="5731200" cy="1905000"/>
            <wp:effectExtent b="0" l="0" r="0" t="0"/>
            <wp:docPr id="2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South Africa </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80">
      <w:pPr>
        <w:pageBreakBefore w:val="0"/>
        <w:jc w:val="both"/>
        <w:rPr>
          <w:b w:val="1"/>
          <w:bCs w:val="1"/>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Below we see the SDV sensitivity charts for High Complexity Products. We see that fairly small increases in export of High Complexity Products makes room for other industries to shift into positive opportunity gain territory. A 50% increase in export leads to 10 new industries that offer positive opportunity gain, some of which include Chemicals, Services and Utilities, Daily Instruments, Textile, and Transportation.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Considering the Negative SDV sensitivity chart we observe that as exports of High Complexity products decrease, industries that were worth investing in begin to shift to the neutral opportunity gain region. At the extreme case we see that Services and Utilities and Machinery become the best industries to pursue after a major decrease in High Complexity products.  </w:t>
      </w:r>
    </w:p>
    <w:p w:rsidR="00000000" w:rsidDel="00000000" w:rsidP="00000000" w:rsidRDefault="00000000" w:rsidRPr="00000000" w14:paraId="00000284">
      <w:pPr>
        <w:pageBreakBefore w:val="0"/>
        <w:jc w:val="center"/>
        <w:rPr>
          <w:b w:val="1"/>
          <w:bCs w:val="1"/>
        </w:rPr>
      </w:pPr>
      <w:r w:rsidDel="00000000" w:rsidR="00000000" w:rsidRPr="00000000">
        <w:rPr>
          <w:rtl w:val="0"/>
        </w:rPr>
      </w:r>
    </w:p>
    <w:p w:rsidR="00000000" w:rsidDel="00000000" w:rsidP="00000000" w:rsidRDefault="00000000" w:rsidRPr="00000000" w14:paraId="00000285">
      <w:pPr>
        <w:pageBreakBefore w:val="0"/>
        <w:ind w:left="0" w:firstLine="0"/>
        <w:jc w:val="center"/>
        <w:rPr/>
      </w:pPr>
      <w:r w:rsidDel="00000000" w:rsidR="00000000" w:rsidRPr="00000000">
        <w:rPr>
          <w:rFonts w:ascii="Times" w:cs="Times" w:eastAsia="Times" w:hAnsi="Times"/>
          <w:b w:val="1"/>
          <w:bCs w:val="1"/>
          <w:sz w:val="28"/>
          <w:szCs w:val="28"/>
        </w:rPr>
        <w:drawing>
          <wp:inline distB="114300" distT="114300" distL="114300" distR="114300">
            <wp:extent cx="5731200" cy="1651000"/>
            <wp:effectExtent b="0" l="0" r="0" t="0"/>
            <wp:docPr id="8"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731200" cy="1651000"/>
                    </a:xfrm>
                    <a:prstGeom prst="rect"/>
                    <a:ln/>
                  </pic:spPr>
                </pic:pic>
              </a:graphicData>
            </a:graphic>
          </wp:inline>
        </w:drawing>
      </w: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South Africa </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High Complexity Products(2018) </w:t>
      </w:r>
      <w:r w:rsidDel="00000000" w:rsidR="00000000" w:rsidRPr="00000000">
        <w:rPr>
          <w:rtl w:val="0"/>
        </w:rPr>
      </w:r>
    </w:p>
    <w:p w:rsidR="00000000" w:rsidDel="00000000" w:rsidP="00000000" w:rsidRDefault="00000000" w:rsidRPr="00000000" w14:paraId="00000286">
      <w:pPr>
        <w:jc w:val="center"/>
        <w:rPr/>
      </w:pPr>
      <w:r w:rsidDel="00000000" w:rsidR="00000000" w:rsidRPr="00000000">
        <w:rPr>
          <w:rFonts w:ascii="Times" w:cs="Times" w:eastAsia="Times" w:hAnsi="Times"/>
          <w:b w:val="1"/>
          <w:bCs w:val="1"/>
          <w:sz w:val="28"/>
          <w:szCs w:val="28"/>
        </w:rPr>
        <w:drawing>
          <wp:inline distB="114300" distT="114300" distL="114300" distR="114300">
            <wp:extent cx="3638625" cy="2290763"/>
            <wp:effectExtent b="0" l="0" r="0" t="0"/>
            <wp:docPr id="24"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363862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South Africa </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Food and Preparations</w:t>
      </w:r>
      <w:r w:rsidDel="00000000" w:rsidR="00000000" w:rsidRPr="00000000">
        <w:rPr>
          <w:sz w:val="22"/>
          <w:szCs w:val="22"/>
          <w:rtl w:val="0"/>
        </w:rPr>
        <w:t xml:space="preserve">(2018)</w:t>
      </w:r>
    </w:p>
    <w:p w:rsidR="00000000" w:rsidDel="00000000" w:rsidP="00000000" w:rsidRDefault="00000000" w:rsidRPr="00000000" w14:paraId="00000288">
      <w:pPr>
        <w:jc w:val="center"/>
        <w:rPr>
          <w:sz w:val="22"/>
          <w:szCs w:val="22"/>
        </w:rPr>
      </w:pPr>
      <w:r w:rsidDel="00000000" w:rsidR="00000000" w:rsidRPr="00000000">
        <w:rPr>
          <w:rtl w:val="0"/>
        </w:rPr>
      </w:r>
    </w:p>
    <w:p w:rsidR="00000000" w:rsidDel="00000000" w:rsidP="00000000" w:rsidRDefault="00000000" w:rsidRPr="00000000" w14:paraId="00000289">
      <w:pPr>
        <w:pageBreakBefore w:val="0"/>
        <w:jc w:val="both"/>
        <w:rPr/>
      </w:pPr>
      <w:r w:rsidDel="00000000" w:rsidR="00000000" w:rsidRPr="00000000">
        <w:rPr>
          <w:rtl w:val="0"/>
        </w:rPr>
      </w:r>
    </w:p>
    <w:p w:rsidR="00000000" w:rsidDel="00000000" w:rsidP="00000000" w:rsidRDefault="00000000" w:rsidRPr="00000000" w14:paraId="0000028A">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8B">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South Africa </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8C">
      <w:pPr>
        <w:jc w:val="left"/>
        <w:rPr>
          <w:b w:val="1"/>
          <w:bCs w:val="1"/>
          <w:sz w:val="28"/>
          <w:szCs w:val="28"/>
        </w:rPr>
      </w:pPr>
      <w:r w:rsidDel="00000000" w:rsidR="00000000" w:rsidRPr="00000000">
        <w:rPr>
          <w:rtl w:val="0"/>
        </w:rPr>
      </w:r>
    </w:p>
    <w:tbl>
      <w:tblPr>
        <w:tblStyle w:val="Table13"/>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D">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0">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1">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4">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5">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8">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9">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C">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D">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0">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1">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4">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5">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8">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9">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C">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D">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0">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1">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4">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5">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8">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C">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D">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0">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1">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4">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5">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8">
            <w:pPr>
              <w:widowControl w:val="0"/>
              <w:spacing w:line="276" w:lineRule="auto"/>
              <w:rPr>
                <w:sz w:val="20"/>
                <w:szCs w:val="20"/>
              </w:rPr>
            </w:pPr>
            <w:r w:rsidDel="00000000" w:rsidR="00000000" w:rsidRPr="00000000">
              <w:rPr>
                <w:color w:val="212121"/>
                <w:sz w:val="20"/>
                <w:szCs w:val="20"/>
                <w:rtl w:val="0"/>
              </w:rPr>
              <w:t xml:space="preserve">Chemicals </w:t>
            </w:r>
            <w:r w:rsidDel="00000000" w:rsidR="00000000" w:rsidRPr="00000000">
              <w:rPr>
                <w:rtl w:val="0"/>
              </w:rPr>
            </w:r>
          </w:p>
        </w:tc>
      </w:tr>
    </w:tbl>
    <w:p w:rsidR="00000000" w:rsidDel="00000000" w:rsidP="00000000" w:rsidRDefault="00000000" w:rsidRPr="00000000" w14:paraId="000002D9">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South Africa </w:t>
      </w:r>
      <w:r w:rsidDel="00000000" w:rsidR="00000000" w:rsidRPr="00000000">
        <w:rPr>
          <w:sz w:val="22"/>
          <w:szCs w:val="22"/>
          <w:rtl w:val="0"/>
        </w:rPr>
        <w:t xml:space="preserve">’s Contingency Strategy (2018)</w:t>
      </w:r>
    </w:p>
    <w:p w:rsidR="00000000" w:rsidDel="00000000" w:rsidP="00000000" w:rsidRDefault="00000000" w:rsidRPr="00000000" w14:paraId="000002DA">
      <w:pPr>
        <w:jc w:val="left"/>
        <w:rPr/>
      </w:pPr>
      <w:r w:rsidDel="00000000" w:rsidR="00000000" w:rsidRPr="00000000">
        <w:rPr>
          <w:rtl w:val="0"/>
        </w:rPr>
      </w:r>
    </w:p>
    <w:p w:rsidR="00000000" w:rsidDel="00000000" w:rsidP="00000000" w:rsidRDefault="00000000" w:rsidRPr="00000000" w14:paraId="000002DB">
      <w:pPr>
        <w:pageBreakBefore w:val="0"/>
        <w:jc w:val="center"/>
        <w:rPr>
          <w:sz w:val="28"/>
          <w:szCs w:val="28"/>
        </w:rPr>
      </w:pPr>
      <w:r w:rsidDel="00000000" w:rsidR="00000000" w:rsidRPr="00000000">
        <w:rPr>
          <w:rtl w:val="0"/>
        </w:rPr>
      </w:r>
    </w:p>
    <w:p w:rsidR="00000000" w:rsidDel="00000000" w:rsidP="00000000" w:rsidRDefault="00000000" w:rsidRPr="00000000" w14:paraId="000002DC">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D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DE">
      <w:pPr>
        <w:pageBreakBefore w:val="0"/>
        <w:jc w:val="both"/>
        <w:rPr>
          <w:b w:val="1"/>
          <w:bCs w:val="1"/>
        </w:rPr>
      </w:pPr>
      <w:r w:rsidDel="00000000" w:rsidR="00000000" w:rsidRPr="00000000">
        <w:rPr>
          <w:rtl w:val="0"/>
        </w:rPr>
      </w:r>
    </w:p>
    <w:p w:rsidR="00000000" w:rsidDel="00000000" w:rsidP="00000000" w:rsidRDefault="00000000" w:rsidRPr="00000000" w14:paraId="000002D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E0">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E1">
      <w:pPr>
        <w:pageBreakBefore w:val="0"/>
        <w:jc w:val="both"/>
        <w:rPr/>
      </w:pPr>
      <w:r w:rsidDel="00000000" w:rsidR="00000000" w:rsidRPr="00000000">
        <w:rPr>
          <w:rtl w:val="0"/>
        </w:rPr>
      </w:r>
    </w:p>
    <w:p w:rsidR="00000000" w:rsidDel="00000000" w:rsidP="00000000" w:rsidRDefault="00000000" w:rsidRPr="00000000" w14:paraId="000002E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0.7%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-0.4%</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2E3">
      <w:pPr>
        <w:pageBreakBefore w:val="0"/>
        <w:jc w:val="both"/>
        <w:rPr/>
      </w:pPr>
      <w:r w:rsidDel="00000000" w:rsidR="00000000" w:rsidRPr="00000000">
        <w:rPr>
          <w:rtl w:val="0"/>
        </w:rPr>
      </w:r>
    </w:p>
    <w:tbl>
      <w:tblPr>
        <w:tblStyle w:val="Table14"/>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2E4">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E6">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E7">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0.6524</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E8">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0.007</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E9">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0.421</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EA">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-0.004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EB">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100</w:t>
            </w:r>
          </w:p>
        </w:tc>
      </w:tr>
    </w:tbl>
    <w:p w:rsidR="00000000" w:rsidDel="00000000" w:rsidP="00000000" w:rsidRDefault="00000000" w:rsidRPr="00000000" w14:paraId="000002EC">
      <w:pPr>
        <w:pageBreakBefore w:val="0"/>
        <w:jc w:val="left"/>
        <w:rPr/>
      </w:pPr>
      <w:r w:rsidDel="00000000" w:rsidR="00000000" w:rsidRPr="00000000">
        <w:rPr>
          <w:rtl w:val="0"/>
        </w:rPr>
      </w:r>
    </w:p>
    <w:p w:rsidR="00000000" w:rsidDel="00000000" w:rsidP="00000000" w:rsidRDefault="00000000" w:rsidRPr="00000000" w14:paraId="000002ED">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3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2EE">
      <w:pPr>
        <w:pageBreakBefore w:val="0"/>
        <w:jc w:val="both"/>
        <w:rPr/>
      </w:pPr>
      <w:r w:rsidDel="00000000" w:rsidR="00000000" w:rsidRPr="00000000">
        <w:rPr>
          <w:rtl w:val="0"/>
        </w:rPr>
      </w:r>
    </w:p>
    <w:p w:rsidR="00000000" w:rsidDel="00000000" w:rsidP="00000000" w:rsidRDefault="00000000" w:rsidRPr="00000000" w14:paraId="000002EF">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South Africa </w:t>
      </w:r>
      <w:r w:rsidDel="00000000" w:rsidR="00000000" w:rsidRPr="00000000">
        <w:rPr>
          <w:b w:val="1"/>
          <w:bCs w:val="1"/>
          <w:rtl w:val="0"/>
        </w:rPr>
        <w:t xml:space="preserve"> and Its Implications</w:t>
      </w:r>
    </w:p>
    <w:p w:rsidR="00000000" w:rsidDel="00000000" w:rsidP="00000000" w:rsidRDefault="00000000" w:rsidRPr="00000000" w14:paraId="000002F0">
      <w:pPr>
        <w:pageBreakBefore w:val="0"/>
        <w:jc w:val="both"/>
        <w:rPr/>
      </w:pPr>
      <w:r w:rsidDel="00000000" w:rsidR="00000000" w:rsidRPr="00000000">
        <w:rPr>
          <w:rtl w:val="0"/>
        </w:rPr>
        <w:t xml:space="preserve">During the first examined period, </w:t>
      </w:r>
      <w:r w:rsidDel="00000000" w:rsidR="00000000" w:rsidRPr="00000000">
        <w:rPr>
          <w:rtl w:val="0"/>
        </w:rPr>
        <w:t xml:space="preserve">South Africa </w:t>
      </w:r>
      <w:r w:rsidDel="00000000" w:rsidR="00000000" w:rsidRPr="00000000">
        <w:rPr>
          <w:rtl w:val="0"/>
        </w:rPr>
        <w:t xml:space="preserve">, for instance, has a low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South Africa </w:t>
      </w:r>
      <w:r w:rsidDel="00000000" w:rsidR="00000000" w:rsidRPr="00000000">
        <w:rPr>
          <w:rtl w:val="0"/>
        </w:rPr>
        <w:t xml:space="preserve"> demonstrates a low level of correlation with the suggested developmental path, having an adjusted R-square of around -0.004. </w:t>
      </w:r>
    </w:p>
    <w:p w:rsidR="00000000" w:rsidDel="00000000" w:rsidP="00000000" w:rsidRDefault="00000000" w:rsidRPr="00000000" w14:paraId="000002F1">
      <w:pPr>
        <w:pageBreakBefore w:val="0"/>
        <w:jc w:val="both"/>
        <w:rPr/>
      </w:pPr>
      <w:r w:rsidDel="00000000" w:rsidR="00000000" w:rsidRPr="00000000">
        <w:rPr>
          <w:rtl w:val="0"/>
        </w:rPr>
      </w:r>
    </w:p>
    <w:p w:rsidR="00000000" w:rsidDel="00000000" w:rsidP="00000000" w:rsidRDefault="00000000" w:rsidRPr="00000000" w14:paraId="000002F2">
      <w:pPr>
        <w:pageBreakBefore w:val="0"/>
        <w:jc w:val="both"/>
        <w:rPr/>
      </w:pPr>
      <w:r w:rsidDel="00000000" w:rsidR="00000000" w:rsidRPr="00000000">
        <w:rPr>
          <w:rtl w:val="0"/>
        </w:rPr>
        <w:t xml:space="preserve">South Africa </w:t>
      </w:r>
      <w:r w:rsidDel="00000000" w:rsidR="00000000" w:rsidRPr="00000000">
        <w:rPr>
          <w:rtl w:val="0"/>
        </w:rPr>
        <w:t xml:space="preserve"> ranks in the lowest quartile among all countries in terms of SOI and has made a slow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3.39%, which is consistent with the regression result in Figure 4b. This is in direct contrast to emerging economies such as Kenya, where there is a high SOI of around 4.67% and corresponding GDP growth of 8.98% from 2013 to 2018, making it one of the fastest developing economies during the period. </w:t>
      </w:r>
    </w:p>
    <w:p w:rsidR="00000000" w:rsidDel="00000000" w:rsidP="00000000" w:rsidRDefault="00000000" w:rsidRPr="00000000" w14:paraId="000002F3">
      <w:pPr>
        <w:pageBreakBefore w:val="0"/>
        <w:jc w:val="both"/>
        <w:rPr/>
      </w:pPr>
      <w:r w:rsidDel="00000000" w:rsidR="00000000" w:rsidRPr="00000000">
        <w:rPr>
          <w:rtl w:val="0"/>
        </w:rPr>
      </w:r>
    </w:p>
    <w:p w:rsidR="00000000" w:rsidDel="00000000" w:rsidP="00000000" w:rsidRDefault="00000000" w:rsidRPr="00000000" w14:paraId="000002F4">
      <w:pPr>
        <w:pageBreakBefore w:val="0"/>
        <w:jc w:val="both"/>
        <w:rPr/>
      </w:pPr>
      <w:r w:rsidDel="00000000" w:rsidR="00000000" w:rsidRPr="00000000">
        <w:rPr>
          <w:rtl w:val="0"/>
        </w:rPr>
        <w:t xml:space="preserve">Specifically, </w:t>
      </w:r>
      <w:r w:rsidDel="00000000" w:rsidR="00000000" w:rsidRPr="00000000">
        <w:rPr>
          <w:rtl w:val="0"/>
        </w:rPr>
        <w:t xml:space="preserve">South Africa </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South Africa </w:t>
      </w:r>
      <w:r w:rsidDel="00000000" w:rsidR="00000000" w:rsidRPr="00000000">
        <w:rPr>
          <w:rtl w:val="0"/>
        </w:rPr>
        <w:t xml:space="preserve"> invested heavily in the precious stones industry, while it should have focused more on industry groups such as high-tech.</w:t>
      </w:r>
    </w:p>
    <w:p w:rsidR="00000000" w:rsidDel="00000000" w:rsidP="00000000" w:rsidRDefault="00000000" w:rsidRPr="00000000" w14:paraId="000002F5">
      <w:pPr>
        <w:pageBreakBefore w:val="0"/>
        <w:jc w:val="both"/>
        <w:rPr/>
      </w:pPr>
      <w:r w:rsidDel="00000000" w:rsidR="00000000" w:rsidRPr="00000000">
        <w:rPr>
          <w:rtl w:val="0"/>
        </w:rPr>
      </w:r>
    </w:p>
    <w:p w:rsidR="00000000" w:rsidDel="00000000" w:rsidP="00000000" w:rsidRDefault="00000000" w:rsidRPr="00000000" w14:paraId="000002F6">
      <w:pPr>
        <w:pageBreakBefore w:val="0"/>
        <w:jc w:val="both"/>
        <w:rPr/>
      </w:pPr>
      <w:r w:rsidDel="00000000" w:rsidR="00000000" w:rsidRPr="00000000">
        <w:rPr/>
        <w:drawing>
          <wp:inline distB="114300" distT="114300" distL="114300" distR="114300">
            <wp:extent cx="5731200" cy="2044700"/>
            <wp:effectExtent b="0" l="0" r="0" t="0"/>
            <wp:docPr id="3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South Africa </w:t>
      </w:r>
      <w:r w:rsidDel="00000000" w:rsidR="00000000" w:rsidRPr="00000000">
        <w:rPr>
          <w:sz w:val="22"/>
          <w:szCs w:val="22"/>
          <w:rtl w:val="0"/>
        </w:rPr>
        <w:t xml:space="preserve"> (2013-2018)</w:t>
      </w:r>
    </w:p>
    <w:p w:rsidR="00000000" w:rsidDel="00000000" w:rsidP="00000000" w:rsidRDefault="00000000" w:rsidRPr="00000000" w14:paraId="000002F8">
      <w:pPr>
        <w:jc w:val="center"/>
        <w:rPr>
          <w:sz w:val="22"/>
          <w:szCs w:val="22"/>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For the 2019-2022 years, </w:t>
      </w:r>
      <w:r w:rsidDel="00000000" w:rsidR="00000000" w:rsidRPr="00000000">
        <w:rPr>
          <w:rtl w:val="0"/>
        </w:rPr>
        <w:t xml:space="preserve">South Africa </w:t>
      </w:r>
      <w:r w:rsidDel="00000000" w:rsidR="00000000" w:rsidRPr="00000000">
        <w:rPr>
          <w:rtl w:val="0"/>
        </w:rPr>
        <w:t xml:space="preserve"> has a strong presence in the High Tech and Precious Stone industries, </w:t>
      </w:r>
      <w:r w:rsidDel="00000000" w:rsidR="00000000" w:rsidRPr="00000000">
        <w:rPr>
          <w:rtl w:val="0"/>
        </w:rPr>
        <w:t xml:space="preserve">but they seem to be overdeveloped when considering their lower opportunity gain relative to RID</w:t>
      </w:r>
      <w:r w:rsidDel="00000000" w:rsidR="00000000" w:rsidRPr="00000000">
        <w:rPr>
          <w:rtl w:val="0"/>
        </w:rPr>
        <w:t xml:space="preserve">. It also could consider Food and Preparation and Mineral and Stone to improve its growth. </w:t>
      </w:r>
      <w:r w:rsidDel="00000000" w:rsidR="00000000" w:rsidRPr="00000000">
        <w:rPr>
          <w:rtl w:val="0"/>
        </w:rPr>
        <w:t xml:space="preserve">South Africa</w:t>
      </w:r>
      <w:r w:rsidDel="00000000" w:rsidR="00000000" w:rsidRPr="00000000">
        <w:rPr>
          <w:rtl w:val="0"/>
        </w:rPr>
        <w:t xml:space="preserve"> has seen a decline in GDP over those three industries. </w:t>
      </w:r>
      <w:r w:rsidDel="00000000" w:rsidR="00000000" w:rsidRPr="00000000">
        <w:rPr>
          <w:rtl w:val="0"/>
        </w:rPr>
        <w:t xml:space="preserve">South Africa </w:t>
      </w:r>
      <w:r w:rsidDel="00000000" w:rsidR="00000000" w:rsidRPr="00000000">
        <w:rPr>
          <w:rtl w:val="0"/>
        </w:rPr>
        <w:t xml:space="preserve"> also ranked among the lowest quartiles among all countries in terms of SOI.</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Lower than before, its adjusted R-squared value of -0.004</w:t>
      </w:r>
      <w:r w:rsidDel="00000000" w:rsidR="00000000" w:rsidRPr="00000000">
        <w:rPr>
          <w:rtl w:val="0"/>
        </w:rPr>
        <w:t xml:space="preserve"> </w:t>
      </w:r>
      <w:r w:rsidDel="00000000" w:rsidR="00000000" w:rsidRPr="00000000">
        <w:rPr>
          <w:rtl w:val="0"/>
        </w:rPr>
        <w:t xml:space="preserve">indicates a low correlation between the GDP growth and the implemented development path. Progress is slow on a global scale during this period, but </w:t>
      </w:r>
      <w:r w:rsidDel="00000000" w:rsidR="00000000" w:rsidRPr="00000000">
        <w:rPr>
          <w:rtl w:val="0"/>
        </w:rPr>
        <w:t xml:space="preserve">South Africa </w:t>
      </w:r>
      <w:r w:rsidDel="00000000" w:rsidR="00000000" w:rsidRPr="00000000">
        <w:rPr>
          <w:rtl w:val="0"/>
        </w:rPr>
        <w:t xml:space="preserve"> demonstrates a low ability to adjust to negative economic shocks by improving SOI and increasing GDP growth than it did between 2013 and 2018.</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drawing>
          <wp:inline distB="114300" distT="114300" distL="114300" distR="114300">
            <wp:extent cx="5731200" cy="2349500"/>
            <wp:effectExtent b="0" l="0" r="0" t="0"/>
            <wp:docPr id="9" name="image3.png"/>
            <a:graphic>
              <a:graphicData uri="http://schemas.openxmlformats.org/drawingml/2006/picture">
                <pic:pic>
                  <pic:nvPicPr>
                    <pic:cNvPr id="0" name="image3.png"/>
                    <pic:cNvPicPr preferRelativeResize="0"/>
                  </pic:nvPicPr>
                  <pic:blipFill>
                    <a:blip r:embed="rId31"/>
                    <a:srcRect b="0" l="0" r="0" t="3268"/>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South Africa </w:t>
      </w:r>
      <w:r w:rsidDel="00000000" w:rsidR="00000000" w:rsidRPr="00000000">
        <w:rPr>
          <w:sz w:val="22"/>
          <w:szCs w:val="22"/>
          <w:rtl w:val="0"/>
        </w:rPr>
        <w:t xml:space="preserve"> (2019-2022)</w:t>
      </w:r>
    </w:p>
    <w:p w:rsidR="00000000" w:rsidDel="00000000" w:rsidP="00000000" w:rsidRDefault="00000000" w:rsidRPr="00000000" w14:paraId="000002FF">
      <w:pPr>
        <w:pageBreakBefore w:val="0"/>
        <w:jc w:val="both"/>
        <w:rPr>
          <w:b w:val="1"/>
          <w:bCs w:val="1"/>
        </w:rPr>
      </w:pPr>
      <w:r w:rsidDel="00000000" w:rsidR="00000000" w:rsidRPr="00000000">
        <w:rPr>
          <w:rtl w:val="0"/>
        </w:rPr>
      </w:r>
    </w:p>
    <w:p w:rsidR="00000000" w:rsidDel="00000000" w:rsidP="00000000" w:rsidRDefault="00000000" w:rsidRPr="00000000" w14:paraId="00000300">
      <w:pPr>
        <w:pageBreakBefore w:val="0"/>
        <w:jc w:val="both"/>
        <w:rPr>
          <w:b w:val="1"/>
          <w:bCs w:val="1"/>
        </w:rPr>
      </w:pPr>
      <w:r w:rsidDel="00000000" w:rsidR="00000000" w:rsidRPr="00000000">
        <w:rPr>
          <w:rtl w:val="0"/>
        </w:rPr>
      </w:r>
    </w:p>
    <w:p w:rsidR="00000000" w:rsidDel="00000000" w:rsidP="00000000" w:rsidRDefault="00000000" w:rsidRPr="00000000" w14:paraId="00000301">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303">
      <w:pPr>
        <w:pageBreakBefore w:val="0"/>
        <w:jc w:val="both"/>
        <w:rPr/>
      </w:pPr>
      <w:r w:rsidDel="00000000" w:rsidR="00000000" w:rsidRPr="00000000">
        <w:rPr>
          <w:rtl w:val="0"/>
        </w:rPr>
      </w:r>
    </w:p>
    <w:p w:rsidR="00000000" w:rsidDel="00000000" w:rsidP="00000000" w:rsidRDefault="00000000" w:rsidRPr="00000000" w14:paraId="00000304">
      <w:pPr>
        <w:pageBreakBefore w:val="0"/>
        <w:jc w:val="both"/>
        <w:rPr/>
      </w:pPr>
      <w:r w:rsidDel="00000000" w:rsidR="00000000" w:rsidRPr="00000000">
        <w:rPr>
          <w:rtl w:val="0"/>
        </w:rPr>
        <w:t xml:space="preserve">In conclusion, </w:t>
      </w:r>
      <w:r w:rsidDel="00000000" w:rsidR="00000000" w:rsidRPr="00000000">
        <w:rPr>
          <w:rtl w:val="0"/>
        </w:rPr>
        <w:t xml:space="preserve">South Africa </w:t>
      </w:r>
      <w:r w:rsidDel="00000000" w:rsidR="00000000" w:rsidRPr="00000000">
        <w:rPr>
          <w:rtl w:val="0"/>
        </w:rPr>
        <w:t xml:space="preserve"> has demonstrated a low level of economic growth in terms of annual GDP increase during the period from 2013 to 2018, concurrent with an increase in economic complexity as compared with major developed economies. For 2019-2022, the growth in GDP has increased alongside a small boost in ECI, slightly less than</w:t>
      </w:r>
      <w:r w:rsidDel="00000000" w:rsidR="00000000" w:rsidRPr="00000000">
        <w:rPr>
          <w:rtl w:val="0"/>
        </w:rPr>
        <w:t xml:space="preserve">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305">
      <w:pPr>
        <w:pageBreakBefore w:val="0"/>
        <w:jc w:val="both"/>
        <w:rPr/>
      </w:pPr>
      <w:r w:rsidDel="00000000" w:rsidR="00000000" w:rsidRPr="00000000">
        <w:rPr>
          <w:rtl w:val="0"/>
        </w:rPr>
      </w:r>
    </w:p>
    <w:p w:rsidR="00000000" w:rsidDel="00000000" w:rsidP="00000000" w:rsidRDefault="00000000" w:rsidRPr="00000000" w14:paraId="00000306">
      <w:pPr>
        <w:pageBreakBefore w:val="0"/>
        <w:jc w:val="both"/>
        <w:rPr/>
      </w:pPr>
      <w:r w:rsidDel="00000000" w:rsidR="00000000" w:rsidRPr="00000000">
        <w:rPr>
          <w:rtl w:val="0"/>
        </w:rPr>
        <w:t xml:space="preserve">We believe that the mixed progress during the first period can be partially explained through the analysis of the economic and product complexity structure of </w:t>
      </w:r>
      <w:r w:rsidDel="00000000" w:rsidR="00000000" w:rsidRPr="00000000">
        <w:rPr>
          <w:rtl w:val="0"/>
        </w:rPr>
        <w:t xml:space="preserve">South Africa </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South Africa </w:t>
      </w:r>
      <w:r w:rsidDel="00000000" w:rsidR="00000000" w:rsidRPr="00000000">
        <w:rPr>
          <w:rtl w:val="0"/>
        </w:rPr>
        <w:t xml:space="preserve"> regressed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t xml:space="preserve">. </w:t>
      </w:r>
    </w:p>
    <w:p w:rsidR="00000000" w:rsidDel="00000000" w:rsidP="00000000" w:rsidRDefault="00000000" w:rsidRPr="00000000" w14:paraId="00000307">
      <w:pPr>
        <w:pageBreakBefore w:val="0"/>
        <w:jc w:val="both"/>
        <w:rPr/>
      </w:pPr>
      <w:r w:rsidDel="00000000" w:rsidR="00000000" w:rsidRPr="00000000">
        <w:rPr>
          <w:rtl w:val="0"/>
        </w:rPr>
      </w:r>
    </w:p>
    <w:p w:rsidR="00000000" w:rsidDel="00000000" w:rsidP="00000000" w:rsidRDefault="00000000" w:rsidRPr="00000000" w14:paraId="00000308">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South Africa </w:t>
      </w:r>
      <w:r w:rsidDel="00000000" w:rsidR="00000000" w:rsidRPr="00000000">
        <w:rPr>
          <w:rtl w:val="0"/>
        </w:rPr>
        <w:t xml:space="preserve"> can further its gains by prioritizing Weapons, Precious Stones, and Raw Manufacturing. We further note that </w:t>
      </w:r>
      <w:r w:rsidDel="00000000" w:rsidR="00000000" w:rsidRPr="00000000">
        <w:rPr>
          <w:rtl w:val="0"/>
        </w:rPr>
        <w:t xml:space="preserve">South Africa </w:t>
      </w:r>
      <w:r w:rsidDel="00000000" w:rsidR="00000000" w:rsidRPr="00000000">
        <w:rPr>
          <w:rtl w:val="0"/>
        </w:rPr>
        <w:t xml:space="preserve">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emerging countries) of structural optimality on the complexity level, having an adjusted R-square of around -0.4%. Since a negative exists between five-year GDP growth and the structural optimality index of an economy as we define and calculate, </w:t>
      </w:r>
      <w:r w:rsidDel="00000000" w:rsidR="00000000" w:rsidRPr="00000000">
        <w:rPr>
          <w:rtl w:val="0"/>
        </w:rPr>
        <w:t xml:space="preserve">South Africa </w:t>
      </w:r>
      <w:r w:rsidDel="00000000" w:rsidR="00000000" w:rsidRPr="00000000">
        <w:rPr>
          <w:rtl w:val="0"/>
        </w:rPr>
        <w:t xml:space="preserve"> indeed has a </w:t>
      </w:r>
      <w:r w:rsidDel="00000000" w:rsidR="00000000" w:rsidRPr="00000000">
        <w:rPr>
          <w:rtl w:val="0"/>
        </w:rPr>
        <w:t xml:space="preserve">suboptima</w:t>
      </w:r>
      <w:r w:rsidDel="00000000" w:rsidR="00000000" w:rsidRPr="00000000">
        <w:rPr>
          <w:rtl w:val="0"/>
        </w:rPr>
        <w:t xml:space="preserve">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309">
      <w:pPr>
        <w:pageBreakBefore w:val="0"/>
        <w:jc w:val="both"/>
        <w:rPr/>
      </w:pPr>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t xml:space="preserve">During the second examined period from 2019 to 2022, </w:t>
      </w:r>
      <w:r w:rsidDel="00000000" w:rsidR="00000000" w:rsidRPr="00000000">
        <w:rPr>
          <w:rtl w:val="0"/>
        </w:rPr>
        <w:t xml:space="preserve">South Africa </w:t>
      </w:r>
      <w:r w:rsidDel="00000000" w:rsidR="00000000" w:rsidRPr="00000000">
        <w:rPr>
          <w:rtl w:val="0"/>
        </w:rPr>
        <w:t xml:space="preserve"> performed much weaker than before and compared to other countries, particularly Kenya. We infer that during the  COVID-19 period, South Africa  focused on developing </w:t>
      </w:r>
      <w:r w:rsidDel="00000000" w:rsidR="00000000" w:rsidRPr="00000000">
        <w:rPr>
          <w:rtl w:val="0"/>
        </w:rPr>
        <w:t xml:space="preserve">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South Africa </w:t>
      </w:r>
      <w:r w:rsidDel="00000000" w:rsidR="00000000" w:rsidRPr="00000000">
        <w:rPr>
          <w:rtl w:val="0"/>
        </w:rPr>
        <w:t xml:space="preserve"> has increased its investment in the sectors identified earlier, leading to a strong boost from Wood Products and Machinery and Construction industries, leaving some room for strategic improvement. It did invest in the industries which contributed the most to its advancements, such as Wood Products and Machinery and Construction industries. The ECI suggests that greater growth could have been achieved through High Tech and Energy Drilling and Mining industries. The surprising growth also increased the adjusted R-squared value to -0.001 in 2022 from -0.004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South Africa </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 </w:t>
      </w:r>
    </w:p>
    <w:p w:rsidR="00000000" w:rsidDel="00000000" w:rsidP="00000000" w:rsidRDefault="00000000" w:rsidRPr="00000000" w14:paraId="0000030B">
      <w:pPr>
        <w:pageBreakBefore w:val="0"/>
        <w:jc w:val="both"/>
        <w:rPr/>
      </w:pPr>
      <w:r w:rsidDel="00000000" w:rsidR="00000000" w:rsidRPr="00000000">
        <w:rPr>
          <w:rtl w:val="0"/>
        </w:rPr>
      </w:r>
    </w:p>
    <w:p w:rsidR="00000000" w:rsidDel="00000000" w:rsidP="00000000" w:rsidRDefault="00000000" w:rsidRPr="00000000" w14:paraId="0000030C">
      <w:pPr>
        <w:pageBreakBefore w:val="0"/>
        <w:jc w:val="both"/>
        <w:rPr/>
      </w:pPr>
      <w:r w:rsidDel="00000000" w:rsidR="00000000" w:rsidRPr="00000000">
        <w:rPr>
          <w:rtl w:val="0"/>
        </w:rPr>
      </w:r>
    </w:p>
    <w:p w:rsidR="00000000" w:rsidDel="00000000" w:rsidP="00000000" w:rsidRDefault="00000000" w:rsidRPr="00000000" w14:paraId="0000030D">
      <w:pPr>
        <w:pageBreakBefore w:val="0"/>
        <w:jc w:val="both"/>
        <w:rPr/>
      </w:pPr>
      <w:r w:rsidDel="00000000" w:rsidR="00000000" w:rsidRPr="00000000">
        <w:rPr>
          <w:rtl w:val="0"/>
        </w:rPr>
      </w:r>
    </w:p>
    <w:p w:rsidR="00000000" w:rsidDel="00000000" w:rsidP="00000000" w:rsidRDefault="00000000" w:rsidRPr="00000000" w14:paraId="0000030E">
      <w:pPr>
        <w:pageBreakBefore w:val="0"/>
        <w:jc w:val="both"/>
        <w:rPr/>
      </w:pPr>
      <w:r w:rsidDel="00000000" w:rsidR="00000000" w:rsidRPr="00000000">
        <w:rPr>
          <w:rtl w:val="0"/>
        </w:rPr>
      </w:r>
    </w:p>
    <w:p w:rsidR="00000000" w:rsidDel="00000000" w:rsidP="00000000" w:rsidRDefault="00000000" w:rsidRPr="00000000" w14:paraId="0000030F">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31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1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313">
      <w:pPr>
        <w:pageBreakBefore w:val="0"/>
        <w:jc w:val="both"/>
        <w:rPr>
          <w:color w:val="000000"/>
          <w:highlight w:val="white"/>
        </w:rPr>
      </w:pPr>
      <w:r w:rsidDel="00000000" w:rsidR="00000000" w:rsidRPr="00000000">
        <w:rPr>
          <w:rtl w:val="0"/>
        </w:rPr>
      </w:r>
    </w:p>
    <w:p w:rsidR="00000000" w:rsidDel="00000000" w:rsidP="00000000" w:rsidRDefault="00000000" w:rsidRPr="00000000" w14:paraId="0000031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315">
      <w:pPr>
        <w:pageBreakBefore w:val="0"/>
        <w:jc w:val="both"/>
        <w:rPr>
          <w:color w:val="000000"/>
          <w:highlight w:val="white"/>
        </w:rPr>
      </w:pPr>
      <w:r w:rsidDel="00000000" w:rsidR="00000000" w:rsidRPr="00000000">
        <w:rPr>
          <w:rtl w:val="0"/>
        </w:rPr>
      </w:r>
    </w:p>
    <w:p w:rsidR="00000000" w:rsidDel="00000000" w:rsidP="00000000" w:rsidRDefault="00000000" w:rsidRPr="00000000" w14:paraId="0000031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317">
      <w:pPr>
        <w:pageBreakBefore w:val="0"/>
        <w:jc w:val="both"/>
        <w:rPr>
          <w:color w:val="000000"/>
          <w:highlight w:val="white"/>
        </w:rPr>
      </w:pPr>
      <w:r w:rsidDel="00000000" w:rsidR="00000000" w:rsidRPr="00000000">
        <w:rPr>
          <w:rtl w:val="0"/>
        </w:rPr>
      </w:r>
    </w:p>
    <w:p w:rsidR="00000000" w:rsidDel="00000000" w:rsidP="00000000" w:rsidRDefault="00000000" w:rsidRPr="00000000" w14:paraId="0000031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319">
      <w:pPr>
        <w:pageBreakBefore w:val="0"/>
        <w:jc w:val="both"/>
        <w:rPr>
          <w:color w:val="000000"/>
          <w:highlight w:val="white"/>
        </w:rPr>
      </w:pPr>
      <w:r w:rsidDel="00000000" w:rsidR="00000000" w:rsidRPr="00000000">
        <w:rPr>
          <w:rtl w:val="0"/>
        </w:rPr>
      </w:r>
    </w:p>
    <w:p w:rsidR="00000000" w:rsidDel="00000000" w:rsidP="00000000" w:rsidRDefault="00000000" w:rsidRPr="00000000" w14:paraId="0000031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31B">
      <w:pPr>
        <w:pageBreakBefore w:val="0"/>
        <w:jc w:val="both"/>
        <w:rPr>
          <w:color w:val="000000"/>
          <w:highlight w:val="white"/>
        </w:rPr>
      </w:pPr>
      <w:r w:rsidDel="00000000" w:rsidR="00000000" w:rsidRPr="00000000">
        <w:rPr>
          <w:rtl w:val="0"/>
        </w:rPr>
      </w:r>
    </w:p>
    <w:p w:rsidR="00000000" w:rsidDel="00000000" w:rsidP="00000000" w:rsidRDefault="00000000" w:rsidRPr="00000000" w14:paraId="0000031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31D">
      <w:pPr>
        <w:pageBreakBefore w:val="0"/>
        <w:jc w:val="both"/>
        <w:rPr>
          <w:color w:val="000000"/>
          <w:highlight w:val="white"/>
        </w:rPr>
      </w:pPr>
      <w:r w:rsidDel="00000000" w:rsidR="00000000" w:rsidRPr="00000000">
        <w:rPr>
          <w:rtl w:val="0"/>
        </w:rPr>
      </w:r>
    </w:p>
    <w:p w:rsidR="00000000" w:rsidDel="00000000" w:rsidP="00000000" w:rsidRDefault="00000000" w:rsidRPr="00000000" w14:paraId="0000031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31F">
      <w:pPr>
        <w:pageBreakBefore w:val="0"/>
        <w:jc w:val="both"/>
        <w:rPr>
          <w:color w:val="000000"/>
          <w:highlight w:val="white"/>
        </w:rPr>
      </w:pPr>
      <w:r w:rsidDel="00000000" w:rsidR="00000000" w:rsidRPr="00000000">
        <w:rPr>
          <w:rtl w:val="0"/>
        </w:rPr>
      </w:r>
    </w:p>
    <w:p w:rsidR="00000000" w:rsidDel="00000000" w:rsidP="00000000" w:rsidRDefault="00000000" w:rsidRPr="00000000" w14:paraId="0000032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321">
      <w:pPr>
        <w:pageBreakBefore w:val="0"/>
        <w:jc w:val="both"/>
        <w:rPr/>
      </w:pPr>
      <w:r w:rsidDel="00000000" w:rsidR="00000000" w:rsidRPr="00000000">
        <w:rPr>
          <w:rtl w:val="0"/>
        </w:rPr>
      </w:r>
    </w:p>
    <w:sectPr>
      <w:headerReference r:id="rId32" w:type="default"/>
      <w:footerReference r:id="rId33" w:type="default"/>
      <w:footerReference r:id="rId34" w:type="first"/>
      <w:footerReference r:id="rId3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9.png"/><Relationship Id="rId24" Type="http://schemas.openxmlformats.org/officeDocument/2006/relationships/image" Target="media/image6.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0.png"/><Relationship Id="rId25" Type="http://schemas.openxmlformats.org/officeDocument/2006/relationships/image" Target="media/image22.png"/><Relationship Id="rId28" Type="http://schemas.openxmlformats.org/officeDocument/2006/relationships/image" Target="media/image5.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0.png"/><Relationship Id="rId7" Type="http://schemas.openxmlformats.org/officeDocument/2006/relationships/image" Target="media/image25.png"/><Relationship Id="rId8" Type="http://schemas.openxmlformats.org/officeDocument/2006/relationships/image" Target="media/image13.png"/><Relationship Id="rId31" Type="http://schemas.openxmlformats.org/officeDocument/2006/relationships/image" Target="media/image3.png"/><Relationship Id="rId30" Type="http://schemas.openxmlformats.org/officeDocument/2006/relationships/image" Target="media/image27.png"/><Relationship Id="rId11" Type="http://schemas.openxmlformats.org/officeDocument/2006/relationships/image" Target="media/image15.png"/><Relationship Id="rId33" Type="http://schemas.openxmlformats.org/officeDocument/2006/relationships/footer" Target="footer2.xml"/><Relationship Id="rId10" Type="http://schemas.openxmlformats.org/officeDocument/2006/relationships/image" Target="media/image23.png"/><Relationship Id="rId32" Type="http://schemas.openxmlformats.org/officeDocument/2006/relationships/header" Target="header1.xml"/><Relationship Id="rId13" Type="http://schemas.openxmlformats.org/officeDocument/2006/relationships/image" Target="media/image21.png"/><Relationship Id="rId35" Type="http://schemas.openxmlformats.org/officeDocument/2006/relationships/footer" Target="footer1.xml"/><Relationship Id="rId12" Type="http://schemas.openxmlformats.org/officeDocument/2006/relationships/image" Target="media/image24.png"/><Relationship Id="rId34" Type="http://schemas.openxmlformats.org/officeDocument/2006/relationships/footer" Target="footer3.xml"/><Relationship Id="rId15" Type="http://schemas.openxmlformats.org/officeDocument/2006/relationships/image" Target="media/image17.jpg"/><Relationship Id="rId14" Type="http://schemas.openxmlformats.org/officeDocument/2006/relationships/image" Target="media/image7.png"/><Relationship Id="rId17" Type="http://schemas.openxmlformats.org/officeDocument/2006/relationships/image" Target="media/image18.jpg"/><Relationship Id="rId16" Type="http://schemas.openxmlformats.org/officeDocument/2006/relationships/image" Target="media/image26.png"/><Relationship Id="rId19" Type="http://schemas.openxmlformats.org/officeDocument/2006/relationships/image" Target="media/image8.pn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