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06C76" w14:textId="77777777" w:rsidR="00BD7F19" w:rsidRDefault="00000000">
      <w:pPr>
        <w:pStyle w:val="Heading2"/>
        <w:keepNext w:val="0"/>
        <w:keepLines w:val="0"/>
        <w:spacing w:before="0" w:after="0" w:line="288" w:lineRule="auto"/>
        <w:rPr>
          <w:b w:val="0"/>
          <w:i/>
          <w:color w:val="444499"/>
          <w:sz w:val="20"/>
          <w:szCs w:val="20"/>
        </w:rPr>
      </w:pPr>
      <w:bookmarkStart w:id="0" w:name="_z6ne0og04bp5" w:colFirst="0" w:colLast="0"/>
      <w:bookmarkEnd w:id="0"/>
      <w:r>
        <w:rPr>
          <w:rFonts w:ascii="Open Sans" w:eastAsia="Open Sans" w:hAnsi="Open Sans" w:cs="Open Sans"/>
          <w:b w:val="0"/>
          <w:noProof/>
          <w:color w:val="695D46"/>
          <w:sz w:val="24"/>
          <w:szCs w:val="24"/>
        </w:rPr>
        <w:drawing>
          <wp:inline distT="114300" distB="114300" distL="114300" distR="114300" wp14:anchorId="37126FE3" wp14:editId="595B27A3">
            <wp:extent cx="5731200" cy="101600"/>
            <wp:effectExtent l="0" t="0" r="0" b="0"/>
            <wp:docPr id="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6"/>
                    <a:srcRect b="-35184"/>
                    <a:stretch>
                      <a:fillRect/>
                    </a:stretch>
                  </pic:blipFill>
                  <pic:spPr>
                    <a:xfrm>
                      <a:off x="0" y="0"/>
                      <a:ext cx="5731200" cy="101600"/>
                    </a:xfrm>
                    <a:prstGeom prst="rect">
                      <a:avLst/>
                    </a:prstGeom>
                    <a:ln/>
                  </pic:spPr>
                </pic:pic>
              </a:graphicData>
            </a:graphic>
          </wp:inline>
        </w:drawing>
      </w:r>
      <w:r>
        <w:rPr>
          <w:rFonts w:ascii="Open Sans" w:eastAsia="Open Sans" w:hAnsi="Open Sans" w:cs="Open Sans"/>
          <w:noProof/>
          <w:color w:val="695D46"/>
          <w:sz w:val="22"/>
          <w:szCs w:val="22"/>
        </w:rPr>
        <w:drawing>
          <wp:inline distT="114300" distB="114300" distL="114300" distR="114300" wp14:anchorId="190C7FB2" wp14:editId="0F8B7D39">
            <wp:extent cx="5731200" cy="4000500"/>
            <wp:effectExtent l="0" t="0" r="0" b="0"/>
            <wp:docPr id="1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a:srcRect b="22655"/>
                    <a:stretch>
                      <a:fillRect/>
                    </a:stretch>
                  </pic:blipFill>
                  <pic:spPr>
                    <a:xfrm>
                      <a:off x="0" y="0"/>
                      <a:ext cx="5731200" cy="4000500"/>
                    </a:xfrm>
                    <a:prstGeom prst="rect">
                      <a:avLst/>
                    </a:prstGeom>
                    <a:ln/>
                  </pic:spPr>
                </pic:pic>
              </a:graphicData>
            </a:graphic>
          </wp:inline>
        </w:drawing>
      </w:r>
    </w:p>
    <w:p w14:paraId="0D2D9368" w14:textId="77777777" w:rsidR="00BD7F19" w:rsidRDefault="00000000">
      <w:pPr>
        <w:rPr>
          <w:sz w:val="16"/>
          <w:szCs w:val="16"/>
        </w:rPr>
      </w:pPr>
      <w:r>
        <w:t xml:space="preserve">       </w:t>
      </w:r>
      <w:r>
        <w:rPr>
          <w:sz w:val="16"/>
          <w:szCs w:val="16"/>
        </w:rPr>
        <w:t xml:space="preserve"> https://atlas.cid.harvard.edu/</w:t>
      </w:r>
    </w:p>
    <w:p w14:paraId="287CBA86" w14:textId="77777777" w:rsidR="00BD7F19" w:rsidRDefault="00000000">
      <w:pPr>
        <w:pStyle w:val="Title"/>
        <w:spacing w:before="320"/>
        <w:rPr>
          <w:rFonts w:ascii="PT Sans Narrow" w:eastAsia="PT Sans Narrow" w:hAnsi="PT Sans Narrow" w:cs="PT Sans Narrow"/>
          <w:b/>
          <w:color w:val="666666"/>
          <w:sz w:val="60"/>
          <w:szCs w:val="60"/>
        </w:rPr>
      </w:pPr>
      <w:bookmarkStart w:id="1" w:name="_2gazcsgmxkub" w:colFirst="0" w:colLast="0"/>
      <w:bookmarkEnd w:id="1"/>
      <w:r>
        <w:rPr>
          <w:rFonts w:ascii="PT Sans Narrow" w:eastAsia="PT Sans Narrow" w:hAnsi="PT Sans Narrow" w:cs="PT Sans Narrow"/>
          <w:b/>
          <w:color w:val="666666"/>
          <w:sz w:val="60"/>
          <w:szCs w:val="60"/>
        </w:rPr>
        <w:t>Optimal Industry Development Strategy Using Economic and Product Complexity</w:t>
      </w:r>
    </w:p>
    <w:p w14:paraId="540C73EE" w14:textId="69637699" w:rsidR="00BD7F19" w:rsidRDefault="00063A8D">
      <w:pPr>
        <w:pStyle w:val="Title"/>
        <w:spacing w:before="320"/>
        <w:rPr>
          <w:rFonts w:ascii="PT Sans Narrow" w:eastAsia="PT Sans Narrow" w:hAnsi="PT Sans Narrow" w:cs="PT Sans Narrow"/>
          <w:b/>
          <w:sz w:val="60"/>
          <w:szCs w:val="60"/>
        </w:rPr>
      </w:pPr>
      <w:bookmarkStart w:id="2" w:name="_q5cok54tx0k8" w:colFirst="0" w:colLast="0"/>
      <w:bookmarkEnd w:id="2"/>
      <w:r>
        <w:rPr>
          <w:rFonts w:ascii="PT Sans Narrow" w:eastAsia="PT Sans Narrow" w:hAnsi="PT Sans Narrow" w:cs="PT Sans Narrow"/>
          <w:b/>
          <w:sz w:val="60"/>
          <w:szCs w:val="60"/>
        </w:rPr>
        <w:t>Colombia</w:t>
      </w:r>
    </w:p>
    <w:p w14:paraId="7CC855B6" w14:textId="77777777" w:rsidR="00BD7F19" w:rsidRDefault="00BD7F19"/>
    <w:p w14:paraId="41F920D9" w14:textId="77777777" w:rsidR="00316CE7" w:rsidRDefault="00000000" w:rsidP="00316CE7">
      <w:pPr>
        <w:spacing w:line="288" w:lineRule="auto"/>
        <w:rPr>
          <w:rFonts w:ascii="Arial Unicode MS" w:eastAsia="Arial Unicode MS" w:hAnsi="Arial Unicode MS" w:cs="Arial Unicode MS"/>
          <w:b/>
          <w:sz w:val="36"/>
          <w:szCs w:val="36"/>
        </w:rPr>
      </w:pPr>
      <w:r>
        <w:rPr>
          <w:rFonts w:ascii="Arial Unicode MS" w:eastAsia="Arial Unicode MS" w:hAnsi="Arial Unicode MS" w:cs="Arial Unicode MS"/>
          <w:b/>
          <w:sz w:val="36"/>
          <w:szCs w:val="36"/>
        </w:rPr>
        <w:t>─</w:t>
      </w:r>
    </w:p>
    <w:p w14:paraId="606F78F9" w14:textId="77777777" w:rsidR="00316CE7" w:rsidRDefault="00316CE7" w:rsidP="00316CE7">
      <w:pPr>
        <w:rPr>
          <w:rFonts w:ascii="PT Sans Narrow" w:eastAsia="PT Sans Narrow" w:hAnsi="PT Sans Narrow" w:cs="PT Sans Narrow"/>
          <w:color w:val="008575"/>
          <w:sz w:val="32"/>
          <w:szCs w:val="32"/>
        </w:rPr>
      </w:pPr>
    </w:p>
    <w:p w14:paraId="7A292996" w14:textId="77777777" w:rsidR="00316CE7" w:rsidRDefault="00316CE7" w:rsidP="00316CE7">
      <w:pPr>
        <w:rPr>
          <w:rFonts w:ascii="PT Sans Narrow" w:eastAsia="PT Sans Narrow" w:hAnsi="PT Sans Narrow" w:cs="PT Sans Narrow"/>
          <w:color w:val="008575"/>
          <w:sz w:val="32"/>
          <w:szCs w:val="32"/>
        </w:rPr>
      </w:pPr>
    </w:p>
    <w:p w14:paraId="5AD349CE" w14:textId="77777777" w:rsidR="00063A8D" w:rsidRDefault="00063A8D" w:rsidP="00316CE7">
      <w:pPr>
        <w:rPr>
          <w:rFonts w:ascii="PT Sans Narrow" w:eastAsia="PT Sans Narrow" w:hAnsi="PT Sans Narrow" w:cs="PT Sans Narrow"/>
          <w:color w:val="008575"/>
          <w:sz w:val="32"/>
          <w:szCs w:val="32"/>
        </w:rPr>
      </w:pPr>
    </w:p>
    <w:p w14:paraId="519BC977" w14:textId="182D69BD" w:rsidR="00316CE7" w:rsidRDefault="00000000" w:rsidP="00316CE7">
      <w:pPr>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The Economic Complexity Lab - Columbia University</w:t>
      </w:r>
    </w:p>
    <w:p w14:paraId="5FBED84D" w14:textId="77777777" w:rsidR="00325555" w:rsidRDefault="00000000" w:rsidP="00325555">
      <w:pPr>
        <w:rPr>
          <w:rFonts w:ascii="Open Sans" w:eastAsia="Open Sans" w:hAnsi="Open Sans" w:cs="Open Sans"/>
          <w:sz w:val="22"/>
          <w:szCs w:val="22"/>
        </w:rPr>
      </w:pPr>
      <w:proofErr w:type="spellStart"/>
      <w:r>
        <w:rPr>
          <w:rFonts w:ascii="PT Sans Narrow" w:eastAsia="PT Sans Narrow" w:hAnsi="PT Sans Narrow" w:cs="PT Sans Narrow"/>
          <w:sz w:val="28"/>
          <w:szCs w:val="28"/>
        </w:rPr>
        <w:t>Haoxian</w:t>
      </w:r>
      <w:proofErr w:type="spellEnd"/>
      <w:r>
        <w:rPr>
          <w:rFonts w:ascii="PT Sans Narrow" w:eastAsia="PT Sans Narrow" w:hAnsi="PT Sans Narrow" w:cs="PT Sans Narrow"/>
          <w:sz w:val="28"/>
          <w:szCs w:val="28"/>
        </w:rPr>
        <w:t xml:space="preserve"> Chen, </w:t>
      </w:r>
      <w:proofErr w:type="spellStart"/>
      <w:r>
        <w:rPr>
          <w:rFonts w:ascii="PT Sans Narrow" w:eastAsia="PT Sans Narrow" w:hAnsi="PT Sans Narrow" w:cs="PT Sans Narrow"/>
          <w:sz w:val="28"/>
          <w:szCs w:val="28"/>
        </w:rPr>
        <w:t>Davepriyan</w:t>
      </w:r>
      <w:proofErr w:type="spellEnd"/>
      <w:r>
        <w:rPr>
          <w:rFonts w:ascii="PT Sans Narrow" w:eastAsia="PT Sans Narrow" w:hAnsi="PT Sans Narrow" w:cs="PT Sans Narrow"/>
          <w:sz w:val="28"/>
          <w:szCs w:val="28"/>
        </w:rPr>
        <w:t xml:space="preserve"> </w:t>
      </w:r>
      <w:proofErr w:type="spellStart"/>
      <w:r>
        <w:rPr>
          <w:rFonts w:ascii="PT Sans Narrow" w:eastAsia="PT Sans Narrow" w:hAnsi="PT Sans Narrow" w:cs="PT Sans Narrow"/>
          <w:sz w:val="28"/>
          <w:szCs w:val="28"/>
        </w:rPr>
        <w:t>Gunaratnam</w:t>
      </w:r>
      <w:proofErr w:type="spellEnd"/>
      <w:r>
        <w:rPr>
          <w:rFonts w:ascii="PT Sans Narrow" w:eastAsia="PT Sans Narrow" w:hAnsi="PT Sans Narrow" w:cs="PT Sans Narrow"/>
          <w:sz w:val="28"/>
          <w:szCs w:val="28"/>
        </w:rPr>
        <w:t xml:space="preserve">, Rohan </w:t>
      </w:r>
      <w:proofErr w:type="spellStart"/>
      <w:r>
        <w:rPr>
          <w:rFonts w:ascii="PT Sans Narrow" w:eastAsia="PT Sans Narrow" w:hAnsi="PT Sans Narrow" w:cs="PT Sans Narrow"/>
          <w:sz w:val="28"/>
          <w:szCs w:val="28"/>
        </w:rPr>
        <w:t>Macherla</w:t>
      </w:r>
      <w:proofErr w:type="spellEnd"/>
      <w:r>
        <w:rPr>
          <w:rFonts w:ascii="PT Sans Narrow" w:eastAsia="PT Sans Narrow" w:hAnsi="PT Sans Narrow" w:cs="PT Sans Narrow"/>
          <w:sz w:val="28"/>
          <w:szCs w:val="28"/>
        </w:rPr>
        <w:t xml:space="preserve">, </w:t>
      </w:r>
      <w:proofErr w:type="spellStart"/>
      <w:r>
        <w:rPr>
          <w:rFonts w:ascii="PT Sans Narrow" w:eastAsia="PT Sans Narrow" w:hAnsi="PT Sans Narrow" w:cs="PT Sans Narrow"/>
          <w:sz w:val="28"/>
          <w:szCs w:val="28"/>
        </w:rPr>
        <w:t>Ajit</w:t>
      </w:r>
      <w:proofErr w:type="spellEnd"/>
      <w:r>
        <w:rPr>
          <w:rFonts w:ascii="PT Sans Narrow" w:eastAsia="PT Sans Narrow" w:hAnsi="PT Sans Narrow" w:cs="PT Sans Narrow"/>
          <w:sz w:val="28"/>
          <w:szCs w:val="28"/>
        </w:rPr>
        <w:t xml:space="preserve"> </w:t>
      </w:r>
      <w:proofErr w:type="spellStart"/>
      <w:r>
        <w:rPr>
          <w:rFonts w:ascii="PT Sans Narrow" w:eastAsia="PT Sans Narrow" w:hAnsi="PT Sans Narrow" w:cs="PT Sans Narrow"/>
          <w:sz w:val="28"/>
          <w:szCs w:val="28"/>
        </w:rPr>
        <w:t>Akole</w:t>
      </w:r>
      <w:proofErr w:type="spellEnd"/>
      <w:r>
        <w:rPr>
          <w:rFonts w:ascii="PT Sans Narrow" w:eastAsia="PT Sans Narrow" w:hAnsi="PT Sans Narrow" w:cs="PT Sans Narrow"/>
          <w:sz w:val="28"/>
          <w:szCs w:val="28"/>
        </w:rPr>
        <w:t xml:space="preserve">, </w:t>
      </w:r>
      <w:proofErr w:type="spellStart"/>
      <w:r>
        <w:rPr>
          <w:rFonts w:ascii="PT Sans Narrow" w:eastAsia="PT Sans Narrow" w:hAnsi="PT Sans Narrow" w:cs="PT Sans Narrow"/>
          <w:sz w:val="28"/>
          <w:szCs w:val="28"/>
        </w:rPr>
        <w:t>Shomik</w:t>
      </w:r>
      <w:proofErr w:type="spellEnd"/>
      <w:r>
        <w:rPr>
          <w:rFonts w:ascii="PT Sans Narrow" w:eastAsia="PT Sans Narrow" w:hAnsi="PT Sans Narrow" w:cs="PT Sans Narrow"/>
          <w:sz w:val="28"/>
          <w:szCs w:val="28"/>
        </w:rPr>
        <w:t xml:space="preserve"> Ghose, Alex Wei-Liang Ku, </w:t>
      </w:r>
      <w:proofErr w:type="spellStart"/>
      <w:r>
        <w:rPr>
          <w:rFonts w:ascii="PT Sans Narrow" w:eastAsia="PT Sans Narrow" w:hAnsi="PT Sans Narrow" w:cs="PT Sans Narrow"/>
          <w:sz w:val="28"/>
          <w:szCs w:val="28"/>
        </w:rPr>
        <w:t>Sannidhya</w:t>
      </w:r>
      <w:proofErr w:type="spellEnd"/>
      <w:r>
        <w:rPr>
          <w:rFonts w:ascii="PT Sans Narrow" w:eastAsia="PT Sans Narrow" w:hAnsi="PT Sans Narrow" w:cs="PT Sans Narrow"/>
          <w:sz w:val="28"/>
          <w:szCs w:val="28"/>
        </w:rPr>
        <w:t xml:space="preserve"> Modi, </w:t>
      </w:r>
      <w:proofErr w:type="spellStart"/>
      <w:r>
        <w:rPr>
          <w:rFonts w:ascii="PT Sans Narrow" w:eastAsia="PT Sans Narrow" w:hAnsi="PT Sans Narrow" w:cs="PT Sans Narrow"/>
          <w:sz w:val="28"/>
          <w:szCs w:val="28"/>
        </w:rPr>
        <w:t>Xilin</w:t>
      </w:r>
      <w:proofErr w:type="spellEnd"/>
      <w:r>
        <w:rPr>
          <w:rFonts w:ascii="PT Sans Narrow" w:eastAsia="PT Sans Narrow" w:hAnsi="PT Sans Narrow" w:cs="PT Sans Narrow"/>
          <w:sz w:val="28"/>
          <w:szCs w:val="28"/>
        </w:rPr>
        <w:t xml:space="preserve"> Wang, Alexandra Garcia, Kelly Mi, Alex Chung, Margarita Demkina</w:t>
      </w:r>
    </w:p>
    <w:p w14:paraId="65E11DBD" w14:textId="377CFC55" w:rsidR="00BD7F19" w:rsidRPr="00063A8D" w:rsidRDefault="00000000" w:rsidP="00525274">
      <w:pPr>
        <w:rPr>
          <w:rFonts w:ascii="Open Sans" w:eastAsia="Open Sans" w:hAnsi="Open Sans" w:cs="Open Sans"/>
          <w:sz w:val="22"/>
          <w:szCs w:val="22"/>
        </w:rPr>
      </w:pPr>
      <w:r>
        <w:rPr>
          <w:sz w:val="40"/>
          <w:szCs w:val="40"/>
        </w:rPr>
        <w:lastRenderedPageBreak/>
        <w:t xml:space="preserve">Optimal Industry Development Strategy for </w:t>
      </w:r>
      <w:r w:rsidR="00063A8D">
        <w:rPr>
          <w:sz w:val="40"/>
          <w:szCs w:val="40"/>
        </w:rPr>
        <w:t>Colombia</w:t>
      </w:r>
    </w:p>
    <w:p w14:paraId="083EDB7E" w14:textId="77777777" w:rsidR="00BD7F19" w:rsidRDefault="00BD7F19">
      <w:pPr>
        <w:jc w:val="center"/>
        <w:rPr>
          <w:sz w:val="40"/>
          <w:szCs w:val="40"/>
        </w:rPr>
      </w:pPr>
    </w:p>
    <w:p w14:paraId="6E771F9A" w14:textId="77777777" w:rsidR="00BD7F19" w:rsidRDefault="00000000">
      <w:pPr>
        <w:rPr>
          <w:rFonts w:ascii="Times" w:eastAsia="Times" w:hAnsi="Times" w:cs="Times"/>
          <w:b/>
          <w:sz w:val="28"/>
          <w:szCs w:val="28"/>
        </w:rPr>
      </w:pPr>
      <w:r>
        <w:rPr>
          <w:rFonts w:ascii="Times" w:eastAsia="Times" w:hAnsi="Times" w:cs="Times"/>
          <w:b/>
          <w:sz w:val="28"/>
          <w:szCs w:val="28"/>
        </w:rPr>
        <w:t>0. Executive Summary</w:t>
      </w:r>
    </w:p>
    <w:p w14:paraId="6B0444F0" w14:textId="77777777" w:rsidR="00BD7F19" w:rsidRDefault="00BD7F19">
      <w:pPr>
        <w:rPr>
          <w:rFonts w:ascii="Times" w:eastAsia="Times" w:hAnsi="Times" w:cs="Times"/>
          <w:b/>
          <w:sz w:val="28"/>
          <w:szCs w:val="28"/>
        </w:rPr>
      </w:pPr>
    </w:p>
    <w:p w14:paraId="4FABE262" w14:textId="6F303132" w:rsidR="00051F48" w:rsidRDefault="00000000" w:rsidP="00051F48">
      <w:pPr>
        <w:jc w:val="both"/>
      </w:pPr>
      <w:r>
        <w:t xml:space="preserve">In this report, we aim to uncover the economic path </w:t>
      </w:r>
      <w:r w:rsidR="00063A8D">
        <w:t>Colombia</w:t>
      </w:r>
      <w:r>
        <w:t xml:space="preserve"> went through during the period from 2013 to 2021. Specifically, we dive into the topic through a macroeconomic overview of </w:t>
      </w:r>
      <w:r w:rsidR="00063A8D">
        <w:t>Colombia</w:t>
      </w:r>
      <w:r>
        <w:t xml:space="preserve"> from the perspective of Gross Domestic Product (GDP) and Economic Complexity Index (ECI), which reflect countries’ production capability and production structure, respectively. </w:t>
      </w:r>
      <w:r w:rsidR="00051F48">
        <w:t>We find that during the period of our interest</w:t>
      </w:r>
      <w:r w:rsidR="00051F48">
        <w:t xml:space="preserve">, </w:t>
      </w:r>
      <w:r w:rsidR="00051F48">
        <w:t>Colombia demonstrated a low level of economic growth with an annual GDP growth rate of -1.2%</w:t>
      </w:r>
      <w:r w:rsidR="003D266D">
        <w:t xml:space="preserve"> </w:t>
      </w:r>
      <w:r w:rsidR="003D266D">
        <w:t>from 2013 to 2018</w:t>
      </w:r>
      <w:r w:rsidR="00051F48">
        <w:t xml:space="preserve"> and </w:t>
      </w:r>
      <w:r w:rsidR="00325555">
        <w:t>0.2%</w:t>
      </w:r>
      <w:r w:rsidR="00051F48">
        <w:t xml:space="preserve"> from 2019 to 2</w:t>
      </w:r>
      <w:r w:rsidR="00051F48" w:rsidRPr="00325555">
        <w:t>021</w:t>
      </w:r>
      <w:r w:rsidR="00051F48" w:rsidRPr="00325555">
        <w:t>, concurrent with a stagnant economic complexity as compared with other major economies in South America</w:t>
      </w:r>
      <w:r w:rsidR="00325555">
        <w:t xml:space="preserve"> and beyond</w:t>
      </w:r>
      <w:r w:rsidR="00051F48" w:rsidRPr="00325555">
        <w:t xml:space="preserve">. </w:t>
      </w:r>
    </w:p>
    <w:p w14:paraId="5E656B7E" w14:textId="77777777" w:rsidR="00051F48" w:rsidRDefault="00051F48" w:rsidP="00051F48">
      <w:pPr>
        <w:jc w:val="both"/>
      </w:pPr>
    </w:p>
    <w:p w14:paraId="452A4E29" w14:textId="26DC3C4F" w:rsidR="00051F48" w:rsidRDefault="00051F48">
      <w:pPr>
        <w:jc w:val="both"/>
      </w:pPr>
      <w:r>
        <w:t>The level of economic progress during the</w:t>
      </w:r>
      <w:r>
        <w:t xml:space="preserve"> first </w:t>
      </w:r>
      <w:r>
        <w:t xml:space="preserve">period can be partially explained through </w:t>
      </w:r>
      <w:r>
        <w:t xml:space="preserve">the </w:t>
      </w:r>
      <w:r>
        <w:t>analysis of the economic and product complexity structure of Colombia on the industry group level. The product classification system we adopt allows us to measure the realized industry development for various industry groups and to observe that Colombia invested heavily in developing Services and Utilities, Metals, and Vegetables, Fruits and Plants during the period, while its emerging peers and developed economies around the globe have adopted much more complex and progressive paths.</w:t>
      </w:r>
    </w:p>
    <w:p w14:paraId="09145CB4" w14:textId="77777777" w:rsidR="00051F48" w:rsidRDefault="00051F48">
      <w:pPr>
        <w:jc w:val="both"/>
      </w:pPr>
    </w:p>
    <w:p w14:paraId="232CBA49" w14:textId="7A03A7BC" w:rsidR="00051F48" w:rsidRDefault="00051F48" w:rsidP="00051F48">
      <w:pPr>
        <w:jc w:val="both"/>
      </w:pPr>
      <w:r>
        <w:t>Based on our analysis of the opportunity gain and sensitivity analysis of major industry groups, Colombia can further its gains by prioritizing Machinery and Construction and Chemical Manufacturing</w:t>
      </w:r>
      <w:r>
        <w:t xml:space="preserve"> in 2018</w:t>
      </w:r>
      <w:r>
        <w:t xml:space="preserve">. We further note that Colombia has a slightly mismatched development strategy that indicates a moderate level of structural optimality on the complexity level, having an adjusted R-square of around </w:t>
      </w:r>
      <w:r w:rsidR="00525274">
        <w:t>0.</w:t>
      </w:r>
      <w:r w:rsidR="00325555">
        <w:t>0</w:t>
      </w:r>
      <w:r w:rsidR="00525274">
        <w:t>54</w:t>
      </w:r>
      <w:r w:rsidR="00525274">
        <w:t xml:space="preserve"> </w:t>
      </w:r>
      <w:r>
        <w:t xml:space="preserve">in </w:t>
      </w:r>
      <w:r w:rsidRPr="00325555">
        <w:t xml:space="preserve">2018 compared to </w:t>
      </w:r>
      <w:r w:rsidR="00525274" w:rsidRPr="00325555">
        <w:t>0.</w:t>
      </w:r>
      <w:r w:rsidR="00325555" w:rsidRPr="00325555">
        <w:t>0</w:t>
      </w:r>
      <w:r w:rsidR="00525274" w:rsidRPr="00325555">
        <w:t>23</w:t>
      </w:r>
      <w:r w:rsidR="003D266D" w:rsidRPr="00325555">
        <w:t xml:space="preserve"> in 2021</w:t>
      </w:r>
      <w:r w:rsidRPr="00325555">
        <w:t>. Since</w:t>
      </w:r>
      <w:r>
        <w:t xml:space="preserve"> a significant positive correlation exists between five-year GDP growth and the structural optimality index of an economy as we define and calculate, Colombia indeed has a suboptimal growth experience as compared with fast-growing economies both on a regional scale and on a global scale and has the potential to further its economic gains through industrial structure optimization as suggested in the paper.</w:t>
      </w:r>
    </w:p>
    <w:p w14:paraId="66BADCCA" w14:textId="77777777" w:rsidR="00BD7F19" w:rsidRDefault="00BD7F19">
      <w:pPr>
        <w:jc w:val="both"/>
      </w:pPr>
    </w:p>
    <w:p w14:paraId="29B52C1E" w14:textId="082CBEF2" w:rsidR="00BD7F19" w:rsidRPr="000E1010" w:rsidRDefault="00000000">
      <w:pPr>
        <w:jc w:val="both"/>
      </w:pPr>
      <w:r w:rsidRPr="000E1010">
        <w:t xml:space="preserve">The three years following showed a significant improvement in </w:t>
      </w:r>
      <w:r w:rsidR="00063A8D" w:rsidRPr="000E1010">
        <w:t>Colombia</w:t>
      </w:r>
      <w:r w:rsidRPr="000E1010">
        <w:t xml:space="preserve">'s economic growth, boosting its position on the global scale. Its GDP recovered to above the pre-pandemic levels, and it saw a significant boost in the ECI, particularly compared to its peer countries. </w:t>
      </w:r>
      <w:r w:rsidR="00051F48" w:rsidRPr="000E1010">
        <w:t xml:space="preserve">its focus should have shifted to the </w:t>
      </w:r>
      <w:r w:rsidR="00325555" w:rsidRPr="000E1010">
        <w:t>Animals and By-products and Transportation</w:t>
      </w:r>
      <w:r w:rsidR="00325555" w:rsidRPr="000E1010">
        <w:t xml:space="preserve"> </w:t>
      </w:r>
      <w:r w:rsidR="00051F48" w:rsidRPr="000E1010">
        <w:t xml:space="preserve">industries. We further note that Colombia has a </w:t>
      </w:r>
      <w:r w:rsidR="00325555" w:rsidRPr="000E1010">
        <w:t>heavily</w:t>
      </w:r>
      <w:r w:rsidR="00051F48" w:rsidRPr="000E1010">
        <w:t xml:space="preserve"> mismatched development strategy that indicates a</w:t>
      </w:r>
      <w:r w:rsidR="00325555" w:rsidRPr="000E1010">
        <w:t xml:space="preserve"> low </w:t>
      </w:r>
      <w:r w:rsidR="00051F48" w:rsidRPr="000E1010">
        <w:t xml:space="preserve">level (compared to other emerging countries) of structural optimality on the complexity level, </w:t>
      </w:r>
      <w:r w:rsidR="00325555" w:rsidRPr="000E1010">
        <w:t>as indicated by a very low</w:t>
      </w:r>
      <w:r w:rsidR="00051F48" w:rsidRPr="000E1010">
        <w:t xml:space="preserve"> adjusted R-square, demonstrating </w:t>
      </w:r>
      <w:r w:rsidR="000E1010" w:rsidRPr="000E1010">
        <w:t>stagnation</w:t>
      </w:r>
      <w:r w:rsidR="00051F48" w:rsidRPr="000E1010">
        <w:t xml:space="preserve"> in development.</w:t>
      </w:r>
      <w:r w:rsidR="00051F48" w:rsidRPr="000E1010">
        <w:t xml:space="preserve"> </w:t>
      </w:r>
      <w:r w:rsidRPr="000E1010">
        <w:t>Its current strategy still has the viable potential upside to increase its performance and optimize its structure further.</w:t>
      </w:r>
    </w:p>
    <w:p w14:paraId="266A429B" w14:textId="77777777" w:rsidR="00BD7F19" w:rsidRPr="000E1010" w:rsidRDefault="00000000">
      <w:r w:rsidRPr="000E1010">
        <w:br w:type="page"/>
      </w:r>
    </w:p>
    <w:p w14:paraId="558A07A1" w14:textId="77777777" w:rsidR="00BD7F19" w:rsidRDefault="00000000">
      <w:pPr>
        <w:rPr>
          <w:rFonts w:ascii="Times" w:eastAsia="Times" w:hAnsi="Times" w:cs="Times"/>
          <w:b/>
          <w:sz w:val="28"/>
          <w:szCs w:val="28"/>
        </w:rPr>
      </w:pPr>
      <w:r>
        <w:rPr>
          <w:rFonts w:ascii="Times" w:eastAsia="Times" w:hAnsi="Times" w:cs="Times"/>
          <w:b/>
          <w:sz w:val="28"/>
          <w:szCs w:val="28"/>
        </w:rPr>
        <w:lastRenderedPageBreak/>
        <w:t>1. Report Overview</w:t>
      </w:r>
    </w:p>
    <w:p w14:paraId="2B5384BB" w14:textId="77777777" w:rsidR="00BD7F19" w:rsidRDefault="00BD7F19">
      <w:pPr>
        <w:rPr>
          <w:rFonts w:ascii="Times" w:eastAsia="Times" w:hAnsi="Times" w:cs="Times"/>
          <w:b/>
          <w:sz w:val="28"/>
          <w:szCs w:val="28"/>
        </w:rPr>
      </w:pPr>
    </w:p>
    <w:p w14:paraId="3E17BA39" w14:textId="50D02497" w:rsidR="00BD7F19" w:rsidRDefault="00000000">
      <w:pPr>
        <w:jc w:val="both"/>
      </w:pPr>
      <w:r>
        <w:t xml:space="preserve">In this report, we aim to uncover the economic path </w:t>
      </w:r>
      <w:r w:rsidR="00063A8D">
        <w:t>Colombia</w:t>
      </w:r>
      <w:r>
        <w:t xml:space="preserve"> went through during the period from 2019 to 2021, before and after the COVID pandemic, compared to its performance from 2013 to 2018. Specifically, we dive into the topic through a macroeconomic overview of </w:t>
      </w:r>
      <w:r w:rsidR="00063A8D">
        <w:t>Colombia</w:t>
      </w:r>
      <w:r>
        <w:t xml:space="preserve"> from the perspective of Gross Domestic Product (GDP) and Economic Complexity Index (ECI), which reflect countries’ production capability and production structure, respectively. We then analyze the industrial framework and changes of </w:t>
      </w:r>
      <w:r w:rsidR="00063A8D">
        <w:t>Colombia</w:t>
      </w:r>
      <w:r>
        <w:t xml:space="preserve"> during the period based on quantitative measures such as the Product Complexity Index (PCI) and Product Family Complexity Index (</w:t>
      </w:r>
      <w:proofErr w:type="spellStart"/>
      <w:r>
        <w:t>PfCI</w:t>
      </w:r>
      <w:proofErr w:type="spellEnd"/>
      <w:r>
        <w:t xml:space="preserve">), followed by a detailed analysis of how such changes have matched with development strategies as quantitatively measured by opportunity gains on an industry-level. We conclude our report with macro-level results and predictions of </w:t>
      </w:r>
      <w:r w:rsidR="00063A8D">
        <w:t>Colombia</w:t>
      </w:r>
      <w:r>
        <w:t>, as deduced from regression models we have established on a global scale, which take into account countries’ stances in their product space.</w:t>
      </w:r>
    </w:p>
    <w:p w14:paraId="2F4FF0B4" w14:textId="77777777" w:rsidR="00BD7F19" w:rsidRDefault="00BD7F19">
      <w:pPr>
        <w:jc w:val="both"/>
      </w:pPr>
    </w:p>
    <w:p w14:paraId="28D1F49F" w14:textId="77777777" w:rsidR="00BD7F19" w:rsidRDefault="00000000">
      <w:pPr>
        <w:jc w:val="both"/>
        <w:rPr>
          <w:rFonts w:ascii="Times" w:eastAsia="Times" w:hAnsi="Times" w:cs="Times"/>
          <w:b/>
          <w:sz w:val="28"/>
          <w:szCs w:val="28"/>
        </w:rPr>
      </w:pPr>
      <w:r>
        <w:br w:type="page"/>
      </w:r>
    </w:p>
    <w:p w14:paraId="19A23954" w14:textId="77777777" w:rsidR="00BD7F19" w:rsidRDefault="00000000">
      <w:pPr>
        <w:jc w:val="both"/>
        <w:rPr>
          <w:rFonts w:ascii="Times" w:eastAsia="Times" w:hAnsi="Times" w:cs="Times"/>
          <w:b/>
          <w:sz w:val="28"/>
          <w:szCs w:val="28"/>
        </w:rPr>
      </w:pPr>
      <w:r>
        <w:rPr>
          <w:rFonts w:ascii="Times" w:eastAsia="Times" w:hAnsi="Times" w:cs="Times"/>
          <w:b/>
          <w:sz w:val="28"/>
          <w:szCs w:val="28"/>
        </w:rPr>
        <w:lastRenderedPageBreak/>
        <w:t>2. Macroeconomic Results</w:t>
      </w:r>
    </w:p>
    <w:p w14:paraId="7F7DFC84" w14:textId="77777777" w:rsidR="00BD7F19" w:rsidRDefault="00BD7F19">
      <w:pPr>
        <w:jc w:val="both"/>
        <w:rPr>
          <w:rFonts w:ascii="Times" w:eastAsia="Times" w:hAnsi="Times" w:cs="Times"/>
          <w:b/>
          <w:sz w:val="28"/>
          <w:szCs w:val="28"/>
        </w:rPr>
      </w:pPr>
    </w:p>
    <w:p w14:paraId="1F4D4C37" w14:textId="77777777" w:rsidR="00BD7F19" w:rsidRDefault="00000000">
      <w:pPr>
        <w:jc w:val="both"/>
        <w:rPr>
          <w:b/>
        </w:rPr>
      </w:pPr>
      <w:r>
        <w:rPr>
          <w:b/>
        </w:rPr>
        <w:t>2.1 GDP Ranking and Changes</w:t>
      </w:r>
    </w:p>
    <w:p w14:paraId="0993B175" w14:textId="7B619063" w:rsidR="003D266D" w:rsidRDefault="003D266D" w:rsidP="003D266D">
      <w:pPr>
        <w:jc w:val="both"/>
      </w:pPr>
      <w:r>
        <w:t>As the 38</w:t>
      </w:r>
      <w:r>
        <w:rPr>
          <w:vertAlign w:val="superscript"/>
        </w:rPr>
        <w:t>th</w:t>
      </w:r>
      <w:r>
        <w:t xml:space="preserve"> largest economy in the world by GDP</w:t>
      </w:r>
      <w:r>
        <w:t xml:space="preserve"> in 2018</w:t>
      </w:r>
      <w:r>
        <w:t xml:space="preserve">, Colombia has a GDP of 381 billion USD in 2013 and 331 billion USD in 2018, exhibiting </w:t>
      </w:r>
      <w:r>
        <w:t>a</w:t>
      </w:r>
      <w:r>
        <w:t xml:space="preserve"> steady economic output. Figure 1</w:t>
      </w:r>
      <w:r>
        <w:t>a</w:t>
      </w:r>
      <w:r>
        <w:t xml:space="preserve"> illustrates the time-series GDP results for major emerging economies from 1999-2018, and Colombia demonstrates a high level of consistency in terms of GDP with small GDP growth. Its growth rate is not significant as compared with many other emerging economies in the world, with an average annual growth of -1.2% during the period from 2013 to 2018. This number is much smaller than the average annual growth rate of </w:t>
      </w:r>
      <w:r>
        <w:t xml:space="preserve">China, Mexico, and Saudi Arabia, </w:t>
      </w:r>
      <w:r>
        <w:t xml:space="preserve">which have </w:t>
      </w:r>
      <w:r>
        <w:t>a geometric average growth rate</w:t>
      </w:r>
      <w:r>
        <w:t xml:space="preserve"> of 1.8% and an arithmetic average growth rate of 2.1%. The contrast is particularly significant with China, one of the leading emerging economies in the world, which has an average annual growth rate of 8.2% during the same period. The pace of economic growth in Colombia, we believe, can be reflected through changes in ECI and PCI and can be further explained by a suboptimal set of production strategies adopted by Colombia from 2013 to 2018, which we will expand at the later stage of the report.</w:t>
      </w:r>
    </w:p>
    <w:p w14:paraId="69602FBD" w14:textId="77777777" w:rsidR="00BD7F19" w:rsidRDefault="00BD7F19">
      <w:pPr>
        <w:jc w:val="both"/>
      </w:pPr>
    </w:p>
    <w:p w14:paraId="2A1454C8" w14:textId="2C6FD1EE" w:rsidR="00BD7F19" w:rsidRDefault="00000000">
      <w:pPr>
        <w:jc w:val="both"/>
      </w:pPr>
      <w:r>
        <w:t xml:space="preserve">Figure 1b shows the GDP levels for </w:t>
      </w:r>
      <w:r w:rsidR="00063A8D">
        <w:t>Colombia</w:t>
      </w:r>
      <w:r>
        <w:t xml:space="preserve"> and its peer countries (</w:t>
      </w:r>
      <w:r w:rsidR="003D266D">
        <w:t xml:space="preserve">Mexico, Saudi Arabia, and Tunisia) </w:t>
      </w:r>
      <w:r>
        <w:t xml:space="preserve">from 2019 to 2021. Similar to the other countries, </w:t>
      </w:r>
      <w:r w:rsidR="00063A8D">
        <w:t>Colombia</w:t>
      </w:r>
      <w:r>
        <w:t xml:space="preserve"> displayed a drop in GDP from 2019 to 2020 because of the pandemic, with </w:t>
      </w:r>
      <w:r w:rsidR="003D266D">
        <w:t>most</w:t>
      </w:r>
      <w:r>
        <w:t xml:space="preserve"> GDPs </w:t>
      </w:r>
      <w:r w:rsidR="003D266D">
        <w:t>approaching pre-pandemic levels</w:t>
      </w:r>
      <w:r>
        <w:t xml:space="preserve"> in 2021. Over these three years, </w:t>
      </w:r>
      <w:r w:rsidR="00063A8D">
        <w:t>Colombia</w:t>
      </w:r>
      <w:r>
        <w:t xml:space="preserve">’s average annual GDP growth </w:t>
      </w:r>
      <w:proofErr w:type="gramStart"/>
      <w:r>
        <w:t xml:space="preserve">rate </w:t>
      </w:r>
      <w:r w:rsidR="003D266D">
        <w:t xml:space="preserve"> (</w:t>
      </w:r>
      <w:proofErr w:type="gramEnd"/>
      <w:r w:rsidR="003D266D">
        <w:t xml:space="preserve">-0.02%) </w:t>
      </w:r>
      <w:r>
        <w:t xml:space="preserve">is </w:t>
      </w:r>
      <w:r w:rsidR="003D266D">
        <w:t>the lowest</w:t>
      </w:r>
      <w:r>
        <w:t xml:space="preserve"> </w:t>
      </w:r>
      <w:r w:rsidR="003D266D">
        <w:t>compared to Saudi Arabia’s (2.01%), Tunisia’s (3.98%), and Mexico’s (1.53%)</w:t>
      </w:r>
      <w:r>
        <w:t xml:space="preserve">. </w:t>
      </w:r>
    </w:p>
    <w:p w14:paraId="69053E71" w14:textId="77777777" w:rsidR="00BD7F19" w:rsidRDefault="00BD7F19">
      <w:pPr>
        <w:jc w:val="both"/>
      </w:pPr>
    </w:p>
    <w:p w14:paraId="09396153" w14:textId="21F9B947" w:rsidR="00BD7F19" w:rsidRDefault="003D266D">
      <w:pPr>
        <w:rPr>
          <w:i/>
          <w:color w:val="444499"/>
          <w:sz w:val="20"/>
          <w:szCs w:val="20"/>
        </w:rPr>
      </w:pPr>
      <w:r>
        <w:rPr>
          <w:b/>
          <w:noProof/>
          <w:sz w:val="28"/>
          <w:szCs w:val="28"/>
        </w:rPr>
        <w:drawing>
          <wp:inline distT="114300" distB="114300" distL="114300" distR="114300" wp14:anchorId="1C0F6459" wp14:editId="238AE180">
            <wp:extent cx="2743200" cy="1828800"/>
            <wp:effectExtent l="0" t="0" r="0" b="0"/>
            <wp:docPr id="953367478" name="Picture 953367478"/>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
                    <a:srcRect/>
                    <a:stretch>
                      <a:fillRect/>
                    </a:stretch>
                  </pic:blipFill>
                  <pic:spPr>
                    <a:xfrm>
                      <a:off x="0" y="0"/>
                      <a:ext cx="2743200" cy="1828800"/>
                    </a:xfrm>
                    <a:prstGeom prst="rect">
                      <a:avLst/>
                    </a:prstGeom>
                    <a:ln/>
                  </pic:spPr>
                </pic:pic>
              </a:graphicData>
            </a:graphic>
          </wp:inline>
        </w:drawing>
      </w:r>
      <w:r>
        <w:fldChar w:fldCharType="begin"/>
      </w:r>
      <w:r>
        <w:instrText xml:space="preserve"> INCLUDEPICTURE "/Users/margaritademkina/Library/Group Containers/UBF8T346G9.ms/WebArchiveCopyPasteTempFiles/com.microsoft.Word/edb3a40d-4799-49ff-9414-fc67ceb40bd2" \* MERGEFORMATINET </w:instrText>
      </w:r>
      <w:r>
        <w:fldChar w:fldCharType="separate"/>
      </w:r>
      <w:r>
        <w:rPr>
          <w:noProof/>
        </w:rPr>
        <w:drawing>
          <wp:inline distT="0" distB="0" distL="0" distR="0" wp14:anchorId="1DA8BF1A" wp14:editId="6A4ED87D">
            <wp:extent cx="2559562" cy="1920240"/>
            <wp:effectExtent l="0" t="0" r="6350" b="0"/>
            <wp:docPr id="4952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9562" cy="1920240"/>
                    </a:xfrm>
                    <a:prstGeom prst="rect">
                      <a:avLst/>
                    </a:prstGeom>
                    <a:noFill/>
                    <a:ln>
                      <a:noFill/>
                    </a:ln>
                  </pic:spPr>
                </pic:pic>
              </a:graphicData>
            </a:graphic>
          </wp:inline>
        </w:drawing>
      </w:r>
      <w:r>
        <w:fldChar w:fldCharType="end"/>
      </w:r>
    </w:p>
    <w:p w14:paraId="795772AF" w14:textId="77777777" w:rsidR="00BD7F19" w:rsidRDefault="00000000">
      <w:pPr>
        <w:jc w:val="center"/>
        <w:rPr>
          <w:sz w:val="22"/>
          <w:szCs w:val="22"/>
        </w:rPr>
      </w:pPr>
      <w:r>
        <w:rPr>
          <w:sz w:val="22"/>
          <w:szCs w:val="22"/>
        </w:rPr>
        <w:t>Figures 1a and 1b. GDP Comparison Among Peer Countries (left: 2013-2018; right: 2019-2021)</w:t>
      </w:r>
    </w:p>
    <w:p w14:paraId="2AD792FF" w14:textId="77777777" w:rsidR="00BD7F19" w:rsidRDefault="00BD7F19"/>
    <w:p w14:paraId="2B2EF803" w14:textId="77777777" w:rsidR="00BD7F19" w:rsidRDefault="00BD7F19"/>
    <w:p w14:paraId="43ED477B" w14:textId="77777777" w:rsidR="00BD7F19" w:rsidRDefault="00000000">
      <w:pPr>
        <w:jc w:val="both"/>
        <w:rPr>
          <w:b/>
        </w:rPr>
      </w:pPr>
      <w:r>
        <w:rPr>
          <w:b/>
        </w:rPr>
        <w:t>2.2 ECI Ranking and Changes</w:t>
      </w:r>
    </w:p>
    <w:p w14:paraId="00DC22F6" w14:textId="77777777" w:rsidR="00BD7F19" w:rsidRDefault="00000000">
      <w:pPr>
        <w:jc w:val="both"/>
      </w:pPr>
      <w:r>
        <w:t>The Economic Complexity Index (ECI), as defined by Ricardo Hausmann and Cesar Hidalgo in 2009 to explain the knowledge accumulated in a country's population, is illustrated in Figures 2a and 2b.</w:t>
      </w:r>
    </w:p>
    <w:p w14:paraId="541030FF" w14:textId="77777777" w:rsidR="003D266D" w:rsidRDefault="003D266D">
      <w:pPr>
        <w:jc w:val="both"/>
      </w:pPr>
    </w:p>
    <w:p w14:paraId="5094E27D" w14:textId="28EC1E38" w:rsidR="00BD7F19" w:rsidRDefault="003D266D">
      <w:pPr>
        <w:jc w:val="both"/>
      </w:pPr>
      <w:r>
        <w:t xml:space="preserve">As illustrated in Figure </w:t>
      </w:r>
      <w:r>
        <w:t>2a</w:t>
      </w:r>
      <w:r>
        <w:t xml:space="preserve"> below, Colombia exhibits a stably low level of production capability from 2013 to 2018, as measured by ECI. This is in direct contrast to countries such as China and Mexico, which demonstrate a steady trend in terms of both the ECI and GDP indexes. </w:t>
      </w:r>
    </w:p>
    <w:p w14:paraId="6BC2F0B0" w14:textId="77777777" w:rsidR="003D266D" w:rsidRDefault="003D266D">
      <w:pPr>
        <w:jc w:val="both"/>
      </w:pPr>
    </w:p>
    <w:p w14:paraId="7AC1B338" w14:textId="1F9DF196" w:rsidR="00BD7F19" w:rsidRDefault="00000000">
      <w:pPr>
        <w:jc w:val="both"/>
      </w:pPr>
      <w:r>
        <w:t xml:space="preserve">The comparable countries </w:t>
      </w:r>
      <w:r w:rsidR="003D266D">
        <w:t xml:space="preserve">underwent </w:t>
      </w:r>
      <w:r>
        <w:t xml:space="preserve">a </w:t>
      </w:r>
      <w:r w:rsidR="003D266D">
        <w:t>drastic</w:t>
      </w:r>
      <w:r>
        <w:t xml:space="preserve"> change in ECI level between 2019 and 2020, with a sharp change between 2020 and 2021</w:t>
      </w:r>
      <w:r w:rsidR="00377E06">
        <w:t>, except for Colombia</w:t>
      </w:r>
      <w:r>
        <w:t>.</w:t>
      </w:r>
      <w:r w:rsidR="00377E06">
        <w:t xml:space="preserve"> It </w:t>
      </w:r>
      <w:r>
        <w:t xml:space="preserve">exhibits a large increase </w:t>
      </w:r>
      <w:r>
        <w:lastRenderedPageBreak/>
        <w:t>in production capability in 202</w:t>
      </w:r>
      <w:r w:rsidR="00377E06">
        <w:t>1</w:t>
      </w:r>
      <w:r>
        <w:t xml:space="preserve">, with extensive microeconomic stimulus packages being one of the reasons. </w:t>
      </w:r>
      <w:r w:rsidR="00063A8D">
        <w:t>Colombia</w:t>
      </w:r>
      <w:r>
        <w:t xml:space="preserve"> has seen a </w:t>
      </w:r>
      <w:r w:rsidR="00377E06">
        <w:t>168</w:t>
      </w:r>
      <w:r>
        <w:t xml:space="preserve">% increase in its ECI, which is greater than </w:t>
      </w:r>
      <w:r w:rsidR="00377E06">
        <w:t>all of its peers’ (-111% for Saudi Arabia, -180% for Tunisia, and -197% for Mexico).</w:t>
      </w:r>
    </w:p>
    <w:p w14:paraId="74055511" w14:textId="77777777" w:rsidR="00BD7F19" w:rsidRDefault="00BD7F19">
      <w:pPr>
        <w:jc w:val="both"/>
      </w:pPr>
    </w:p>
    <w:p w14:paraId="0B9D5268" w14:textId="1F97C1AC" w:rsidR="00BD7F19" w:rsidRDefault="00000000">
      <w:r>
        <w:t xml:space="preserve">    </w:t>
      </w:r>
      <w:r w:rsidR="003D266D">
        <w:rPr>
          <w:noProof/>
        </w:rPr>
        <w:drawing>
          <wp:inline distT="114300" distB="114300" distL="114300" distR="114300" wp14:anchorId="1AE251F9" wp14:editId="4F8598A4">
            <wp:extent cx="2743200" cy="1828800"/>
            <wp:effectExtent l="12700" t="12700" r="12700" b="12700"/>
            <wp:docPr id="466890173" name="Picture 466890173"/>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2743200" cy="1828800"/>
                    </a:xfrm>
                    <a:prstGeom prst="rect">
                      <a:avLst/>
                    </a:prstGeom>
                    <a:ln w="12700">
                      <a:solidFill>
                        <a:srgbClr val="000000"/>
                      </a:solidFill>
                      <a:prstDash val="solid"/>
                    </a:ln>
                  </pic:spPr>
                </pic:pic>
              </a:graphicData>
            </a:graphic>
          </wp:inline>
        </w:drawing>
      </w:r>
      <w:r w:rsidR="003D266D">
        <w:fldChar w:fldCharType="begin"/>
      </w:r>
      <w:r w:rsidR="003D266D">
        <w:instrText xml:space="preserve"> INCLUDEPICTURE "/Users/margaritademkina/Library/Group Containers/UBF8T346G9.ms/WebArchiveCopyPasteTempFiles/com.microsoft.Word/447ea4e3-2f14-4a0b-bc0a-f65f82ecc774" \* MERGEFORMATINET </w:instrText>
      </w:r>
      <w:r w:rsidR="003D266D">
        <w:fldChar w:fldCharType="separate"/>
      </w:r>
      <w:r w:rsidR="003D266D">
        <w:rPr>
          <w:noProof/>
        </w:rPr>
        <w:drawing>
          <wp:inline distT="0" distB="0" distL="0" distR="0" wp14:anchorId="4CDDD70D" wp14:editId="4E123E67">
            <wp:extent cx="2743200" cy="1828800"/>
            <wp:effectExtent l="0" t="0" r="0" b="0"/>
            <wp:docPr id="180951939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sidR="003D266D">
        <w:fldChar w:fldCharType="end"/>
      </w:r>
    </w:p>
    <w:p w14:paraId="2D6F228B" w14:textId="77777777" w:rsidR="00BD7F19" w:rsidRDefault="00000000">
      <w:pPr>
        <w:jc w:val="center"/>
      </w:pPr>
      <w:r>
        <w:t xml:space="preserve">   </w:t>
      </w:r>
      <w:r>
        <w:rPr>
          <w:sz w:val="22"/>
          <w:szCs w:val="22"/>
        </w:rPr>
        <w:t xml:space="preserve">    Figures 2a and 2b. ECI Comparison Among Peer Countries (left: 2013-2018; right: 2019-2021) </w:t>
      </w:r>
      <w:r>
        <w:t xml:space="preserve">                        </w:t>
      </w:r>
    </w:p>
    <w:p w14:paraId="1B8D0245" w14:textId="77777777" w:rsidR="00BD7F19" w:rsidRDefault="00BD7F19"/>
    <w:p w14:paraId="0B9CC765" w14:textId="2F2B2EB9" w:rsidR="00BD7F19" w:rsidRDefault="00000000">
      <w:pPr>
        <w:jc w:val="both"/>
      </w:pPr>
      <w:r>
        <w:t xml:space="preserve">Figures 3a and 3b offer a further comparison of GDP Growth and ECI over the time span from 2013 to 2021 for </w:t>
      </w:r>
      <w:r w:rsidR="00063A8D">
        <w:t>Colombia</w:t>
      </w:r>
      <w:r>
        <w:t xml:space="preserve">. </w:t>
      </w:r>
      <w:r w:rsidR="00377E06">
        <w:t>From the graph</w:t>
      </w:r>
      <w:r w:rsidR="00377E06">
        <w:t>s</w:t>
      </w:r>
      <w:r w:rsidR="00377E06">
        <w:t xml:space="preserve">, it can be observed that changes in GDP during the period from 2013 to 2018 are not consistent with the changes in ECI, indicating </w:t>
      </w:r>
      <w:r w:rsidR="00377E06">
        <w:t xml:space="preserve">the </w:t>
      </w:r>
      <w:r w:rsidR="00377E06">
        <w:t xml:space="preserve">small predictive power of ECI in terms of Colombia’s potential economic development. In order to get a better insight </w:t>
      </w:r>
      <w:r w:rsidR="00377E06">
        <w:t>into</w:t>
      </w:r>
      <w:r w:rsidR="00377E06">
        <w:t xml:space="preserve"> the relationship between ECI and the country’s economy, we will dive into an analysis of Colombia’s production structure and its product space designs in the next few chapters. </w:t>
      </w:r>
      <w:r w:rsidR="00377E06">
        <w:t>It is the opposite for GDP and ECI from 2019 to 2021</w:t>
      </w:r>
      <w:r w:rsidR="00846FE5">
        <w:t>, when</w:t>
      </w:r>
      <w:r>
        <w:t xml:space="preserve"> the ECI followed GDP trends</w:t>
      </w:r>
      <w:r w:rsidR="00846FE5">
        <w:t xml:space="preserve"> more closely</w:t>
      </w:r>
      <w:r>
        <w:t xml:space="preserve">, which can be interpreted as advancements in production. In order to provide a more concrete answer to why this has happened, we will dive into an analysis of </w:t>
      </w:r>
      <w:r w:rsidR="00063A8D">
        <w:t>Colombia</w:t>
      </w:r>
      <w:r>
        <w:t>’s production structure and its product space designs in the next few sections.</w:t>
      </w:r>
    </w:p>
    <w:p w14:paraId="189A1542" w14:textId="77777777" w:rsidR="00BD7F19" w:rsidRDefault="00BD7F19">
      <w:pPr>
        <w:jc w:val="both"/>
      </w:pPr>
    </w:p>
    <w:p w14:paraId="10AB9126" w14:textId="4B7AA201" w:rsidR="00377E06" w:rsidRDefault="00377E06">
      <w:pPr>
        <w:jc w:val="center"/>
        <w:rPr>
          <w:sz w:val="22"/>
          <w:szCs w:val="22"/>
        </w:rPr>
      </w:pPr>
      <w:r>
        <w:rPr>
          <w:noProof/>
        </w:rPr>
        <w:drawing>
          <wp:inline distT="114300" distB="114300" distL="114300" distR="114300" wp14:anchorId="19964A0F" wp14:editId="48F9A5C7">
            <wp:extent cx="2743200" cy="1828800"/>
            <wp:effectExtent l="12700" t="12700" r="12700" b="1270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2743200" cy="1828800"/>
                    </a:xfrm>
                    <a:prstGeom prst="rect">
                      <a:avLst/>
                    </a:prstGeom>
                    <a:ln w="12700">
                      <a:solidFill>
                        <a:srgbClr val="000000"/>
                      </a:solidFill>
                      <a:prstDash val="solid"/>
                    </a:ln>
                  </pic:spPr>
                </pic:pic>
              </a:graphicData>
            </a:graphic>
          </wp:inline>
        </w:drawing>
      </w:r>
      <w:r>
        <w:rPr>
          <w:noProof/>
          <w:sz w:val="22"/>
          <w:szCs w:val="22"/>
        </w:rPr>
        <w:drawing>
          <wp:inline distT="0" distB="0" distL="0" distR="0" wp14:anchorId="3AA5D196" wp14:editId="4C8E5F7B">
            <wp:extent cx="2743200" cy="1881920"/>
            <wp:effectExtent l="0" t="0" r="0" b="0"/>
            <wp:docPr id="132994969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881920"/>
                    </a:xfrm>
                    <a:prstGeom prst="rect">
                      <a:avLst/>
                    </a:prstGeom>
                    <a:noFill/>
                    <a:ln>
                      <a:noFill/>
                    </a:ln>
                  </pic:spPr>
                </pic:pic>
              </a:graphicData>
            </a:graphic>
          </wp:inline>
        </w:drawing>
      </w:r>
    </w:p>
    <w:p w14:paraId="6A2E34DA" w14:textId="1984A49B" w:rsidR="00BD7F19" w:rsidRDefault="00000000">
      <w:pPr>
        <w:jc w:val="center"/>
        <w:rPr>
          <w:i/>
          <w:color w:val="444499"/>
          <w:sz w:val="20"/>
          <w:szCs w:val="20"/>
        </w:rPr>
      </w:pPr>
      <w:r>
        <w:rPr>
          <w:sz w:val="22"/>
          <w:szCs w:val="22"/>
        </w:rPr>
        <w:t xml:space="preserve">Figures 3a and 3b. GDP Growth and ECI for </w:t>
      </w:r>
      <w:r w:rsidR="00063A8D">
        <w:rPr>
          <w:sz w:val="22"/>
          <w:szCs w:val="22"/>
        </w:rPr>
        <w:t>Colombia</w:t>
      </w:r>
      <w:r>
        <w:rPr>
          <w:sz w:val="22"/>
          <w:szCs w:val="22"/>
        </w:rPr>
        <w:t xml:space="preserve"> (left: 2013-2018; right: 2019-2021)</w:t>
      </w:r>
    </w:p>
    <w:p w14:paraId="09AE9206" w14:textId="77777777" w:rsidR="00BD7F19" w:rsidRDefault="00BD7F19">
      <w:pPr>
        <w:jc w:val="both"/>
        <w:rPr>
          <w:b/>
        </w:rPr>
      </w:pPr>
    </w:p>
    <w:p w14:paraId="0924A934" w14:textId="77777777" w:rsidR="00BD7F19" w:rsidRDefault="00000000">
      <w:pPr>
        <w:jc w:val="both"/>
        <w:rPr>
          <w:rFonts w:ascii="Times" w:eastAsia="Times" w:hAnsi="Times" w:cs="Times"/>
          <w:b/>
          <w:sz w:val="28"/>
          <w:szCs w:val="28"/>
        </w:rPr>
      </w:pPr>
      <w:r>
        <w:br w:type="page"/>
      </w:r>
    </w:p>
    <w:p w14:paraId="5E7BEC22" w14:textId="77777777" w:rsidR="00BD7F19" w:rsidRDefault="00000000">
      <w:pPr>
        <w:jc w:val="both"/>
        <w:rPr>
          <w:rFonts w:ascii="Times" w:eastAsia="Times" w:hAnsi="Times" w:cs="Times"/>
          <w:b/>
          <w:sz w:val="28"/>
          <w:szCs w:val="28"/>
        </w:rPr>
      </w:pPr>
      <w:r>
        <w:rPr>
          <w:rFonts w:ascii="Times" w:eastAsia="Times" w:hAnsi="Times" w:cs="Times"/>
          <w:b/>
          <w:sz w:val="28"/>
          <w:szCs w:val="28"/>
        </w:rPr>
        <w:lastRenderedPageBreak/>
        <w:t>3. Production Analysis</w:t>
      </w:r>
    </w:p>
    <w:p w14:paraId="531EAFB0" w14:textId="77777777" w:rsidR="00BD7F19" w:rsidRDefault="00BD7F19">
      <w:pPr>
        <w:jc w:val="both"/>
        <w:rPr>
          <w:rFonts w:ascii="Times" w:eastAsia="Times" w:hAnsi="Times" w:cs="Times"/>
          <w:b/>
          <w:sz w:val="28"/>
          <w:szCs w:val="28"/>
        </w:rPr>
      </w:pPr>
    </w:p>
    <w:p w14:paraId="5B46DCE2" w14:textId="77777777" w:rsidR="00BD7F19" w:rsidRDefault="00000000">
      <w:pPr>
        <w:jc w:val="both"/>
        <w:rPr>
          <w:b/>
        </w:rPr>
      </w:pPr>
      <w:r>
        <w:rPr>
          <w:b/>
        </w:rPr>
        <w:t>3.1 Product Categorization</w:t>
      </w:r>
    </w:p>
    <w:p w14:paraId="4894C429" w14:textId="77777777" w:rsidR="00BD7F19" w:rsidRDefault="00000000">
      <w:pPr>
        <w:jc w:val="both"/>
      </w:pPr>
      <w:r>
        <w:t xml:space="preserve">Our main data source in this research is the UN </w:t>
      </w:r>
      <w:proofErr w:type="spellStart"/>
      <w:r>
        <w:t>Comtrade</w:t>
      </w:r>
      <w:proofErr w:type="spellEnd"/>
      <w:r>
        <w:t xml:space="preserv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14:paraId="0E362E9E" w14:textId="77777777" w:rsidR="00BD7F19" w:rsidRDefault="00BD7F19">
      <w:pPr>
        <w:jc w:val="both"/>
      </w:pPr>
    </w:p>
    <w:p w14:paraId="4FA70F15" w14:textId="77777777" w:rsidR="00BD7F19" w:rsidRDefault="00000000">
      <w:pPr>
        <w:jc w:val="both"/>
      </w:pPr>
      <w: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the High-complexity Products industry has the highest </w:t>
      </w:r>
      <w:proofErr w:type="spellStart"/>
      <w:r>
        <w:t>PfCI</w:t>
      </w:r>
      <w:proofErr w:type="spellEnd"/>
      <w:r>
        <w:t xml:space="preserve"> among all industry groups. </w:t>
      </w:r>
    </w:p>
    <w:p w14:paraId="56FA6E7F" w14:textId="77777777" w:rsidR="00BD7F19" w:rsidRDefault="00BD7F19">
      <w:pPr>
        <w:jc w:val="both"/>
      </w:pPr>
    </w:p>
    <w:tbl>
      <w:tblPr>
        <w:tblStyle w:val="a"/>
        <w:tblW w:w="9010" w:type="dxa"/>
        <w:tblInd w:w="-1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723"/>
        <w:gridCol w:w="6287"/>
      </w:tblGrid>
      <w:tr w:rsidR="00BD7F19" w14:paraId="7C9A9D32" w14:textId="77777777" w:rsidTr="00BD7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06DDE1E" w14:textId="77777777" w:rsidR="00BD7F19" w:rsidRDefault="00000000">
            <w:pPr>
              <w:jc w:val="both"/>
            </w:pPr>
            <w:r>
              <w:rPr>
                <w:b w:val="0"/>
              </w:rPr>
              <w:t>Category</w:t>
            </w:r>
          </w:p>
        </w:tc>
        <w:tc>
          <w:tcPr>
            <w:tcW w:w="6287" w:type="dxa"/>
          </w:tcPr>
          <w:p w14:paraId="71EF18E2" w14:textId="77777777" w:rsidR="00BD7F19" w:rsidRDefault="00000000">
            <w:pPr>
              <w:jc w:val="both"/>
              <w:cnfStyle w:val="100000000000" w:firstRow="1" w:lastRow="0" w:firstColumn="0" w:lastColumn="0" w:oddVBand="0" w:evenVBand="0" w:oddHBand="0" w:evenHBand="0" w:firstRowFirstColumn="0" w:firstRowLastColumn="0" w:lastRowFirstColumn="0" w:lastRowLastColumn="0"/>
            </w:pPr>
            <w:r>
              <w:rPr>
                <w:b w:val="0"/>
              </w:rPr>
              <w:t>Description</w:t>
            </w:r>
          </w:p>
        </w:tc>
      </w:tr>
      <w:tr w:rsidR="00BD7F19" w14:paraId="329F378A"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28D742F" w14:textId="77777777" w:rsidR="00BD7F19" w:rsidRDefault="00000000">
            <w:pPr>
              <w:jc w:val="both"/>
              <w:rPr>
                <w:sz w:val="20"/>
                <w:szCs w:val="20"/>
              </w:rPr>
            </w:pPr>
            <w:r>
              <w:rPr>
                <w:sz w:val="20"/>
                <w:szCs w:val="20"/>
              </w:rPr>
              <w:t>Animals and By-products</w:t>
            </w:r>
          </w:p>
        </w:tc>
        <w:tc>
          <w:tcPr>
            <w:tcW w:w="6287" w:type="dxa"/>
          </w:tcPr>
          <w:p w14:paraId="17AF1401"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All kinds of meat, livestock and related by-products </w:t>
            </w:r>
          </w:p>
        </w:tc>
      </w:tr>
      <w:tr w:rsidR="00BD7F19" w14:paraId="3A0D3E59"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2122866C" w14:textId="77777777" w:rsidR="00BD7F19" w:rsidRDefault="00000000">
            <w:pPr>
              <w:jc w:val="both"/>
              <w:rPr>
                <w:sz w:val="20"/>
                <w:szCs w:val="20"/>
              </w:rPr>
            </w:pPr>
            <w:r>
              <w:rPr>
                <w:sz w:val="20"/>
                <w:szCs w:val="20"/>
              </w:rPr>
              <w:t>Vegetables, Fruits and Plants</w:t>
            </w:r>
          </w:p>
        </w:tc>
        <w:tc>
          <w:tcPr>
            <w:tcW w:w="6287" w:type="dxa"/>
          </w:tcPr>
          <w:p w14:paraId="448B962E"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All kinds of plants, edible vegetables and fruits </w:t>
            </w:r>
          </w:p>
        </w:tc>
      </w:tr>
      <w:tr w:rsidR="00BD7F19" w14:paraId="231C1739"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91DBBCB" w14:textId="77777777" w:rsidR="00BD7F19" w:rsidRDefault="00000000">
            <w:pPr>
              <w:jc w:val="both"/>
              <w:rPr>
                <w:sz w:val="20"/>
                <w:szCs w:val="20"/>
              </w:rPr>
            </w:pPr>
            <w:r>
              <w:rPr>
                <w:sz w:val="20"/>
                <w:szCs w:val="20"/>
              </w:rPr>
              <w:t>Food and Preparations</w:t>
            </w:r>
          </w:p>
        </w:tc>
        <w:tc>
          <w:tcPr>
            <w:tcW w:w="6287" w:type="dxa"/>
          </w:tcPr>
          <w:p w14:paraId="74BA1DF4"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Edible preparations, raw cooking materials and appliances</w:t>
            </w:r>
          </w:p>
        </w:tc>
      </w:tr>
      <w:tr w:rsidR="00BD7F19" w14:paraId="738385B8"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07B3A9AC" w14:textId="77777777" w:rsidR="00BD7F19" w:rsidRDefault="00000000">
            <w:pPr>
              <w:jc w:val="both"/>
              <w:rPr>
                <w:sz w:val="20"/>
                <w:szCs w:val="20"/>
              </w:rPr>
            </w:pPr>
            <w:r>
              <w:rPr>
                <w:sz w:val="20"/>
                <w:szCs w:val="20"/>
              </w:rPr>
              <w:t>Clothing and Accessories</w:t>
            </w:r>
          </w:p>
        </w:tc>
        <w:tc>
          <w:tcPr>
            <w:tcW w:w="6287" w:type="dxa"/>
          </w:tcPr>
          <w:p w14:paraId="1280D54C"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D7F19" w14:paraId="27F2C8EF"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7ADDE21" w14:textId="77777777" w:rsidR="00BD7F19" w:rsidRDefault="00000000">
            <w:pPr>
              <w:jc w:val="both"/>
              <w:rPr>
                <w:sz w:val="20"/>
                <w:szCs w:val="20"/>
              </w:rPr>
            </w:pPr>
            <w:r>
              <w:rPr>
                <w:sz w:val="20"/>
                <w:szCs w:val="20"/>
              </w:rPr>
              <w:t>Textiles</w:t>
            </w:r>
          </w:p>
        </w:tc>
        <w:tc>
          <w:tcPr>
            <w:tcW w:w="6287" w:type="dxa"/>
          </w:tcPr>
          <w:p w14:paraId="042F5C40"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D7F19" w14:paraId="316A3E82"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28134FD1" w14:textId="77777777" w:rsidR="00BD7F19" w:rsidRDefault="00000000">
            <w:pPr>
              <w:jc w:val="both"/>
              <w:rPr>
                <w:sz w:val="20"/>
                <w:szCs w:val="20"/>
              </w:rPr>
            </w:pPr>
            <w:r>
              <w:rPr>
                <w:sz w:val="20"/>
                <w:szCs w:val="20"/>
              </w:rPr>
              <w:t>Wood Products</w:t>
            </w:r>
          </w:p>
        </w:tc>
        <w:tc>
          <w:tcPr>
            <w:tcW w:w="6287" w:type="dxa"/>
          </w:tcPr>
          <w:p w14:paraId="07E9DA59"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D7F19" w14:paraId="425265F1"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3ECC137" w14:textId="77777777" w:rsidR="00BD7F19" w:rsidRDefault="00000000">
            <w:pPr>
              <w:jc w:val="both"/>
              <w:rPr>
                <w:sz w:val="20"/>
                <w:szCs w:val="20"/>
              </w:rPr>
            </w:pPr>
            <w:r>
              <w:rPr>
                <w:sz w:val="20"/>
                <w:szCs w:val="20"/>
              </w:rPr>
              <w:t>Metals</w:t>
            </w:r>
          </w:p>
        </w:tc>
        <w:tc>
          <w:tcPr>
            <w:tcW w:w="6287" w:type="dxa"/>
          </w:tcPr>
          <w:p w14:paraId="3CBD3977"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D7F19" w14:paraId="2541152C"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6E1DB4FA" w14:textId="77777777" w:rsidR="00BD7F19" w:rsidRDefault="00000000">
            <w:pPr>
              <w:rPr>
                <w:sz w:val="20"/>
                <w:szCs w:val="20"/>
              </w:rPr>
            </w:pPr>
            <w:r>
              <w:rPr>
                <w:sz w:val="20"/>
                <w:szCs w:val="20"/>
              </w:rPr>
              <w:t>Refined and Processed Stones</w:t>
            </w:r>
          </w:p>
        </w:tc>
        <w:tc>
          <w:tcPr>
            <w:tcW w:w="6287" w:type="dxa"/>
          </w:tcPr>
          <w:p w14:paraId="04B4C047"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D7F19" w14:paraId="7826D244"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D6075C" w14:textId="77777777" w:rsidR="00BD7F19" w:rsidRDefault="00000000">
            <w:pPr>
              <w:jc w:val="both"/>
              <w:rPr>
                <w:sz w:val="20"/>
                <w:szCs w:val="20"/>
              </w:rPr>
            </w:pPr>
            <w:r>
              <w:rPr>
                <w:sz w:val="20"/>
                <w:szCs w:val="20"/>
              </w:rPr>
              <w:t>Energy Drilling and Mining</w:t>
            </w:r>
          </w:p>
        </w:tc>
        <w:tc>
          <w:tcPr>
            <w:tcW w:w="6287" w:type="dxa"/>
          </w:tcPr>
          <w:p w14:paraId="49E52E1C"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industry for energy, minerals, stone materials, etc.</w:t>
            </w:r>
          </w:p>
        </w:tc>
      </w:tr>
      <w:tr w:rsidR="00BD7F19" w14:paraId="4EAD3987"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045D82B4" w14:textId="77777777" w:rsidR="00BD7F19" w:rsidRDefault="00000000">
            <w:pPr>
              <w:jc w:val="both"/>
              <w:rPr>
                <w:sz w:val="20"/>
                <w:szCs w:val="20"/>
              </w:rPr>
            </w:pPr>
            <w:r>
              <w:rPr>
                <w:sz w:val="20"/>
                <w:szCs w:val="20"/>
              </w:rPr>
              <w:t>Daily Instruments</w:t>
            </w:r>
          </w:p>
        </w:tc>
        <w:tc>
          <w:tcPr>
            <w:tcW w:w="6287" w:type="dxa"/>
          </w:tcPr>
          <w:p w14:paraId="126BDA95"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D7F19" w14:paraId="7005236C"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684E11C" w14:textId="77777777" w:rsidR="00BD7F19" w:rsidRDefault="00000000">
            <w:pPr>
              <w:jc w:val="both"/>
              <w:rPr>
                <w:sz w:val="20"/>
                <w:szCs w:val="20"/>
              </w:rPr>
            </w:pPr>
            <w:r>
              <w:rPr>
                <w:sz w:val="20"/>
                <w:szCs w:val="20"/>
              </w:rPr>
              <w:t>Raw Manufacturing</w:t>
            </w:r>
          </w:p>
        </w:tc>
        <w:tc>
          <w:tcPr>
            <w:tcW w:w="6287" w:type="dxa"/>
          </w:tcPr>
          <w:p w14:paraId="12BCCCAF"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D7F19" w14:paraId="100397F9"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102CDBE0" w14:textId="77777777" w:rsidR="00BD7F19" w:rsidRDefault="00000000">
            <w:pPr>
              <w:jc w:val="both"/>
              <w:rPr>
                <w:sz w:val="20"/>
                <w:szCs w:val="20"/>
              </w:rPr>
            </w:pPr>
            <w:r>
              <w:rPr>
                <w:sz w:val="20"/>
                <w:szCs w:val="20"/>
              </w:rPr>
              <w:t>Chemical Manufacturing</w:t>
            </w:r>
          </w:p>
        </w:tc>
        <w:tc>
          <w:tcPr>
            <w:tcW w:w="6287" w:type="dxa"/>
          </w:tcPr>
          <w:p w14:paraId="23FBDABF"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Advanced chemical products and pharmaceutical products</w:t>
            </w:r>
          </w:p>
        </w:tc>
      </w:tr>
      <w:tr w:rsidR="00BD7F19" w14:paraId="0D365FA0"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E9E2FA" w14:textId="77777777" w:rsidR="00BD7F19" w:rsidRDefault="00000000">
            <w:pPr>
              <w:jc w:val="both"/>
              <w:rPr>
                <w:sz w:val="20"/>
                <w:szCs w:val="20"/>
              </w:rPr>
            </w:pPr>
            <w:r>
              <w:rPr>
                <w:sz w:val="20"/>
                <w:szCs w:val="20"/>
              </w:rPr>
              <w:t>Chemicals</w:t>
            </w:r>
          </w:p>
        </w:tc>
        <w:tc>
          <w:tcPr>
            <w:tcW w:w="6287" w:type="dxa"/>
          </w:tcPr>
          <w:p w14:paraId="4BB58183"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chemical materials and by-products</w:t>
            </w:r>
          </w:p>
        </w:tc>
      </w:tr>
      <w:tr w:rsidR="00BD7F19" w14:paraId="549AF94A"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79FF3937" w14:textId="77777777" w:rsidR="00BD7F19" w:rsidRDefault="00000000">
            <w:pPr>
              <w:tabs>
                <w:tab w:val="left" w:pos="1718"/>
              </w:tabs>
              <w:jc w:val="both"/>
              <w:rPr>
                <w:sz w:val="20"/>
                <w:szCs w:val="20"/>
              </w:rPr>
            </w:pPr>
            <w:r>
              <w:rPr>
                <w:sz w:val="20"/>
                <w:szCs w:val="20"/>
              </w:rPr>
              <w:t>Machinery and Construction</w:t>
            </w:r>
          </w:p>
        </w:tc>
        <w:tc>
          <w:tcPr>
            <w:tcW w:w="6287" w:type="dxa"/>
          </w:tcPr>
          <w:p w14:paraId="4F42E6BE"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D7F19" w14:paraId="62356A04"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85A65CC" w14:textId="77777777" w:rsidR="00BD7F19" w:rsidRDefault="00000000">
            <w:pPr>
              <w:jc w:val="both"/>
              <w:rPr>
                <w:sz w:val="20"/>
                <w:szCs w:val="20"/>
              </w:rPr>
            </w:pPr>
            <w:r>
              <w:rPr>
                <w:sz w:val="20"/>
                <w:szCs w:val="20"/>
              </w:rPr>
              <w:t>Transportation</w:t>
            </w:r>
          </w:p>
        </w:tc>
        <w:tc>
          <w:tcPr>
            <w:tcW w:w="6287" w:type="dxa"/>
          </w:tcPr>
          <w:p w14:paraId="1F001BC0"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D7F19" w14:paraId="70E4402E" w14:textId="77777777" w:rsidTr="00BD7F19">
        <w:tc>
          <w:tcPr>
            <w:cnfStyle w:val="001000000000" w:firstRow="0" w:lastRow="0" w:firstColumn="1" w:lastColumn="0" w:oddVBand="0" w:evenVBand="0" w:oddHBand="0" w:evenHBand="0" w:firstRowFirstColumn="0" w:firstRowLastColumn="0" w:lastRowFirstColumn="0" w:lastRowLastColumn="0"/>
            <w:tcW w:w="2723" w:type="dxa"/>
          </w:tcPr>
          <w:p w14:paraId="3631106B" w14:textId="77777777" w:rsidR="00BD7F19" w:rsidRDefault="00000000">
            <w:pPr>
              <w:jc w:val="both"/>
              <w:rPr>
                <w:sz w:val="20"/>
                <w:szCs w:val="20"/>
              </w:rPr>
            </w:pPr>
            <w:r>
              <w:rPr>
                <w:sz w:val="20"/>
                <w:szCs w:val="20"/>
              </w:rPr>
              <w:t>Weapons</w:t>
            </w:r>
          </w:p>
        </w:tc>
        <w:tc>
          <w:tcPr>
            <w:tcW w:w="6287" w:type="dxa"/>
          </w:tcPr>
          <w:p w14:paraId="134FA11B"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Explosives, arms and ammunition</w:t>
            </w:r>
          </w:p>
        </w:tc>
      </w:tr>
      <w:tr w:rsidR="00BD7F19" w14:paraId="216C7B63"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F7F0777" w14:textId="77777777" w:rsidR="00BD7F19" w:rsidRDefault="00000000">
            <w:pPr>
              <w:jc w:val="both"/>
              <w:rPr>
                <w:sz w:val="20"/>
                <w:szCs w:val="20"/>
              </w:rPr>
            </w:pPr>
            <w:r>
              <w:rPr>
                <w:sz w:val="20"/>
                <w:szCs w:val="20"/>
              </w:rPr>
              <w:t>Services and Utilities</w:t>
            </w:r>
          </w:p>
        </w:tc>
        <w:tc>
          <w:tcPr>
            <w:tcW w:w="6287" w:type="dxa"/>
          </w:tcPr>
          <w:p w14:paraId="474E49A8" w14:textId="77777777" w:rsidR="00BD7F19"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D7F19" w14:paraId="31CA4259" w14:textId="77777777" w:rsidTr="00BD7F19">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9C65822" w14:textId="77777777" w:rsidR="00BD7F19" w:rsidRDefault="00000000">
            <w:pPr>
              <w:jc w:val="both"/>
              <w:rPr>
                <w:sz w:val="20"/>
                <w:szCs w:val="20"/>
              </w:rPr>
            </w:pPr>
            <w:r>
              <w:rPr>
                <w:sz w:val="20"/>
                <w:szCs w:val="20"/>
              </w:rPr>
              <w:t>High-complexity Products</w:t>
            </w:r>
          </w:p>
        </w:tc>
        <w:tc>
          <w:tcPr>
            <w:tcW w:w="6287" w:type="dxa"/>
          </w:tcPr>
          <w:p w14:paraId="29300205" w14:textId="77777777" w:rsidR="00BD7F19"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Agglomeration of advanced products with highest PCIs</w:t>
            </w:r>
          </w:p>
        </w:tc>
      </w:tr>
    </w:tbl>
    <w:p w14:paraId="37602394" w14:textId="77777777" w:rsidR="00BD7F19" w:rsidRDefault="00000000">
      <w:pPr>
        <w:jc w:val="center"/>
        <w:rPr>
          <w:sz w:val="22"/>
          <w:szCs w:val="22"/>
        </w:rPr>
      </w:pPr>
      <w:r>
        <w:rPr>
          <w:sz w:val="22"/>
          <w:szCs w:val="22"/>
        </w:rPr>
        <w:t>Table 1. Categorization of Products</w:t>
      </w:r>
    </w:p>
    <w:p w14:paraId="7E41B709" w14:textId="77777777" w:rsidR="00BD7F19" w:rsidRDefault="00BD7F19">
      <w:pPr>
        <w:jc w:val="both"/>
      </w:pPr>
    </w:p>
    <w:p w14:paraId="3A17BF0B" w14:textId="77777777" w:rsidR="00BD7F19" w:rsidRDefault="00000000">
      <w:pPr>
        <w:jc w:val="both"/>
      </w:pPr>
      <w:r>
        <w:t>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14:paraId="3C08DCB1" w14:textId="77777777" w:rsidR="00BD7F19" w:rsidRDefault="00BD7F19">
      <w:pPr>
        <w:jc w:val="both"/>
      </w:pPr>
    </w:p>
    <w:p w14:paraId="2FF98CF1" w14:textId="77777777" w:rsidR="0040340D" w:rsidRDefault="0040340D">
      <w:pPr>
        <w:jc w:val="both"/>
      </w:pPr>
    </w:p>
    <w:p w14:paraId="1B255D26" w14:textId="77777777" w:rsidR="0040340D" w:rsidRDefault="0040340D">
      <w:pPr>
        <w:jc w:val="both"/>
      </w:pPr>
    </w:p>
    <w:p w14:paraId="3B074805" w14:textId="77777777" w:rsidR="00BD7F19" w:rsidRDefault="00BD7F19">
      <w:pPr>
        <w:jc w:val="center"/>
      </w:pPr>
    </w:p>
    <w:tbl>
      <w:tblPr>
        <w:tblStyle w:val="a0"/>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BD7F19" w14:paraId="3587827B" w14:textId="77777777" w:rsidTr="00BD7F1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2162B9DD" w14:textId="77777777" w:rsidR="00BD7F19" w:rsidRDefault="00BD7F19">
            <w:pPr>
              <w:jc w:val="center"/>
            </w:pPr>
          </w:p>
        </w:tc>
        <w:tc>
          <w:tcPr>
            <w:tcW w:w="2565" w:type="dxa"/>
          </w:tcPr>
          <w:p w14:paraId="63812927"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6D149D26"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4ADDAECB"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BD7F19" w14:paraId="053F9245" w14:textId="77777777" w:rsidTr="00BD7F1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2AA56F45" w14:textId="77777777" w:rsidR="00BD7F19" w:rsidRDefault="00000000">
            <w:pPr>
              <w:jc w:val="center"/>
              <w:rPr>
                <w:sz w:val="20"/>
                <w:szCs w:val="20"/>
              </w:rPr>
            </w:pPr>
            <w:r>
              <w:rPr>
                <w:b w:val="0"/>
                <w:sz w:val="20"/>
                <w:szCs w:val="20"/>
              </w:rPr>
              <w:t>Adj. R-squared</w:t>
            </w:r>
          </w:p>
        </w:tc>
        <w:tc>
          <w:tcPr>
            <w:tcW w:w="2565" w:type="dxa"/>
            <w:vAlign w:val="bottom"/>
          </w:tcPr>
          <w:p w14:paraId="27AA6197"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0.075</w:t>
            </w:r>
          </w:p>
        </w:tc>
        <w:tc>
          <w:tcPr>
            <w:tcW w:w="2550" w:type="dxa"/>
            <w:vAlign w:val="bottom"/>
          </w:tcPr>
          <w:p w14:paraId="4E6EA82F"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0.006</w:t>
            </w:r>
          </w:p>
        </w:tc>
        <w:tc>
          <w:tcPr>
            <w:tcW w:w="2610" w:type="dxa"/>
            <w:vAlign w:val="bottom"/>
          </w:tcPr>
          <w:p w14:paraId="0636F41C"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0.002</w:t>
            </w:r>
          </w:p>
        </w:tc>
      </w:tr>
      <w:tr w:rsidR="00BD7F19" w14:paraId="1D0859ED" w14:textId="77777777" w:rsidTr="00BD7F19">
        <w:tc>
          <w:tcPr>
            <w:cnfStyle w:val="001000000000" w:firstRow="0" w:lastRow="0" w:firstColumn="1" w:lastColumn="0" w:oddVBand="0" w:evenVBand="0" w:oddHBand="0" w:evenHBand="0" w:firstRowFirstColumn="0" w:firstRowLastColumn="0" w:lastRowFirstColumn="0" w:lastRowLastColumn="0"/>
            <w:tcW w:w="1650" w:type="dxa"/>
          </w:tcPr>
          <w:p w14:paraId="72DB081A" w14:textId="77777777" w:rsidR="00BD7F19" w:rsidRDefault="00000000">
            <w:pPr>
              <w:jc w:val="center"/>
              <w:rPr>
                <w:sz w:val="20"/>
                <w:szCs w:val="20"/>
              </w:rPr>
            </w:pPr>
            <w:r>
              <w:rPr>
                <w:b w:val="0"/>
                <w:sz w:val="20"/>
                <w:szCs w:val="20"/>
                <w:highlight w:val="white"/>
              </w:rPr>
              <w:t>F-statistic</w:t>
            </w:r>
          </w:p>
        </w:tc>
        <w:tc>
          <w:tcPr>
            <w:tcW w:w="2565" w:type="dxa"/>
            <w:vAlign w:val="bottom"/>
          </w:tcPr>
          <w:p w14:paraId="57D2BFA3"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9.556</w:t>
            </w:r>
          </w:p>
        </w:tc>
        <w:tc>
          <w:tcPr>
            <w:tcW w:w="2550" w:type="dxa"/>
            <w:vAlign w:val="bottom"/>
          </w:tcPr>
          <w:p w14:paraId="4B0EA329"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1.638</w:t>
            </w:r>
          </w:p>
        </w:tc>
        <w:tc>
          <w:tcPr>
            <w:tcW w:w="2610" w:type="dxa"/>
            <w:vAlign w:val="bottom"/>
          </w:tcPr>
          <w:p w14:paraId="0B9638A9"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1.175</w:t>
            </w:r>
          </w:p>
        </w:tc>
      </w:tr>
      <w:tr w:rsidR="00BD7F19" w14:paraId="53FC4DA1"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646EAB38" w14:textId="77777777" w:rsidR="00BD7F19" w:rsidRDefault="00000000">
            <w:pPr>
              <w:jc w:val="center"/>
              <w:rPr>
                <w:sz w:val="20"/>
                <w:szCs w:val="20"/>
              </w:rPr>
            </w:pPr>
            <w:r>
              <w:rPr>
                <w:b w:val="0"/>
                <w:sz w:val="20"/>
                <w:szCs w:val="20"/>
              </w:rPr>
              <w:t>No. Observations</w:t>
            </w:r>
          </w:p>
        </w:tc>
        <w:tc>
          <w:tcPr>
            <w:tcW w:w="2565" w:type="dxa"/>
            <w:vAlign w:val="bottom"/>
          </w:tcPr>
          <w:p w14:paraId="04AB602F"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550" w:type="dxa"/>
            <w:vAlign w:val="bottom"/>
          </w:tcPr>
          <w:p w14:paraId="3D95A093"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610" w:type="dxa"/>
            <w:vAlign w:val="bottom"/>
          </w:tcPr>
          <w:p w14:paraId="303DF567"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r>
    </w:tbl>
    <w:p w14:paraId="113AF1D5" w14:textId="77777777" w:rsidR="00BD7F19" w:rsidRDefault="00000000">
      <w:pPr>
        <w:jc w:val="center"/>
        <w:rPr>
          <w:sz w:val="22"/>
          <w:szCs w:val="22"/>
        </w:rPr>
      </w:pPr>
      <w:r>
        <w:rPr>
          <w:sz w:val="22"/>
          <w:szCs w:val="22"/>
        </w:rPr>
        <w:t xml:space="preserve">Table 2a. OLS Regression Results of GDP against Percentage Volume of Exports </w:t>
      </w:r>
    </w:p>
    <w:p w14:paraId="1D5C31C7" w14:textId="77777777" w:rsidR="00BD7F19" w:rsidRDefault="00BD7F19">
      <w:pPr>
        <w:jc w:val="center"/>
      </w:pPr>
    </w:p>
    <w:tbl>
      <w:tblPr>
        <w:tblStyle w:val="a1"/>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BD7F19" w14:paraId="7D50E83A" w14:textId="77777777" w:rsidTr="00BD7F1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74EE5803" w14:textId="77777777" w:rsidR="00BD7F19" w:rsidRDefault="00BD7F19">
            <w:pPr>
              <w:jc w:val="center"/>
            </w:pPr>
          </w:p>
        </w:tc>
        <w:tc>
          <w:tcPr>
            <w:tcW w:w="2565" w:type="dxa"/>
          </w:tcPr>
          <w:p w14:paraId="76B3582F"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594AEEE5"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2ABBAFB8" w14:textId="77777777" w:rsidR="00BD7F19"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BD7F19" w14:paraId="1353B095" w14:textId="77777777" w:rsidTr="00BD7F19">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23E9F6BA" w14:textId="77777777" w:rsidR="00BD7F19" w:rsidRDefault="00000000">
            <w:pPr>
              <w:jc w:val="center"/>
              <w:rPr>
                <w:sz w:val="20"/>
                <w:szCs w:val="20"/>
              </w:rPr>
            </w:pPr>
            <w:r>
              <w:rPr>
                <w:b w:val="0"/>
                <w:sz w:val="20"/>
                <w:szCs w:val="20"/>
              </w:rPr>
              <w:t>Adj. R-squared</w:t>
            </w:r>
          </w:p>
        </w:tc>
        <w:tc>
          <w:tcPr>
            <w:tcW w:w="2565" w:type="dxa"/>
            <w:vAlign w:val="bottom"/>
          </w:tcPr>
          <w:p w14:paraId="61AB0892"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0.149</w:t>
            </w:r>
          </w:p>
        </w:tc>
        <w:tc>
          <w:tcPr>
            <w:tcW w:w="2550" w:type="dxa"/>
            <w:vAlign w:val="bottom"/>
          </w:tcPr>
          <w:p w14:paraId="7974C26B"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0.003</w:t>
            </w:r>
          </w:p>
        </w:tc>
        <w:tc>
          <w:tcPr>
            <w:tcW w:w="2610" w:type="dxa"/>
            <w:vAlign w:val="bottom"/>
          </w:tcPr>
          <w:p w14:paraId="0F538CF8"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-0.012</w:t>
            </w:r>
          </w:p>
        </w:tc>
      </w:tr>
      <w:tr w:rsidR="00BD7F19" w14:paraId="01729C66" w14:textId="77777777" w:rsidTr="00BD7F19">
        <w:tc>
          <w:tcPr>
            <w:cnfStyle w:val="001000000000" w:firstRow="0" w:lastRow="0" w:firstColumn="1" w:lastColumn="0" w:oddVBand="0" w:evenVBand="0" w:oddHBand="0" w:evenHBand="0" w:firstRowFirstColumn="0" w:firstRowLastColumn="0" w:lastRowFirstColumn="0" w:lastRowLastColumn="0"/>
            <w:tcW w:w="1650" w:type="dxa"/>
          </w:tcPr>
          <w:p w14:paraId="0CA9F73C" w14:textId="77777777" w:rsidR="00BD7F19" w:rsidRDefault="00000000">
            <w:pPr>
              <w:jc w:val="center"/>
              <w:rPr>
                <w:sz w:val="20"/>
                <w:szCs w:val="20"/>
              </w:rPr>
            </w:pPr>
            <w:r>
              <w:rPr>
                <w:b w:val="0"/>
                <w:sz w:val="20"/>
                <w:szCs w:val="20"/>
                <w:highlight w:val="white"/>
              </w:rPr>
              <w:t>F-statistic</w:t>
            </w:r>
          </w:p>
        </w:tc>
        <w:tc>
          <w:tcPr>
            <w:tcW w:w="2565" w:type="dxa"/>
            <w:vAlign w:val="bottom"/>
          </w:tcPr>
          <w:p w14:paraId="6F7E67A0"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4.510</w:t>
            </w:r>
          </w:p>
        </w:tc>
        <w:tc>
          <w:tcPr>
            <w:tcW w:w="2550" w:type="dxa"/>
            <w:vAlign w:val="bottom"/>
          </w:tcPr>
          <w:p w14:paraId="5F5A531E"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1.059</w:t>
            </w:r>
          </w:p>
        </w:tc>
        <w:tc>
          <w:tcPr>
            <w:tcW w:w="2610" w:type="dxa"/>
            <w:vAlign w:val="bottom"/>
          </w:tcPr>
          <w:p w14:paraId="2733989E" w14:textId="77777777" w:rsidR="00BD7F19"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0.7542</w:t>
            </w:r>
          </w:p>
        </w:tc>
      </w:tr>
      <w:tr w:rsidR="00BD7F19" w14:paraId="0EF83324" w14:textId="77777777" w:rsidTr="00BD7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24E6B4F8" w14:textId="77777777" w:rsidR="00BD7F19" w:rsidRDefault="00000000">
            <w:pPr>
              <w:jc w:val="center"/>
              <w:rPr>
                <w:sz w:val="20"/>
                <w:szCs w:val="20"/>
              </w:rPr>
            </w:pPr>
            <w:r>
              <w:rPr>
                <w:b w:val="0"/>
                <w:sz w:val="20"/>
                <w:szCs w:val="20"/>
              </w:rPr>
              <w:t>No. Observations</w:t>
            </w:r>
          </w:p>
        </w:tc>
        <w:tc>
          <w:tcPr>
            <w:tcW w:w="2565" w:type="dxa"/>
            <w:vAlign w:val="bottom"/>
          </w:tcPr>
          <w:p w14:paraId="41B9659D"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550" w:type="dxa"/>
            <w:vAlign w:val="bottom"/>
          </w:tcPr>
          <w:p w14:paraId="007BFD03"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610" w:type="dxa"/>
            <w:vAlign w:val="bottom"/>
          </w:tcPr>
          <w:p w14:paraId="2FA6041A" w14:textId="77777777" w:rsidR="00BD7F19"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r>
    </w:tbl>
    <w:p w14:paraId="62CE94F3" w14:textId="77777777" w:rsidR="00BD7F19" w:rsidRDefault="00000000">
      <w:pPr>
        <w:jc w:val="center"/>
        <w:rPr>
          <w:sz w:val="22"/>
          <w:szCs w:val="22"/>
        </w:rPr>
      </w:pPr>
      <w:r>
        <w:rPr>
          <w:sz w:val="22"/>
          <w:szCs w:val="22"/>
        </w:rPr>
        <w:t>Table 2b. OLS Regression Results of GDP against Volume of Percentage Exports</w:t>
      </w:r>
    </w:p>
    <w:p w14:paraId="2A351E8F" w14:textId="77777777" w:rsidR="00BD7F19" w:rsidRDefault="00BD7F19">
      <w:pPr>
        <w:jc w:val="center"/>
        <w:rPr>
          <w:sz w:val="22"/>
          <w:szCs w:val="22"/>
        </w:rPr>
      </w:pPr>
    </w:p>
    <w:p w14:paraId="52E221E0" w14:textId="77777777" w:rsidR="00BD7F19" w:rsidRDefault="00BD7F19">
      <w:pPr>
        <w:jc w:val="both"/>
        <w:rPr>
          <w:b/>
        </w:rPr>
      </w:pPr>
    </w:p>
    <w:p w14:paraId="483A649E" w14:textId="77777777" w:rsidR="00BD7F19" w:rsidRDefault="00000000">
      <w:pPr>
        <w:jc w:val="both"/>
        <w:rPr>
          <w:b/>
        </w:rPr>
      </w:pPr>
      <w:r>
        <w:rPr>
          <w:b/>
        </w:rPr>
        <w:t>3.2 Realized Industry Development</w:t>
      </w:r>
    </w:p>
    <w:p w14:paraId="0332DDDD" w14:textId="5E3ED17D" w:rsidR="00BD7F19" w:rsidRDefault="00000000">
      <w:pPr>
        <w:jc w:val="both"/>
      </w:pPr>
      <w:r>
        <w:t xml:space="preserve">Based on the aforementioned product categorization, we aim to capture </w:t>
      </w:r>
      <w:r w:rsidR="00063A8D">
        <w:t>Colombia</w:t>
      </w:r>
      <w: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R="00063A8D">
        <w:t>Colombia</w:t>
      </w:r>
      <w: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w:t>
      </w:r>
      <w:r w:rsidR="00D41B3E">
        <w:t xml:space="preserve"> only increased by one</w:t>
      </w:r>
      <w:r>
        <w:t xml:space="preserve"> from 2018 to 2021.</w:t>
      </w:r>
    </w:p>
    <w:p w14:paraId="5176204E" w14:textId="77777777" w:rsidR="00BD7F19" w:rsidRDefault="00BD7F19">
      <w:pPr>
        <w:jc w:val="both"/>
      </w:pPr>
    </w:p>
    <w:tbl>
      <w:tblPr>
        <w:tblStyle w:val="a2"/>
        <w:tblW w:w="5940" w:type="dxa"/>
        <w:jc w:val="center"/>
        <w:tblLayout w:type="fixed"/>
        <w:tblLook w:val="0600" w:firstRow="0" w:lastRow="0" w:firstColumn="0" w:lastColumn="0" w:noHBand="1" w:noVBand="1"/>
      </w:tblPr>
      <w:tblGrid>
        <w:gridCol w:w="2880"/>
        <w:gridCol w:w="1575"/>
        <w:gridCol w:w="1485"/>
      </w:tblGrid>
      <w:tr w:rsidR="00D41B3E" w14:paraId="5153DAA3" w14:textId="77777777">
        <w:trPr>
          <w:trHeight w:val="315"/>
          <w:tblHeader/>
          <w:jc w:val="center"/>
        </w:trPr>
        <w:tc>
          <w:tcPr>
            <w:tcW w:w="2880" w:type="dxa"/>
            <w:tcBorders>
              <w:top w:val="nil"/>
              <w:bottom w:val="nil"/>
            </w:tcBorders>
            <w:shd w:val="clear" w:color="auto" w:fill="A5A5A5"/>
            <w:tcMar>
              <w:top w:w="-123" w:type="dxa"/>
              <w:left w:w="-123" w:type="dxa"/>
              <w:bottom w:w="-123" w:type="dxa"/>
              <w:right w:w="-123" w:type="dxa"/>
            </w:tcMar>
            <w:vAlign w:val="center"/>
          </w:tcPr>
          <w:p w14:paraId="3BC232F2" w14:textId="2A39260C" w:rsidR="00D41B3E" w:rsidRDefault="00D41B3E" w:rsidP="00D41B3E">
            <w:pPr>
              <w:pBdr>
                <w:top w:val="nil"/>
                <w:left w:val="nil"/>
                <w:bottom w:val="nil"/>
                <w:right w:val="nil"/>
                <w:between w:val="nil"/>
              </w:pBdr>
              <w:ind w:left="180"/>
              <w:rPr>
                <w:b/>
                <w:color w:val="FFFFFF"/>
                <w:sz w:val="20"/>
                <w:szCs w:val="20"/>
              </w:rPr>
            </w:pPr>
            <w:r>
              <w:rPr>
                <w:b/>
                <w:bCs/>
                <w:color w:val="FFFFFF"/>
                <w:sz w:val="20"/>
                <w:szCs w:val="20"/>
              </w:rPr>
              <w:t>Category</w:t>
            </w:r>
          </w:p>
        </w:tc>
        <w:tc>
          <w:tcPr>
            <w:tcW w:w="1575" w:type="dxa"/>
            <w:tcBorders>
              <w:top w:val="nil"/>
              <w:bottom w:val="nil"/>
            </w:tcBorders>
            <w:shd w:val="clear" w:color="auto" w:fill="A5A5A5"/>
            <w:tcMar>
              <w:top w:w="-123" w:type="dxa"/>
              <w:left w:w="-123" w:type="dxa"/>
              <w:bottom w:w="-123" w:type="dxa"/>
              <w:right w:w="-123" w:type="dxa"/>
            </w:tcMar>
            <w:vAlign w:val="center"/>
          </w:tcPr>
          <w:p w14:paraId="242939E5" w14:textId="4A34A586" w:rsidR="00D41B3E" w:rsidRDefault="00D41B3E" w:rsidP="00D41B3E">
            <w:pPr>
              <w:pBdr>
                <w:top w:val="nil"/>
                <w:left w:val="nil"/>
                <w:bottom w:val="nil"/>
                <w:right w:val="nil"/>
                <w:between w:val="nil"/>
              </w:pBdr>
              <w:jc w:val="both"/>
              <w:rPr>
                <w:b/>
                <w:color w:val="FFFFFF"/>
                <w:sz w:val="20"/>
                <w:szCs w:val="20"/>
              </w:rPr>
            </w:pPr>
            <w:r>
              <w:rPr>
                <w:b/>
                <w:bCs/>
                <w:color w:val="FFFFFF"/>
                <w:sz w:val="20"/>
                <w:szCs w:val="20"/>
              </w:rPr>
              <w:t>RID (2021)</w:t>
            </w:r>
          </w:p>
        </w:tc>
        <w:tc>
          <w:tcPr>
            <w:tcW w:w="1485" w:type="dxa"/>
            <w:tcBorders>
              <w:top w:val="nil"/>
              <w:bottom w:val="nil"/>
            </w:tcBorders>
            <w:shd w:val="clear" w:color="auto" w:fill="A5A5A5"/>
            <w:tcMar>
              <w:top w:w="-123" w:type="dxa"/>
              <w:left w:w="-123" w:type="dxa"/>
              <w:bottom w:w="-123" w:type="dxa"/>
              <w:right w:w="-123" w:type="dxa"/>
            </w:tcMar>
            <w:vAlign w:val="center"/>
          </w:tcPr>
          <w:p w14:paraId="5C9EC0B6" w14:textId="156F448B" w:rsidR="00D41B3E" w:rsidRDefault="00D41B3E" w:rsidP="00D41B3E">
            <w:pPr>
              <w:pBdr>
                <w:top w:val="nil"/>
                <w:left w:val="nil"/>
                <w:bottom w:val="nil"/>
                <w:right w:val="nil"/>
                <w:between w:val="nil"/>
              </w:pBdr>
              <w:jc w:val="both"/>
              <w:rPr>
                <w:b/>
                <w:color w:val="FFFFFF"/>
                <w:sz w:val="20"/>
                <w:szCs w:val="20"/>
              </w:rPr>
            </w:pPr>
            <w:r>
              <w:rPr>
                <w:b/>
                <w:bCs/>
                <w:color w:val="FFFFFF"/>
                <w:sz w:val="20"/>
                <w:szCs w:val="20"/>
              </w:rPr>
              <w:t>RID (2018)</w:t>
            </w:r>
          </w:p>
        </w:tc>
      </w:tr>
      <w:tr w:rsidR="00D41B3E" w14:paraId="5F6DFD84" w14:textId="77777777">
        <w:trPr>
          <w:trHeight w:val="246"/>
          <w:tblHeader/>
          <w:jc w:val="center"/>
        </w:trPr>
        <w:tc>
          <w:tcPr>
            <w:tcW w:w="2880" w:type="dxa"/>
            <w:shd w:val="clear" w:color="auto" w:fill="D9D9D9"/>
            <w:tcMar>
              <w:top w:w="-123" w:type="dxa"/>
              <w:left w:w="-123" w:type="dxa"/>
              <w:bottom w:w="-123" w:type="dxa"/>
              <w:right w:w="-123" w:type="dxa"/>
            </w:tcMar>
            <w:vAlign w:val="center"/>
          </w:tcPr>
          <w:p w14:paraId="18F774DC" w14:textId="2792BEC4" w:rsidR="00D41B3E" w:rsidRDefault="00D41B3E" w:rsidP="00D41B3E">
            <w:pPr>
              <w:widowControl w:val="0"/>
              <w:spacing w:line="276" w:lineRule="auto"/>
              <w:ind w:left="180"/>
              <w:rPr>
                <w:sz w:val="20"/>
                <w:szCs w:val="20"/>
              </w:rPr>
            </w:pPr>
            <w:r>
              <w:rPr>
                <w:color w:val="7B7B7B"/>
                <w:sz w:val="20"/>
                <w:szCs w:val="20"/>
              </w:rPr>
              <w:t>Daily Instruments</w:t>
            </w:r>
          </w:p>
        </w:tc>
        <w:tc>
          <w:tcPr>
            <w:tcW w:w="1575" w:type="dxa"/>
            <w:shd w:val="clear" w:color="auto" w:fill="D9D9D9"/>
            <w:tcMar>
              <w:top w:w="-123" w:type="dxa"/>
              <w:left w:w="-123" w:type="dxa"/>
              <w:bottom w:w="-123" w:type="dxa"/>
              <w:right w:w="-123" w:type="dxa"/>
            </w:tcMar>
            <w:vAlign w:val="center"/>
          </w:tcPr>
          <w:p w14:paraId="684AE6FF" w14:textId="66D16C41" w:rsidR="00D41B3E" w:rsidRDefault="00D41B3E" w:rsidP="00D41B3E">
            <w:pPr>
              <w:widowControl w:val="0"/>
              <w:spacing w:line="276" w:lineRule="auto"/>
              <w:rPr>
                <w:sz w:val="20"/>
                <w:szCs w:val="20"/>
              </w:rPr>
            </w:pPr>
            <w:r>
              <w:rPr>
                <w:color w:val="000000"/>
                <w:sz w:val="20"/>
                <w:szCs w:val="20"/>
              </w:rPr>
              <w:t>-0.082</w:t>
            </w:r>
          </w:p>
        </w:tc>
        <w:tc>
          <w:tcPr>
            <w:tcW w:w="1485" w:type="dxa"/>
            <w:shd w:val="clear" w:color="auto" w:fill="D9D9D9"/>
            <w:tcMar>
              <w:top w:w="-123" w:type="dxa"/>
              <w:left w:w="-123" w:type="dxa"/>
              <w:bottom w:w="-123" w:type="dxa"/>
              <w:right w:w="-123" w:type="dxa"/>
            </w:tcMar>
            <w:vAlign w:val="center"/>
          </w:tcPr>
          <w:p w14:paraId="1C8CC4FE" w14:textId="3B56733D" w:rsidR="00D41B3E" w:rsidRDefault="00D41B3E" w:rsidP="00D41B3E">
            <w:pPr>
              <w:widowControl w:val="0"/>
              <w:spacing w:line="276" w:lineRule="auto"/>
              <w:rPr>
                <w:sz w:val="20"/>
                <w:szCs w:val="20"/>
              </w:rPr>
            </w:pPr>
            <w:r>
              <w:rPr>
                <w:color w:val="000000"/>
                <w:sz w:val="20"/>
                <w:szCs w:val="20"/>
              </w:rPr>
              <w:t>-0.073</w:t>
            </w:r>
          </w:p>
        </w:tc>
      </w:tr>
      <w:tr w:rsidR="00D41B3E" w14:paraId="1E2A99DD" w14:textId="77777777">
        <w:trPr>
          <w:trHeight w:val="246"/>
          <w:tblHeader/>
          <w:jc w:val="center"/>
        </w:trPr>
        <w:tc>
          <w:tcPr>
            <w:tcW w:w="2880" w:type="dxa"/>
            <w:tcMar>
              <w:top w:w="-123" w:type="dxa"/>
              <w:left w:w="-123" w:type="dxa"/>
              <w:bottom w:w="-123" w:type="dxa"/>
              <w:right w:w="-123" w:type="dxa"/>
            </w:tcMar>
            <w:vAlign w:val="center"/>
          </w:tcPr>
          <w:p w14:paraId="19A3A877" w14:textId="6D31DAE9" w:rsidR="00D41B3E" w:rsidRDefault="00D41B3E" w:rsidP="00D41B3E">
            <w:pPr>
              <w:widowControl w:val="0"/>
              <w:spacing w:line="276" w:lineRule="auto"/>
              <w:ind w:left="180"/>
              <w:rPr>
                <w:sz w:val="20"/>
                <w:szCs w:val="20"/>
              </w:rPr>
            </w:pPr>
            <w:r>
              <w:rPr>
                <w:color w:val="7B7B7B"/>
                <w:sz w:val="20"/>
                <w:szCs w:val="20"/>
              </w:rPr>
              <w:t>Textile</w:t>
            </w:r>
          </w:p>
        </w:tc>
        <w:tc>
          <w:tcPr>
            <w:tcW w:w="1575" w:type="dxa"/>
            <w:tcMar>
              <w:top w:w="-123" w:type="dxa"/>
              <w:left w:w="-123" w:type="dxa"/>
              <w:bottom w:w="-123" w:type="dxa"/>
              <w:right w:w="-123" w:type="dxa"/>
            </w:tcMar>
            <w:vAlign w:val="center"/>
          </w:tcPr>
          <w:p w14:paraId="3682AC35" w14:textId="45CCA095" w:rsidR="00D41B3E" w:rsidRDefault="00D41B3E" w:rsidP="00D41B3E">
            <w:pPr>
              <w:widowControl w:val="0"/>
              <w:spacing w:line="276" w:lineRule="auto"/>
              <w:rPr>
                <w:sz w:val="20"/>
                <w:szCs w:val="20"/>
              </w:rPr>
            </w:pPr>
            <w:r>
              <w:rPr>
                <w:sz w:val="20"/>
                <w:szCs w:val="20"/>
              </w:rPr>
              <w:t>-0.070</w:t>
            </w:r>
          </w:p>
        </w:tc>
        <w:tc>
          <w:tcPr>
            <w:tcW w:w="1485" w:type="dxa"/>
            <w:tcMar>
              <w:top w:w="-123" w:type="dxa"/>
              <w:left w:w="-123" w:type="dxa"/>
              <w:bottom w:w="-123" w:type="dxa"/>
              <w:right w:w="-123" w:type="dxa"/>
            </w:tcMar>
            <w:vAlign w:val="center"/>
          </w:tcPr>
          <w:p w14:paraId="4E1531F6" w14:textId="6FF80EAF" w:rsidR="00D41B3E" w:rsidRDefault="00D41B3E" w:rsidP="00D41B3E">
            <w:pPr>
              <w:widowControl w:val="0"/>
              <w:spacing w:line="276" w:lineRule="auto"/>
              <w:rPr>
                <w:sz w:val="20"/>
                <w:szCs w:val="20"/>
              </w:rPr>
            </w:pPr>
            <w:r>
              <w:rPr>
                <w:sz w:val="20"/>
                <w:szCs w:val="20"/>
              </w:rPr>
              <w:t>-0.102</w:t>
            </w:r>
          </w:p>
        </w:tc>
      </w:tr>
      <w:tr w:rsidR="00D41B3E" w14:paraId="70EEB29B" w14:textId="77777777">
        <w:trPr>
          <w:trHeight w:val="246"/>
          <w:tblHeader/>
          <w:jc w:val="center"/>
        </w:trPr>
        <w:tc>
          <w:tcPr>
            <w:tcW w:w="2880" w:type="dxa"/>
            <w:shd w:val="clear" w:color="auto" w:fill="D9D9D9"/>
            <w:tcMar>
              <w:top w:w="-123" w:type="dxa"/>
              <w:left w:w="-123" w:type="dxa"/>
              <w:bottom w:w="-123" w:type="dxa"/>
              <w:right w:w="-123" w:type="dxa"/>
            </w:tcMar>
            <w:vAlign w:val="center"/>
          </w:tcPr>
          <w:p w14:paraId="635D718C" w14:textId="48A03AF9" w:rsidR="00D41B3E" w:rsidRDefault="00D41B3E" w:rsidP="00D41B3E">
            <w:pPr>
              <w:widowControl w:val="0"/>
              <w:spacing w:line="276" w:lineRule="auto"/>
              <w:ind w:left="180"/>
              <w:rPr>
                <w:sz w:val="20"/>
                <w:szCs w:val="20"/>
              </w:rPr>
            </w:pPr>
            <w:r>
              <w:rPr>
                <w:color w:val="7B7B7B"/>
                <w:sz w:val="20"/>
                <w:szCs w:val="20"/>
              </w:rPr>
              <w:t>Transportation</w:t>
            </w:r>
          </w:p>
        </w:tc>
        <w:tc>
          <w:tcPr>
            <w:tcW w:w="1575" w:type="dxa"/>
            <w:shd w:val="clear" w:color="auto" w:fill="D9D9D9"/>
            <w:tcMar>
              <w:top w:w="-123" w:type="dxa"/>
              <w:left w:w="-123" w:type="dxa"/>
              <w:bottom w:w="-123" w:type="dxa"/>
              <w:right w:w="-123" w:type="dxa"/>
            </w:tcMar>
            <w:vAlign w:val="center"/>
          </w:tcPr>
          <w:p w14:paraId="12DA05E4" w14:textId="07018C34" w:rsidR="00D41B3E" w:rsidRDefault="00D41B3E" w:rsidP="00D41B3E">
            <w:pPr>
              <w:widowControl w:val="0"/>
              <w:spacing w:line="276" w:lineRule="auto"/>
              <w:rPr>
                <w:sz w:val="20"/>
                <w:szCs w:val="20"/>
              </w:rPr>
            </w:pPr>
            <w:r>
              <w:rPr>
                <w:color w:val="000000"/>
                <w:sz w:val="20"/>
                <w:szCs w:val="20"/>
              </w:rPr>
              <w:t>-0.064</w:t>
            </w:r>
          </w:p>
        </w:tc>
        <w:tc>
          <w:tcPr>
            <w:tcW w:w="1485" w:type="dxa"/>
            <w:shd w:val="clear" w:color="auto" w:fill="D9D9D9"/>
            <w:tcMar>
              <w:top w:w="-123" w:type="dxa"/>
              <w:left w:w="-123" w:type="dxa"/>
              <w:bottom w:w="-123" w:type="dxa"/>
              <w:right w:w="-123" w:type="dxa"/>
            </w:tcMar>
            <w:vAlign w:val="center"/>
          </w:tcPr>
          <w:p w14:paraId="5120C33C" w14:textId="1793DA23" w:rsidR="00D41B3E" w:rsidRDefault="00D41B3E" w:rsidP="00D41B3E">
            <w:pPr>
              <w:widowControl w:val="0"/>
              <w:spacing w:line="276" w:lineRule="auto"/>
              <w:rPr>
                <w:sz w:val="20"/>
                <w:szCs w:val="20"/>
              </w:rPr>
            </w:pPr>
            <w:r>
              <w:rPr>
                <w:color w:val="000000"/>
                <w:sz w:val="20"/>
                <w:szCs w:val="20"/>
              </w:rPr>
              <w:t>-0.095</w:t>
            </w:r>
          </w:p>
        </w:tc>
      </w:tr>
      <w:tr w:rsidR="00D41B3E" w14:paraId="16E77739" w14:textId="77777777">
        <w:trPr>
          <w:trHeight w:val="246"/>
          <w:tblHeader/>
          <w:jc w:val="center"/>
        </w:trPr>
        <w:tc>
          <w:tcPr>
            <w:tcW w:w="2880" w:type="dxa"/>
            <w:tcMar>
              <w:top w:w="-123" w:type="dxa"/>
              <w:left w:w="-123" w:type="dxa"/>
              <w:bottom w:w="-123" w:type="dxa"/>
              <w:right w:w="-123" w:type="dxa"/>
            </w:tcMar>
            <w:vAlign w:val="center"/>
          </w:tcPr>
          <w:p w14:paraId="1046CE09" w14:textId="6F67311C" w:rsidR="00D41B3E" w:rsidRDefault="00D41B3E" w:rsidP="00D41B3E">
            <w:pPr>
              <w:widowControl w:val="0"/>
              <w:spacing w:line="276" w:lineRule="auto"/>
              <w:ind w:left="180"/>
              <w:rPr>
                <w:sz w:val="20"/>
                <w:szCs w:val="20"/>
              </w:rPr>
            </w:pPr>
            <w:r>
              <w:rPr>
                <w:color w:val="7B7B7B"/>
                <w:sz w:val="20"/>
                <w:szCs w:val="20"/>
              </w:rPr>
              <w:t>Chemicals</w:t>
            </w:r>
          </w:p>
        </w:tc>
        <w:tc>
          <w:tcPr>
            <w:tcW w:w="1575" w:type="dxa"/>
            <w:tcMar>
              <w:top w:w="-123" w:type="dxa"/>
              <w:left w:w="-123" w:type="dxa"/>
              <w:bottom w:w="-123" w:type="dxa"/>
              <w:right w:w="-123" w:type="dxa"/>
            </w:tcMar>
            <w:vAlign w:val="center"/>
          </w:tcPr>
          <w:p w14:paraId="075AEE23" w14:textId="34CAAE1B" w:rsidR="00D41B3E" w:rsidRDefault="00D41B3E" w:rsidP="00D41B3E">
            <w:pPr>
              <w:widowControl w:val="0"/>
              <w:spacing w:line="276" w:lineRule="auto"/>
              <w:rPr>
                <w:sz w:val="20"/>
                <w:szCs w:val="20"/>
              </w:rPr>
            </w:pPr>
            <w:r>
              <w:rPr>
                <w:sz w:val="20"/>
                <w:szCs w:val="20"/>
              </w:rPr>
              <w:t>-0.049</w:t>
            </w:r>
          </w:p>
        </w:tc>
        <w:tc>
          <w:tcPr>
            <w:tcW w:w="1485" w:type="dxa"/>
            <w:tcMar>
              <w:top w:w="-123" w:type="dxa"/>
              <w:left w:w="-123" w:type="dxa"/>
              <w:bottom w:w="-123" w:type="dxa"/>
              <w:right w:w="-123" w:type="dxa"/>
            </w:tcMar>
            <w:vAlign w:val="center"/>
          </w:tcPr>
          <w:p w14:paraId="466E7767" w14:textId="5AB71747" w:rsidR="00D41B3E" w:rsidRDefault="00D41B3E" w:rsidP="00D41B3E">
            <w:pPr>
              <w:widowControl w:val="0"/>
              <w:spacing w:line="276" w:lineRule="auto"/>
              <w:rPr>
                <w:sz w:val="20"/>
                <w:szCs w:val="20"/>
              </w:rPr>
            </w:pPr>
            <w:r>
              <w:rPr>
                <w:sz w:val="20"/>
                <w:szCs w:val="20"/>
              </w:rPr>
              <w:t>-0.035</w:t>
            </w:r>
          </w:p>
        </w:tc>
      </w:tr>
      <w:tr w:rsidR="00D41B3E" w14:paraId="517B7460" w14:textId="77777777">
        <w:trPr>
          <w:trHeight w:val="246"/>
          <w:jc w:val="center"/>
        </w:trPr>
        <w:tc>
          <w:tcPr>
            <w:tcW w:w="2880" w:type="dxa"/>
            <w:shd w:val="clear" w:color="auto" w:fill="D9D9D9"/>
            <w:tcMar>
              <w:top w:w="-123" w:type="dxa"/>
              <w:left w:w="-123" w:type="dxa"/>
              <w:bottom w:w="-123" w:type="dxa"/>
              <w:right w:w="-123" w:type="dxa"/>
            </w:tcMar>
            <w:vAlign w:val="center"/>
          </w:tcPr>
          <w:p w14:paraId="48D58027" w14:textId="7D92F50C" w:rsidR="00D41B3E" w:rsidRDefault="00D41B3E" w:rsidP="00D41B3E">
            <w:pPr>
              <w:widowControl w:val="0"/>
              <w:spacing w:line="276" w:lineRule="auto"/>
              <w:ind w:left="180"/>
              <w:rPr>
                <w:sz w:val="20"/>
                <w:szCs w:val="20"/>
              </w:rPr>
            </w:pPr>
            <w:r>
              <w:rPr>
                <w:color w:val="7B7B7B"/>
                <w:sz w:val="20"/>
                <w:szCs w:val="20"/>
              </w:rPr>
              <w:t>Chemical Manufacturing</w:t>
            </w:r>
          </w:p>
        </w:tc>
        <w:tc>
          <w:tcPr>
            <w:tcW w:w="1575" w:type="dxa"/>
            <w:shd w:val="clear" w:color="auto" w:fill="D9D9D9"/>
            <w:tcMar>
              <w:top w:w="-123" w:type="dxa"/>
              <w:left w:w="-123" w:type="dxa"/>
              <w:bottom w:w="-123" w:type="dxa"/>
              <w:right w:w="-123" w:type="dxa"/>
            </w:tcMar>
            <w:vAlign w:val="center"/>
          </w:tcPr>
          <w:p w14:paraId="41A225B8" w14:textId="029B0FD2" w:rsidR="00D41B3E" w:rsidRDefault="00D41B3E" w:rsidP="00D41B3E">
            <w:pPr>
              <w:widowControl w:val="0"/>
              <w:spacing w:line="276" w:lineRule="auto"/>
              <w:rPr>
                <w:sz w:val="20"/>
                <w:szCs w:val="20"/>
              </w:rPr>
            </w:pPr>
            <w:r>
              <w:rPr>
                <w:color w:val="000000"/>
                <w:sz w:val="20"/>
                <w:szCs w:val="20"/>
              </w:rPr>
              <w:t>-0.044</w:t>
            </w:r>
          </w:p>
        </w:tc>
        <w:tc>
          <w:tcPr>
            <w:tcW w:w="1485" w:type="dxa"/>
            <w:shd w:val="clear" w:color="auto" w:fill="D9D9D9"/>
            <w:tcMar>
              <w:top w:w="-123" w:type="dxa"/>
              <w:left w:w="-123" w:type="dxa"/>
              <w:bottom w:w="-123" w:type="dxa"/>
              <w:right w:w="-123" w:type="dxa"/>
            </w:tcMar>
            <w:vAlign w:val="center"/>
          </w:tcPr>
          <w:p w14:paraId="048DDD9D" w14:textId="409D290A" w:rsidR="00D41B3E" w:rsidRDefault="00D41B3E" w:rsidP="00D41B3E">
            <w:pPr>
              <w:widowControl w:val="0"/>
              <w:spacing w:line="276" w:lineRule="auto"/>
              <w:rPr>
                <w:sz w:val="20"/>
                <w:szCs w:val="20"/>
              </w:rPr>
            </w:pPr>
            <w:r>
              <w:rPr>
                <w:color w:val="000000"/>
                <w:sz w:val="20"/>
                <w:szCs w:val="20"/>
              </w:rPr>
              <w:t>-0.116</w:t>
            </w:r>
          </w:p>
        </w:tc>
      </w:tr>
      <w:tr w:rsidR="00D41B3E" w14:paraId="170A711D" w14:textId="77777777">
        <w:trPr>
          <w:trHeight w:val="246"/>
          <w:jc w:val="center"/>
        </w:trPr>
        <w:tc>
          <w:tcPr>
            <w:tcW w:w="2880" w:type="dxa"/>
            <w:tcMar>
              <w:top w:w="-123" w:type="dxa"/>
              <w:left w:w="-123" w:type="dxa"/>
              <w:bottom w:w="-123" w:type="dxa"/>
              <w:right w:w="-123" w:type="dxa"/>
            </w:tcMar>
            <w:vAlign w:val="center"/>
          </w:tcPr>
          <w:p w14:paraId="082C6464" w14:textId="6ABF736B" w:rsidR="00D41B3E" w:rsidRDefault="00D41B3E" w:rsidP="00D41B3E">
            <w:pPr>
              <w:widowControl w:val="0"/>
              <w:spacing w:line="276" w:lineRule="auto"/>
              <w:ind w:left="180"/>
              <w:rPr>
                <w:sz w:val="20"/>
                <w:szCs w:val="20"/>
              </w:rPr>
            </w:pPr>
            <w:r>
              <w:rPr>
                <w:color w:val="7B7B7B"/>
                <w:sz w:val="20"/>
                <w:szCs w:val="20"/>
              </w:rPr>
              <w:t>Animals and By-products</w:t>
            </w:r>
          </w:p>
        </w:tc>
        <w:tc>
          <w:tcPr>
            <w:tcW w:w="1575" w:type="dxa"/>
            <w:tcMar>
              <w:top w:w="-123" w:type="dxa"/>
              <w:left w:w="-123" w:type="dxa"/>
              <w:bottom w:w="-123" w:type="dxa"/>
              <w:right w:w="-123" w:type="dxa"/>
            </w:tcMar>
            <w:vAlign w:val="center"/>
          </w:tcPr>
          <w:p w14:paraId="2A13F7D1" w14:textId="383305B2" w:rsidR="00D41B3E" w:rsidRDefault="00D41B3E" w:rsidP="00D41B3E">
            <w:pPr>
              <w:widowControl w:val="0"/>
              <w:spacing w:line="276" w:lineRule="auto"/>
              <w:rPr>
                <w:sz w:val="20"/>
                <w:szCs w:val="20"/>
              </w:rPr>
            </w:pPr>
            <w:r>
              <w:rPr>
                <w:sz w:val="20"/>
                <w:szCs w:val="20"/>
              </w:rPr>
              <w:t>-0.041</w:t>
            </w:r>
          </w:p>
        </w:tc>
        <w:tc>
          <w:tcPr>
            <w:tcW w:w="1485" w:type="dxa"/>
            <w:tcMar>
              <w:top w:w="-123" w:type="dxa"/>
              <w:left w:w="-123" w:type="dxa"/>
              <w:bottom w:w="-123" w:type="dxa"/>
              <w:right w:w="-123" w:type="dxa"/>
            </w:tcMar>
            <w:vAlign w:val="center"/>
          </w:tcPr>
          <w:p w14:paraId="5B16DC33" w14:textId="5D6D3288" w:rsidR="00D41B3E" w:rsidRDefault="00D41B3E" w:rsidP="00D41B3E">
            <w:pPr>
              <w:widowControl w:val="0"/>
              <w:spacing w:line="276" w:lineRule="auto"/>
              <w:rPr>
                <w:sz w:val="20"/>
                <w:szCs w:val="20"/>
              </w:rPr>
            </w:pPr>
            <w:r>
              <w:rPr>
                <w:sz w:val="20"/>
                <w:szCs w:val="20"/>
              </w:rPr>
              <w:t>-0.081</w:t>
            </w:r>
          </w:p>
        </w:tc>
      </w:tr>
      <w:tr w:rsidR="00D41B3E" w14:paraId="3FECAEA6" w14:textId="77777777">
        <w:trPr>
          <w:trHeight w:val="246"/>
          <w:jc w:val="center"/>
        </w:trPr>
        <w:tc>
          <w:tcPr>
            <w:tcW w:w="2880" w:type="dxa"/>
            <w:shd w:val="clear" w:color="auto" w:fill="D9D9D9"/>
            <w:tcMar>
              <w:top w:w="-123" w:type="dxa"/>
              <w:left w:w="-123" w:type="dxa"/>
              <w:bottom w:w="-123" w:type="dxa"/>
              <w:right w:w="-123" w:type="dxa"/>
            </w:tcMar>
            <w:vAlign w:val="center"/>
          </w:tcPr>
          <w:p w14:paraId="06A21E2F" w14:textId="2E9910A4" w:rsidR="00D41B3E" w:rsidRDefault="00D41B3E" w:rsidP="00D41B3E">
            <w:pPr>
              <w:widowControl w:val="0"/>
              <w:spacing w:line="276" w:lineRule="auto"/>
              <w:ind w:left="180"/>
              <w:rPr>
                <w:sz w:val="20"/>
                <w:szCs w:val="20"/>
              </w:rPr>
            </w:pPr>
            <w:r>
              <w:rPr>
                <w:color w:val="7B7B7B"/>
                <w:sz w:val="20"/>
                <w:szCs w:val="20"/>
              </w:rPr>
              <w:t>Weapons</w:t>
            </w:r>
          </w:p>
        </w:tc>
        <w:tc>
          <w:tcPr>
            <w:tcW w:w="1575" w:type="dxa"/>
            <w:shd w:val="clear" w:color="auto" w:fill="D9D9D9"/>
            <w:tcMar>
              <w:top w:w="-123" w:type="dxa"/>
              <w:left w:w="-123" w:type="dxa"/>
              <w:bottom w:w="-123" w:type="dxa"/>
              <w:right w:w="-123" w:type="dxa"/>
            </w:tcMar>
            <w:vAlign w:val="center"/>
          </w:tcPr>
          <w:p w14:paraId="146CB0D7" w14:textId="0CCA0495" w:rsidR="00D41B3E" w:rsidRDefault="00D41B3E" w:rsidP="00D41B3E">
            <w:pPr>
              <w:widowControl w:val="0"/>
              <w:spacing w:line="276" w:lineRule="auto"/>
              <w:rPr>
                <w:sz w:val="20"/>
                <w:szCs w:val="20"/>
              </w:rPr>
            </w:pPr>
            <w:r>
              <w:rPr>
                <w:color w:val="000000"/>
                <w:sz w:val="20"/>
                <w:szCs w:val="20"/>
              </w:rPr>
              <w:t>-0.040</w:t>
            </w:r>
          </w:p>
        </w:tc>
        <w:tc>
          <w:tcPr>
            <w:tcW w:w="1485" w:type="dxa"/>
            <w:shd w:val="clear" w:color="auto" w:fill="D9D9D9"/>
            <w:tcMar>
              <w:top w:w="-123" w:type="dxa"/>
              <w:left w:w="-123" w:type="dxa"/>
              <w:bottom w:w="-123" w:type="dxa"/>
              <w:right w:w="-123" w:type="dxa"/>
            </w:tcMar>
            <w:vAlign w:val="center"/>
          </w:tcPr>
          <w:p w14:paraId="28C8F1B0" w14:textId="54988511" w:rsidR="00D41B3E" w:rsidRDefault="00D41B3E" w:rsidP="00D41B3E">
            <w:pPr>
              <w:widowControl w:val="0"/>
              <w:spacing w:line="276" w:lineRule="auto"/>
              <w:rPr>
                <w:sz w:val="20"/>
                <w:szCs w:val="20"/>
              </w:rPr>
            </w:pPr>
            <w:r>
              <w:rPr>
                <w:color w:val="000000"/>
                <w:sz w:val="20"/>
                <w:szCs w:val="20"/>
              </w:rPr>
              <w:t>-0.057</w:t>
            </w:r>
          </w:p>
        </w:tc>
      </w:tr>
      <w:tr w:rsidR="00D41B3E" w14:paraId="22B0A338" w14:textId="77777777">
        <w:trPr>
          <w:trHeight w:val="246"/>
          <w:jc w:val="center"/>
        </w:trPr>
        <w:tc>
          <w:tcPr>
            <w:tcW w:w="2880" w:type="dxa"/>
            <w:tcMar>
              <w:top w:w="-123" w:type="dxa"/>
              <w:left w:w="-123" w:type="dxa"/>
              <w:bottom w:w="-123" w:type="dxa"/>
              <w:right w:w="-123" w:type="dxa"/>
            </w:tcMar>
            <w:vAlign w:val="center"/>
          </w:tcPr>
          <w:p w14:paraId="75F4FB9B" w14:textId="7BD74DCF" w:rsidR="00D41B3E" w:rsidRDefault="00D41B3E" w:rsidP="00D41B3E">
            <w:pPr>
              <w:widowControl w:val="0"/>
              <w:spacing w:line="276" w:lineRule="auto"/>
              <w:ind w:left="180"/>
              <w:rPr>
                <w:sz w:val="20"/>
                <w:szCs w:val="20"/>
              </w:rPr>
            </w:pPr>
            <w:r>
              <w:rPr>
                <w:color w:val="7B7B7B"/>
                <w:sz w:val="20"/>
                <w:szCs w:val="20"/>
              </w:rPr>
              <w:t>Raw Manufacturing</w:t>
            </w:r>
          </w:p>
        </w:tc>
        <w:tc>
          <w:tcPr>
            <w:tcW w:w="1575" w:type="dxa"/>
            <w:tcMar>
              <w:top w:w="-123" w:type="dxa"/>
              <w:left w:w="-123" w:type="dxa"/>
              <w:bottom w:w="-123" w:type="dxa"/>
              <w:right w:w="-123" w:type="dxa"/>
            </w:tcMar>
            <w:vAlign w:val="center"/>
          </w:tcPr>
          <w:p w14:paraId="52655953" w14:textId="2491949E" w:rsidR="00D41B3E" w:rsidRDefault="00D41B3E" w:rsidP="00D41B3E">
            <w:pPr>
              <w:widowControl w:val="0"/>
              <w:spacing w:line="276" w:lineRule="auto"/>
              <w:rPr>
                <w:sz w:val="20"/>
                <w:szCs w:val="20"/>
              </w:rPr>
            </w:pPr>
            <w:r>
              <w:rPr>
                <w:sz w:val="20"/>
                <w:szCs w:val="20"/>
              </w:rPr>
              <w:t>-0.039</w:t>
            </w:r>
          </w:p>
        </w:tc>
        <w:tc>
          <w:tcPr>
            <w:tcW w:w="1485" w:type="dxa"/>
            <w:tcMar>
              <w:top w:w="-123" w:type="dxa"/>
              <w:left w:w="-123" w:type="dxa"/>
              <w:bottom w:w="-123" w:type="dxa"/>
              <w:right w:w="-123" w:type="dxa"/>
            </w:tcMar>
            <w:vAlign w:val="center"/>
          </w:tcPr>
          <w:p w14:paraId="1520B446" w14:textId="7C2D8069" w:rsidR="00D41B3E" w:rsidRDefault="00D41B3E" w:rsidP="00D41B3E">
            <w:pPr>
              <w:widowControl w:val="0"/>
              <w:spacing w:line="276" w:lineRule="auto"/>
              <w:rPr>
                <w:sz w:val="20"/>
                <w:szCs w:val="20"/>
              </w:rPr>
            </w:pPr>
            <w:r>
              <w:rPr>
                <w:sz w:val="20"/>
                <w:szCs w:val="20"/>
              </w:rPr>
              <w:t>-0.022</w:t>
            </w:r>
          </w:p>
        </w:tc>
      </w:tr>
      <w:tr w:rsidR="00D41B3E" w14:paraId="4167E795" w14:textId="77777777">
        <w:trPr>
          <w:trHeight w:val="246"/>
          <w:jc w:val="center"/>
        </w:trPr>
        <w:tc>
          <w:tcPr>
            <w:tcW w:w="2880" w:type="dxa"/>
            <w:shd w:val="clear" w:color="auto" w:fill="D9D9D9"/>
            <w:tcMar>
              <w:top w:w="-123" w:type="dxa"/>
              <w:left w:w="-123" w:type="dxa"/>
              <w:bottom w:w="-123" w:type="dxa"/>
              <w:right w:w="-123" w:type="dxa"/>
            </w:tcMar>
            <w:vAlign w:val="center"/>
          </w:tcPr>
          <w:p w14:paraId="6D726140" w14:textId="50C5A767" w:rsidR="00D41B3E" w:rsidRDefault="00D41B3E" w:rsidP="00D41B3E">
            <w:pPr>
              <w:widowControl w:val="0"/>
              <w:spacing w:line="276" w:lineRule="auto"/>
              <w:ind w:left="180"/>
              <w:rPr>
                <w:sz w:val="20"/>
                <w:szCs w:val="20"/>
              </w:rPr>
            </w:pPr>
            <w:r>
              <w:rPr>
                <w:color w:val="7B7B7B"/>
                <w:sz w:val="20"/>
                <w:szCs w:val="20"/>
              </w:rPr>
              <w:t>Food and Preparations</w:t>
            </w:r>
          </w:p>
        </w:tc>
        <w:tc>
          <w:tcPr>
            <w:tcW w:w="1575" w:type="dxa"/>
            <w:shd w:val="clear" w:color="auto" w:fill="D9D9D9"/>
            <w:tcMar>
              <w:top w:w="-123" w:type="dxa"/>
              <w:left w:w="-123" w:type="dxa"/>
              <w:bottom w:w="-123" w:type="dxa"/>
              <w:right w:w="-123" w:type="dxa"/>
            </w:tcMar>
            <w:vAlign w:val="center"/>
          </w:tcPr>
          <w:p w14:paraId="5809C025" w14:textId="1B62EEF9" w:rsidR="00D41B3E" w:rsidRDefault="00D41B3E" w:rsidP="00D41B3E">
            <w:pPr>
              <w:widowControl w:val="0"/>
              <w:spacing w:line="276" w:lineRule="auto"/>
              <w:rPr>
                <w:sz w:val="20"/>
                <w:szCs w:val="20"/>
              </w:rPr>
            </w:pPr>
            <w:r>
              <w:rPr>
                <w:color w:val="000000"/>
                <w:sz w:val="20"/>
                <w:szCs w:val="20"/>
              </w:rPr>
              <w:t>-0.036</w:t>
            </w:r>
          </w:p>
        </w:tc>
        <w:tc>
          <w:tcPr>
            <w:tcW w:w="1485" w:type="dxa"/>
            <w:shd w:val="clear" w:color="auto" w:fill="D9D9D9"/>
            <w:tcMar>
              <w:top w:w="-123" w:type="dxa"/>
              <w:left w:w="-123" w:type="dxa"/>
              <w:bottom w:w="-123" w:type="dxa"/>
              <w:right w:w="-123" w:type="dxa"/>
            </w:tcMar>
            <w:vAlign w:val="center"/>
          </w:tcPr>
          <w:p w14:paraId="091D3ADD" w14:textId="0849F3CE" w:rsidR="00D41B3E" w:rsidRDefault="00D41B3E" w:rsidP="00D41B3E">
            <w:pPr>
              <w:widowControl w:val="0"/>
              <w:spacing w:line="276" w:lineRule="auto"/>
              <w:rPr>
                <w:sz w:val="20"/>
                <w:szCs w:val="20"/>
              </w:rPr>
            </w:pPr>
            <w:r>
              <w:rPr>
                <w:color w:val="000000"/>
                <w:sz w:val="20"/>
                <w:szCs w:val="20"/>
              </w:rPr>
              <w:t>-0.093</w:t>
            </w:r>
          </w:p>
        </w:tc>
      </w:tr>
      <w:tr w:rsidR="00D41B3E" w14:paraId="46B39DB7" w14:textId="77777777">
        <w:trPr>
          <w:trHeight w:val="246"/>
          <w:jc w:val="center"/>
        </w:trPr>
        <w:tc>
          <w:tcPr>
            <w:tcW w:w="2880" w:type="dxa"/>
            <w:tcMar>
              <w:top w:w="-123" w:type="dxa"/>
              <w:left w:w="-123" w:type="dxa"/>
              <w:bottom w:w="-123" w:type="dxa"/>
              <w:right w:w="-123" w:type="dxa"/>
            </w:tcMar>
            <w:vAlign w:val="center"/>
          </w:tcPr>
          <w:p w14:paraId="4A2C1AEA" w14:textId="5B03CD3B" w:rsidR="00D41B3E" w:rsidRDefault="00D41B3E" w:rsidP="00D41B3E">
            <w:pPr>
              <w:widowControl w:val="0"/>
              <w:spacing w:line="276" w:lineRule="auto"/>
              <w:ind w:left="180"/>
              <w:rPr>
                <w:sz w:val="20"/>
                <w:szCs w:val="20"/>
              </w:rPr>
            </w:pPr>
            <w:r>
              <w:rPr>
                <w:color w:val="7B7B7B"/>
                <w:sz w:val="20"/>
                <w:szCs w:val="20"/>
              </w:rPr>
              <w:t>Clothing and Accessories</w:t>
            </w:r>
          </w:p>
        </w:tc>
        <w:tc>
          <w:tcPr>
            <w:tcW w:w="1575" w:type="dxa"/>
            <w:tcMar>
              <w:top w:w="-123" w:type="dxa"/>
              <w:left w:w="-123" w:type="dxa"/>
              <w:bottom w:w="-123" w:type="dxa"/>
              <w:right w:w="-123" w:type="dxa"/>
            </w:tcMar>
            <w:vAlign w:val="center"/>
          </w:tcPr>
          <w:p w14:paraId="19117068" w14:textId="63487D71" w:rsidR="00D41B3E" w:rsidRDefault="00D41B3E" w:rsidP="00D41B3E">
            <w:pPr>
              <w:widowControl w:val="0"/>
              <w:spacing w:line="276" w:lineRule="auto"/>
              <w:rPr>
                <w:sz w:val="20"/>
                <w:szCs w:val="20"/>
              </w:rPr>
            </w:pPr>
            <w:r>
              <w:rPr>
                <w:sz w:val="20"/>
                <w:szCs w:val="20"/>
              </w:rPr>
              <w:t>-0.035</w:t>
            </w:r>
          </w:p>
        </w:tc>
        <w:tc>
          <w:tcPr>
            <w:tcW w:w="1485" w:type="dxa"/>
            <w:tcMar>
              <w:top w:w="-123" w:type="dxa"/>
              <w:left w:w="-123" w:type="dxa"/>
              <w:bottom w:w="-123" w:type="dxa"/>
              <w:right w:w="-123" w:type="dxa"/>
            </w:tcMar>
            <w:vAlign w:val="center"/>
          </w:tcPr>
          <w:p w14:paraId="4D1200C0" w14:textId="1FAF5DCA" w:rsidR="00D41B3E" w:rsidRDefault="00D41B3E" w:rsidP="00D41B3E">
            <w:pPr>
              <w:widowControl w:val="0"/>
              <w:spacing w:line="276" w:lineRule="auto"/>
              <w:rPr>
                <w:sz w:val="20"/>
                <w:szCs w:val="20"/>
              </w:rPr>
            </w:pPr>
            <w:r>
              <w:rPr>
                <w:sz w:val="20"/>
                <w:szCs w:val="20"/>
              </w:rPr>
              <w:t>-0.104</w:t>
            </w:r>
          </w:p>
        </w:tc>
      </w:tr>
      <w:tr w:rsidR="00D41B3E" w14:paraId="5EDA51C0" w14:textId="77777777">
        <w:trPr>
          <w:trHeight w:val="246"/>
          <w:jc w:val="center"/>
        </w:trPr>
        <w:tc>
          <w:tcPr>
            <w:tcW w:w="2880" w:type="dxa"/>
            <w:shd w:val="clear" w:color="auto" w:fill="D9D9D9"/>
            <w:tcMar>
              <w:top w:w="-123" w:type="dxa"/>
              <w:left w:w="-123" w:type="dxa"/>
              <w:bottom w:w="-123" w:type="dxa"/>
              <w:right w:w="-123" w:type="dxa"/>
            </w:tcMar>
            <w:vAlign w:val="center"/>
          </w:tcPr>
          <w:p w14:paraId="73B658C2" w14:textId="19DB3997" w:rsidR="00D41B3E" w:rsidRDefault="00D41B3E" w:rsidP="00D41B3E">
            <w:pPr>
              <w:widowControl w:val="0"/>
              <w:spacing w:line="276" w:lineRule="auto"/>
              <w:ind w:left="180"/>
              <w:rPr>
                <w:sz w:val="20"/>
                <w:szCs w:val="20"/>
              </w:rPr>
            </w:pPr>
            <w:r>
              <w:rPr>
                <w:color w:val="7B7B7B"/>
                <w:sz w:val="20"/>
                <w:szCs w:val="20"/>
              </w:rPr>
              <w:t>Wood Products</w:t>
            </w:r>
          </w:p>
        </w:tc>
        <w:tc>
          <w:tcPr>
            <w:tcW w:w="1575" w:type="dxa"/>
            <w:shd w:val="clear" w:color="auto" w:fill="D9D9D9"/>
            <w:tcMar>
              <w:top w:w="-123" w:type="dxa"/>
              <w:left w:w="-123" w:type="dxa"/>
              <w:bottom w:w="-123" w:type="dxa"/>
              <w:right w:w="-123" w:type="dxa"/>
            </w:tcMar>
            <w:vAlign w:val="center"/>
          </w:tcPr>
          <w:p w14:paraId="3577FE2B" w14:textId="6616EB75" w:rsidR="00D41B3E" w:rsidRDefault="00D41B3E" w:rsidP="00D41B3E">
            <w:pPr>
              <w:widowControl w:val="0"/>
              <w:spacing w:line="276" w:lineRule="auto"/>
              <w:rPr>
                <w:sz w:val="20"/>
                <w:szCs w:val="20"/>
              </w:rPr>
            </w:pPr>
            <w:r>
              <w:rPr>
                <w:color w:val="000000"/>
                <w:sz w:val="20"/>
                <w:szCs w:val="20"/>
              </w:rPr>
              <w:t>-0.034</w:t>
            </w:r>
          </w:p>
        </w:tc>
        <w:tc>
          <w:tcPr>
            <w:tcW w:w="1485" w:type="dxa"/>
            <w:shd w:val="clear" w:color="auto" w:fill="D9D9D9"/>
            <w:tcMar>
              <w:top w:w="-123" w:type="dxa"/>
              <w:left w:w="-123" w:type="dxa"/>
              <w:bottom w:w="-123" w:type="dxa"/>
              <w:right w:w="-123" w:type="dxa"/>
            </w:tcMar>
            <w:vAlign w:val="center"/>
          </w:tcPr>
          <w:p w14:paraId="575E7C7B" w14:textId="6420F11E" w:rsidR="00D41B3E" w:rsidRDefault="00D41B3E" w:rsidP="00D41B3E">
            <w:pPr>
              <w:widowControl w:val="0"/>
              <w:spacing w:line="276" w:lineRule="auto"/>
              <w:rPr>
                <w:sz w:val="20"/>
                <w:szCs w:val="20"/>
              </w:rPr>
            </w:pPr>
            <w:r>
              <w:rPr>
                <w:color w:val="000000"/>
                <w:sz w:val="20"/>
                <w:szCs w:val="20"/>
              </w:rPr>
              <w:t>-0.060</w:t>
            </w:r>
          </w:p>
        </w:tc>
      </w:tr>
      <w:tr w:rsidR="00D41B3E" w14:paraId="57161971" w14:textId="77777777">
        <w:trPr>
          <w:trHeight w:val="246"/>
          <w:jc w:val="center"/>
        </w:trPr>
        <w:tc>
          <w:tcPr>
            <w:tcW w:w="2880" w:type="dxa"/>
            <w:tcMar>
              <w:top w:w="-123" w:type="dxa"/>
              <w:left w:w="-123" w:type="dxa"/>
              <w:bottom w:w="-123" w:type="dxa"/>
              <w:right w:w="-123" w:type="dxa"/>
            </w:tcMar>
            <w:vAlign w:val="center"/>
          </w:tcPr>
          <w:p w14:paraId="787F0F22" w14:textId="435309B1" w:rsidR="00D41B3E" w:rsidRDefault="00D41B3E" w:rsidP="00D41B3E">
            <w:pPr>
              <w:widowControl w:val="0"/>
              <w:spacing w:line="276" w:lineRule="auto"/>
              <w:ind w:left="180"/>
              <w:rPr>
                <w:sz w:val="20"/>
                <w:szCs w:val="20"/>
              </w:rPr>
            </w:pPr>
            <w:r>
              <w:rPr>
                <w:color w:val="7B7B7B"/>
                <w:sz w:val="20"/>
                <w:szCs w:val="20"/>
              </w:rPr>
              <w:t>Vegetables, Fruits and Plants</w:t>
            </w:r>
          </w:p>
        </w:tc>
        <w:tc>
          <w:tcPr>
            <w:tcW w:w="1575" w:type="dxa"/>
            <w:tcMar>
              <w:top w:w="-123" w:type="dxa"/>
              <w:left w:w="-123" w:type="dxa"/>
              <w:bottom w:w="-123" w:type="dxa"/>
              <w:right w:w="-123" w:type="dxa"/>
            </w:tcMar>
            <w:vAlign w:val="center"/>
          </w:tcPr>
          <w:p w14:paraId="3D748A21" w14:textId="334E928B" w:rsidR="00D41B3E" w:rsidRDefault="00D41B3E" w:rsidP="00D41B3E">
            <w:pPr>
              <w:widowControl w:val="0"/>
              <w:spacing w:line="276" w:lineRule="auto"/>
              <w:rPr>
                <w:sz w:val="20"/>
                <w:szCs w:val="20"/>
              </w:rPr>
            </w:pPr>
            <w:r>
              <w:rPr>
                <w:sz w:val="20"/>
                <w:szCs w:val="20"/>
              </w:rPr>
              <w:t>-0.029</w:t>
            </w:r>
          </w:p>
        </w:tc>
        <w:tc>
          <w:tcPr>
            <w:tcW w:w="1485" w:type="dxa"/>
            <w:tcMar>
              <w:top w:w="-123" w:type="dxa"/>
              <w:left w:w="-123" w:type="dxa"/>
              <w:bottom w:w="-123" w:type="dxa"/>
              <w:right w:w="-123" w:type="dxa"/>
            </w:tcMar>
            <w:vAlign w:val="center"/>
          </w:tcPr>
          <w:p w14:paraId="3AE3FAB7" w14:textId="2B06F68F" w:rsidR="00D41B3E" w:rsidRDefault="00D41B3E" w:rsidP="00D41B3E">
            <w:pPr>
              <w:widowControl w:val="0"/>
              <w:spacing w:line="276" w:lineRule="auto"/>
              <w:rPr>
                <w:sz w:val="20"/>
                <w:szCs w:val="20"/>
              </w:rPr>
            </w:pPr>
            <w:r>
              <w:rPr>
                <w:sz w:val="20"/>
                <w:szCs w:val="20"/>
              </w:rPr>
              <w:t>-0.059</w:t>
            </w:r>
          </w:p>
        </w:tc>
      </w:tr>
      <w:tr w:rsidR="00D41B3E" w14:paraId="63D3C62D" w14:textId="77777777">
        <w:trPr>
          <w:trHeight w:val="246"/>
          <w:jc w:val="center"/>
        </w:trPr>
        <w:tc>
          <w:tcPr>
            <w:tcW w:w="2880" w:type="dxa"/>
            <w:shd w:val="clear" w:color="auto" w:fill="D9D9D9"/>
            <w:tcMar>
              <w:top w:w="-123" w:type="dxa"/>
              <w:left w:w="-123" w:type="dxa"/>
              <w:bottom w:w="-123" w:type="dxa"/>
              <w:right w:w="-123" w:type="dxa"/>
            </w:tcMar>
            <w:vAlign w:val="center"/>
          </w:tcPr>
          <w:p w14:paraId="05DAF186" w14:textId="00D123FE" w:rsidR="00D41B3E" w:rsidRDefault="00D41B3E" w:rsidP="00D41B3E">
            <w:pPr>
              <w:widowControl w:val="0"/>
              <w:spacing w:line="276" w:lineRule="auto"/>
              <w:ind w:left="180"/>
              <w:rPr>
                <w:sz w:val="20"/>
                <w:szCs w:val="20"/>
              </w:rPr>
            </w:pPr>
            <w:r>
              <w:rPr>
                <w:color w:val="7B7B7B"/>
                <w:sz w:val="20"/>
                <w:szCs w:val="20"/>
              </w:rPr>
              <w:t>Services and Utilities</w:t>
            </w:r>
          </w:p>
        </w:tc>
        <w:tc>
          <w:tcPr>
            <w:tcW w:w="1575" w:type="dxa"/>
            <w:shd w:val="clear" w:color="auto" w:fill="D9D9D9"/>
            <w:tcMar>
              <w:top w:w="-123" w:type="dxa"/>
              <w:left w:w="-123" w:type="dxa"/>
              <w:bottom w:w="-123" w:type="dxa"/>
              <w:right w:w="-123" w:type="dxa"/>
            </w:tcMar>
            <w:vAlign w:val="center"/>
          </w:tcPr>
          <w:p w14:paraId="3B70639E" w14:textId="2EB19CC0" w:rsidR="00D41B3E" w:rsidRDefault="00D41B3E" w:rsidP="00D41B3E">
            <w:pPr>
              <w:widowControl w:val="0"/>
              <w:spacing w:line="276" w:lineRule="auto"/>
              <w:rPr>
                <w:sz w:val="20"/>
                <w:szCs w:val="20"/>
              </w:rPr>
            </w:pPr>
            <w:r>
              <w:rPr>
                <w:color w:val="000000"/>
                <w:sz w:val="20"/>
                <w:szCs w:val="20"/>
              </w:rPr>
              <w:t>-0.024</w:t>
            </w:r>
          </w:p>
        </w:tc>
        <w:tc>
          <w:tcPr>
            <w:tcW w:w="1485" w:type="dxa"/>
            <w:shd w:val="clear" w:color="auto" w:fill="D9D9D9"/>
            <w:tcMar>
              <w:top w:w="-123" w:type="dxa"/>
              <w:left w:w="-123" w:type="dxa"/>
              <w:bottom w:w="-123" w:type="dxa"/>
              <w:right w:w="-123" w:type="dxa"/>
            </w:tcMar>
            <w:vAlign w:val="center"/>
          </w:tcPr>
          <w:p w14:paraId="61AA783E" w14:textId="531D014E" w:rsidR="00D41B3E" w:rsidRDefault="00D41B3E" w:rsidP="00D41B3E">
            <w:pPr>
              <w:widowControl w:val="0"/>
              <w:spacing w:line="276" w:lineRule="auto"/>
              <w:rPr>
                <w:sz w:val="20"/>
                <w:szCs w:val="20"/>
              </w:rPr>
            </w:pPr>
            <w:r>
              <w:rPr>
                <w:color w:val="000000"/>
                <w:sz w:val="20"/>
                <w:szCs w:val="20"/>
              </w:rPr>
              <w:t>-0.215</w:t>
            </w:r>
          </w:p>
        </w:tc>
      </w:tr>
      <w:tr w:rsidR="00D41B3E" w14:paraId="2768B6F7" w14:textId="77777777">
        <w:trPr>
          <w:trHeight w:val="246"/>
          <w:jc w:val="center"/>
        </w:trPr>
        <w:tc>
          <w:tcPr>
            <w:tcW w:w="2880" w:type="dxa"/>
            <w:tcMar>
              <w:top w:w="-123" w:type="dxa"/>
              <w:left w:w="-123" w:type="dxa"/>
              <w:bottom w:w="-123" w:type="dxa"/>
              <w:right w:w="-123" w:type="dxa"/>
            </w:tcMar>
            <w:vAlign w:val="center"/>
          </w:tcPr>
          <w:p w14:paraId="4E669C84" w14:textId="028674D1" w:rsidR="00D41B3E" w:rsidRDefault="00D41B3E" w:rsidP="00D41B3E">
            <w:pPr>
              <w:widowControl w:val="0"/>
              <w:spacing w:line="276" w:lineRule="auto"/>
              <w:ind w:left="180"/>
              <w:rPr>
                <w:sz w:val="20"/>
                <w:szCs w:val="20"/>
              </w:rPr>
            </w:pPr>
            <w:r>
              <w:rPr>
                <w:color w:val="7B7B7B"/>
                <w:sz w:val="20"/>
                <w:szCs w:val="20"/>
              </w:rPr>
              <w:t>Metals</w:t>
            </w:r>
          </w:p>
        </w:tc>
        <w:tc>
          <w:tcPr>
            <w:tcW w:w="1575" w:type="dxa"/>
            <w:tcMar>
              <w:top w:w="-123" w:type="dxa"/>
              <w:left w:w="-123" w:type="dxa"/>
              <w:bottom w:w="-123" w:type="dxa"/>
              <w:right w:w="-123" w:type="dxa"/>
            </w:tcMar>
            <w:vAlign w:val="center"/>
          </w:tcPr>
          <w:p w14:paraId="518F4A92" w14:textId="4D15F137" w:rsidR="00D41B3E" w:rsidRDefault="00D41B3E" w:rsidP="00D41B3E">
            <w:pPr>
              <w:widowControl w:val="0"/>
              <w:spacing w:line="276" w:lineRule="auto"/>
              <w:rPr>
                <w:sz w:val="20"/>
                <w:szCs w:val="20"/>
              </w:rPr>
            </w:pPr>
            <w:r>
              <w:rPr>
                <w:sz w:val="20"/>
                <w:szCs w:val="20"/>
              </w:rPr>
              <w:t>-0.022</w:t>
            </w:r>
          </w:p>
        </w:tc>
        <w:tc>
          <w:tcPr>
            <w:tcW w:w="1485" w:type="dxa"/>
            <w:tcMar>
              <w:top w:w="-123" w:type="dxa"/>
              <w:left w:w="-123" w:type="dxa"/>
              <w:bottom w:w="-123" w:type="dxa"/>
              <w:right w:w="-123" w:type="dxa"/>
            </w:tcMar>
            <w:vAlign w:val="center"/>
          </w:tcPr>
          <w:p w14:paraId="012C9BFC" w14:textId="1A69E958" w:rsidR="00D41B3E" w:rsidRDefault="00D41B3E" w:rsidP="00D41B3E">
            <w:pPr>
              <w:widowControl w:val="0"/>
              <w:spacing w:line="276" w:lineRule="auto"/>
              <w:rPr>
                <w:sz w:val="20"/>
                <w:szCs w:val="20"/>
              </w:rPr>
            </w:pPr>
            <w:r>
              <w:rPr>
                <w:sz w:val="20"/>
                <w:szCs w:val="20"/>
              </w:rPr>
              <w:t>-0.134</w:t>
            </w:r>
          </w:p>
        </w:tc>
      </w:tr>
      <w:tr w:rsidR="00D41B3E" w14:paraId="333B3895" w14:textId="77777777">
        <w:trPr>
          <w:trHeight w:val="246"/>
          <w:jc w:val="center"/>
        </w:trPr>
        <w:tc>
          <w:tcPr>
            <w:tcW w:w="2880" w:type="dxa"/>
            <w:shd w:val="clear" w:color="auto" w:fill="D9D9D9"/>
            <w:tcMar>
              <w:top w:w="-123" w:type="dxa"/>
              <w:left w:w="-123" w:type="dxa"/>
              <w:bottom w:w="-123" w:type="dxa"/>
              <w:right w:w="-123" w:type="dxa"/>
            </w:tcMar>
            <w:vAlign w:val="center"/>
          </w:tcPr>
          <w:p w14:paraId="773FDFD8" w14:textId="12EDF1DD" w:rsidR="00D41B3E" w:rsidRDefault="00D41B3E" w:rsidP="00D41B3E">
            <w:pPr>
              <w:widowControl w:val="0"/>
              <w:spacing w:line="276" w:lineRule="auto"/>
              <w:ind w:left="180"/>
              <w:rPr>
                <w:sz w:val="20"/>
                <w:szCs w:val="20"/>
              </w:rPr>
            </w:pPr>
            <w:r>
              <w:rPr>
                <w:color w:val="7B7B7B"/>
                <w:sz w:val="20"/>
                <w:szCs w:val="20"/>
              </w:rPr>
              <w:t>Machinery and Construction</w:t>
            </w:r>
          </w:p>
        </w:tc>
        <w:tc>
          <w:tcPr>
            <w:tcW w:w="1575" w:type="dxa"/>
            <w:shd w:val="clear" w:color="auto" w:fill="D9D9D9"/>
            <w:tcMar>
              <w:top w:w="-123" w:type="dxa"/>
              <w:left w:w="-123" w:type="dxa"/>
              <w:bottom w:w="-123" w:type="dxa"/>
              <w:right w:w="-123" w:type="dxa"/>
            </w:tcMar>
            <w:vAlign w:val="center"/>
          </w:tcPr>
          <w:p w14:paraId="687B5D10" w14:textId="1CEAC3A8" w:rsidR="00D41B3E" w:rsidRDefault="00D41B3E" w:rsidP="00D41B3E">
            <w:pPr>
              <w:widowControl w:val="0"/>
              <w:spacing w:line="276" w:lineRule="auto"/>
              <w:rPr>
                <w:sz w:val="20"/>
                <w:szCs w:val="20"/>
              </w:rPr>
            </w:pPr>
            <w:r>
              <w:rPr>
                <w:color w:val="000000"/>
                <w:sz w:val="20"/>
                <w:szCs w:val="20"/>
              </w:rPr>
              <w:t>-0.009</w:t>
            </w:r>
          </w:p>
        </w:tc>
        <w:tc>
          <w:tcPr>
            <w:tcW w:w="1485" w:type="dxa"/>
            <w:shd w:val="clear" w:color="auto" w:fill="D9D9D9"/>
            <w:tcMar>
              <w:top w:w="-123" w:type="dxa"/>
              <w:left w:w="-123" w:type="dxa"/>
              <w:bottom w:w="-123" w:type="dxa"/>
              <w:right w:w="-123" w:type="dxa"/>
            </w:tcMar>
            <w:vAlign w:val="center"/>
          </w:tcPr>
          <w:p w14:paraId="5FAE0D25" w14:textId="19C60F67" w:rsidR="00D41B3E" w:rsidRDefault="00D41B3E" w:rsidP="00D41B3E">
            <w:pPr>
              <w:widowControl w:val="0"/>
              <w:spacing w:line="276" w:lineRule="auto"/>
              <w:rPr>
                <w:sz w:val="20"/>
                <w:szCs w:val="20"/>
              </w:rPr>
            </w:pPr>
            <w:r>
              <w:rPr>
                <w:color w:val="000000"/>
                <w:sz w:val="20"/>
                <w:szCs w:val="20"/>
              </w:rPr>
              <w:t>-0.164</w:t>
            </w:r>
          </w:p>
        </w:tc>
      </w:tr>
      <w:tr w:rsidR="00D41B3E" w14:paraId="004E6101" w14:textId="77777777">
        <w:trPr>
          <w:trHeight w:val="246"/>
          <w:jc w:val="center"/>
        </w:trPr>
        <w:tc>
          <w:tcPr>
            <w:tcW w:w="2880" w:type="dxa"/>
            <w:tcMar>
              <w:top w:w="-123" w:type="dxa"/>
              <w:left w:w="-123" w:type="dxa"/>
              <w:bottom w:w="-123" w:type="dxa"/>
              <w:right w:w="-123" w:type="dxa"/>
            </w:tcMar>
            <w:vAlign w:val="center"/>
          </w:tcPr>
          <w:p w14:paraId="01F67470" w14:textId="494A3561" w:rsidR="00D41B3E" w:rsidRDefault="00D41B3E" w:rsidP="00D41B3E">
            <w:pPr>
              <w:widowControl w:val="0"/>
              <w:spacing w:line="276" w:lineRule="auto"/>
              <w:ind w:left="180"/>
              <w:rPr>
                <w:sz w:val="20"/>
                <w:szCs w:val="20"/>
              </w:rPr>
            </w:pPr>
            <w:r>
              <w:rPr>
                <w:color w:val="7B7B7B"/>
                <w:sz w:val="20"/>
                <w:szCs w:val="20"/>
              </w:rPr>
              <w:t>High-complexity Products</w:t>
            </w:r>
          </w:p>
        </w:tc>
        <w:tc>
          <w:tcPr>
            <w:tcW w:w="1575" w:type="dxa"/>
            <w:tcMar>
              <w:top w:w="-123" w:type="dxa"/>
              <w:left w:w="-123" w:type="dxa"/>
              <w:bottom w:w="-123" w:type="dxa"/>
              <w:right w:w="-123" w:type="dxa"/>
            </w:tcMar>
            <w:vAlign w:val="center"/>
          </w:tcPr>
          <w:p w14:paraId="66DDAB07" w14:textId="63DA27C8" w:rsidR="00D41B3E" w:rsidRDefault="00D41B3E" w:rsidP="00D41B3E">
            <w:pPr>
              <w:widowControl w:val="0"/>
              <w:spacing w:line="276" w:lineRule="auto"/>
              <w:rPr>
                <w:sz w:val="20"/>
                <w:szCs w:val="20"/>
              </w:rPr>
            </w:pPr>
            <w:r>
              <w:rPr>
                <w:sz w:val="20"/>
                <w:szCs w:val="20"/>
              </w:rPr>
              <w:t>-0.003</w:t>
            </w:r>
          </w:p>
        </w:tc>
        <w:tc>
          <w:tcPr>
            <w:tcW w:w="1485" w:type="dxa"/>
            <w:tcMar>
              <w:top w:w="-123" w:type="dxa"/>
              <w:left w:w="-123" w:type="dxa"/>
              <w:bottom w:w="-123" w:type="dxa"/>
              <w:right w:w="-123" w:type="dxa"/>
            </w:tcMar>
            <w:vAlign w:val="center"/>
          </w:tcPr>
          <w:p w14:paraId="60F70A2E" w14:textId="64F32B87" w:rsidR="00D41B3E" w:rsidRDefault="00D41B3E" w:rsidP="00D41B3E">
            <w:pPr>
              <w:widowControl w:val="0"/>
              <w:spacing w:line="276" w:lineRule="auto"/>
              <w:rPr>
                <w:sz w:val="20"/>
                <w:szCs w:val="20"/>
              </w:rPr>
            </w:pPr>
            <w:r>
              <w:rPr>
                <w:sz w:val="20"/>
                <w:szCs w:val="20"/>
              </w:rPr>
              <w:t>-0.104</w:t>
            </w:r>
          </w:p>
        </w:tc>
      </w:tr>
      <w:tr w:rsidR="00D41B3E" w14:paraId="2336D032" w14:textId="77777777">
        <w:trPr>
          <w:trHeight w:val="246"/>
          <w:jc w:val="center"/>
        </w:trPr>
        <w:tc>
          <w:tcPr>
            <w:tcW w:w="2880" w:type="dxa"/>
            <w:shd w:val="clear" w:color="auto" w:fill="D9D9D9"/>
            <w:tcMar>
              <w:top w:w="-123" w:type="dxa"/>
              <w:left w:w="-123" w:type="dxa"/>
              <w:bottom w:w="-123" w:type="dxa"/>
              <w:right w:w="-123" w:type="dxa"/>
            </w:tcMar>
            <w:vAlign w:val="center"/>
          </w:tcPr>
          <w:p w14:paraId="59EC121E" w14:textId="4196CB94" w:rsidR="00D41B3E" w:rsidRDefault="00D41B3E" w:rsidP="00D41B3E">
            <w:pPr>
              <w:widowControl w:val="0"/>
              <w:spacing w:line="276" w:lineRule="auto"/>
              <w:ind w:left="180"/>
              <w:rPr>
                <w:sz w:val="20"/>
                <w:szCs w:val="20"/>
              </w:rPr>
            </w:pPr>
            <w:r>
              <w:rPr>
                <w:color w:val="7B7B7B"/>
                <w:sz w:val="20"/>
                <w:szCs w:val="20"/>
              </w:rPr>
              <w:t>Precious Stones</w:t>
            </w:r>
          </w:p>
        </w:tc>
        <w:tc>
          <w:tcPr>
            <w:tcW w:w="1575" w:type="dxa"/>
            <w:shd w:val="clear" w:color="auto" w:fill="D9D9D9"/>
            <w:tcMar>
              <w:top w:w="-123" w:type="dxa"/>
              <w:left w:w="-123" w:type="dxa"/>
              <w:bottom w:w="-123" w:type="dxa"/>
              <w:right w:w="-123" w:type="dxa"/>
            </w:tcMar>
            <w:vAlign w:val="center"/>
          </w:tcPr>
          <w:p w14:paraId="507FEFED" w14:textId="72CCF2BC" w:rsidR="00D41B3E" w:rsidRDefault="00D41B3E" w:rsidP="00D41B3E">
            <w:pPr>
              <w:widowControl w:val="0"/>
              <w:spacing w:line="276" w:lineRule="auto"/>
              <w:rPr>
                <w:sz w:val="20"/>
                <w:szCs w:val="20"/>
              </w:rPr>
            </w:pPr>
            <w:r>
              <w:rPr>
                <w:color w:val="000000"/>
                <w:sz w:val="20"/>
                <w:szCs w:val="20"/>
              </w:rPr>
              <w:t>-0.003</w:t>
            </w:r>
          </w:p>
        </w:tc>
        <w:tc>
          <w:tcPr>
            <w:tcW w:w="1485" w:type="dxa"/>
            <w:shd w:val="clear" w:color="auto" w:fill="D9D9D9"/>
            <w:tcMar>
              <w:top w:w="-123" w:type="dxa"/>
              <w:left w:w="-123" w:type="dxa"/>
              <w:bottom w:w="-123" w:type="dxa"/>
              <w:right w:w="-123" w:type="dxa"/>
            </w:tcMar>
            <w:vAlign w:val="center"/>
          </w:tcPr>
          <w:p w14:paraId="572435F5" w14:textId="1508C00F" w:rsidR="00D41B3E" w:rsidRDefault="00D41B3E" w:rsidP="00D41B3E">
            <w:pPr>
              <w:widowControl w:val="0"/>
              <w:spacing w:line="276" w:lineRule="auto"/>
              <w:rPr>
                <w:sz w:val="20"/>
                <w:szCs w:val="20"/>
              </w:rPr>
            </w:pPr>
            <w:r>
              <w:rPr>
                <w:color w:val="000000"/>
                <w:sz w:val="20"/>
                <w:szCs w:val="20"/>
              </w:rPr>
              <w:t>-0.069</w:t>
            </w:r>
          </w:p>
        </w:tc>
      </w:tr>
      <w:tr w:rsidR="00D41B3E" w14:paraId="43B105EC" w14:textId="77777777">
        <w:trPr>
          <w:trHeight w:val="246"/>
          <w:jc w:val="center"/>
        </w:trPr>
        <w:tc>
          <w:tcPr>
            <w:tcW w:w="2880" w:type="dxa"/>
            <w:tcBorders>
              <w:bottom w:val="nil"/>
            </w:tcBorders>
            <w:tcMar>
              <w:top w:w="-123" w:type="dxa"/>
              <w:left w:w="-123" w:type="dxa"/>
              <w:bottom w:w="-123" w:type="dxa"/>
              <w:right w:w="-123" w:type="dxa"/>
            </w:tcMar>
            <w:vAlign w:val="center"/>
          </w:tcPr>
          <w:p w14:paraId="08DDDFFD" w14:textId="6508B326" w:rsidR="00D41B3E" w:rsidRDefault="00D41B3E" w:rsidP="00D41B3E">
            <w:pPr>
              <w:widowControl w:val="0"/>
              <w:spacing w:line="276" w:lineRule="auto"/>
              <w:ind w:left="180"/>
              <w:rPr>
                <w:sz w:val="20"/>
                <w:szCs w:val="20"/>
              </w:rPr>
            </w:pPr>
            <w:r>
              <w:rPr>
                <w:color w:val="7B7B7B"/>
                <w:sz w:val="20"/>
                <w:szCs w:val="20"/>
              </w:rPr>
              <w:t>Energy Drilling and Mining</w:t>
            </w:r>
          </w:p>
        </w:tc>
        <w:tc>
          <w:tcPr>
            <w:tcW w:w="1575" w:type="dxa"/>
            <w:tcBorders>
              <w:bottom w:val="nil"/>
            </w:tcBorders>
            <w:tcMar>
              <w:top w:w="-123" w:type="dxa"/>
              <w:left w:w="-123" w:type="dxa"/>
              <w:bottom w:w="-123" w:type="dxa"/>
              <w:right w:w="-123" w:type="dxa"/>
            </w:tcMar>
            <w:vAlign w:val="center"/>
          </w:tcPr>
          <w:p w14:paraId="42E6ADE0" w14:textId="19CDB63D" w:rsidR="00D41B3E" w:rsidRDefault="00D41B3E" w:rsidP="00D41B3E">
            <w:pPr>
              <w:widowControl w:val="0"/>
              <w:spacing w:line="276" w:lineRule="auto"/>
              <w:rPr>
                <w:sz w:val="20"/>
                <w:szCs w:val="20"/>
              </w:rPr>
            </w:pPr>
            <w:r>
              <w:rPr>
                <w:sz w:val="20"/>
                <w:szCs w:val="20"/>
              </w:rPr>
              <w:t>0.009</w:t>
            </w:r>
          </w:p>
        </w:tc>
        <w:tc>
          <w:tcPr>
            <w:tcW w:w="1485" w:type="dxa"/>
            <w:tcBorders>
              <w:bottom w:val="nil"/>
            </w:tcBorders>
            <w:tcMar>
              <w:top w:w="-123" w:type="dxa"/>
              <w:left w:w="-123" w:type="dxa"/>
              <w:bottom w:w="-123" w:type="dxa"/>
              <w:right w:w="-123" w:type="dxa"/>
            </w:tcMar>
            <w:vAlign w:val="center"/>
          </w:tcPr>
          <w:p w14:paraId="26A9305C" w14:textId="03D4F830" w:rsidR="00D41B3E" w:rsidRDefault="00D41B3E" w:rsidP="00D41B3E">
            <w:pPr>
              <w:widowControl w:val="0"/>
              <w:spacing w:line="276" w:lineRule="auto"/>
              <w:rPr>
                <w:sz w:val="20"/>
                <w:szCs w:val="20"/>
              </w:rPr>
            </w:pPr>
            <w:r>
              <w:rPr>
                <w:sz w:val="20"/>
                <w:szCs w:val="20"/>
              </w:rPr>
              <w:t>-0.045</w:t>
            </w:r>
          </w:p>
        </w:tc>
      </w:tr>
    </w:tbl>
    <w:p w14:paraId="793D1A07" w14:textId="0C0195BE" w:rsidR="00BD7F19" w:rsidRDefault="00000000">
      <w:pPr>
        <w:jc w:val="center"/>
        <w:rPr>
          <w:b/>
        </w:rPr>
      </w:pPr>
      <w:r>
        <w:rPr>
          <w:sz w:val="22"/>
          <w:szCs w:val="22"/>
        </w:rPr>
        <w:t xml:space="preserve">Table 3. Realized Industry Development (RID) of </w:t>
      </w:r>
      <w:r w:rsidR="00063A8D">
        <w:rPr>
          <w:sz w:val="22"/>
          <w:szCs w:val="22"/>
        </w:rPr>
        <w:t>Colombia</w:t>
      </w:r>
    </w:p>
    <w:p w14:paraId="769428AA" w14:textId="77777777" w:rsidR="00D41B3E" w:rsidRDefault="00D41B3E">
      <w:pPr>
        <w:rPr>
          <w:b/>
        </w:rPr>
      </w:pPr>
      <w:r>
        <w:rPr>
          <w:b/>
        </w:rPr>
        <w:br w:type="page"/>
      </w:r>
    </w:p>
    <w:p w14:paraId="381C82F1" w14:textId="2AF79176" w:rsidR="00BD7F19" w:rsidRDefault="00000000">
      <w:pPr>
        <w:jc w:val="both"/>
        <w:rPr>
          <w:b/>
        </w:rPr>
      </w:pPr>
      <w:r>
        <w:rPr>
          <w:b/>
        </w:rPr>
        <w:lastRenderedPageBreak/>
        <w:t>3.3 Regional and Global Comparison</w:t>
      </w:r>
    </w:p>
    <w:p w14:paraId="38D82FE4" w14:textId="5E3C4E60" w:rsidR="00BD7F19" w:rsidRDefault="00000000">
      <w:pPr>
        <w:jc w:val="both"/>
      </w:pPr>
      <w:r>
        <w:t xml:space="preserve">Tables 4a-4b below </w:t>
      </w:r>
      <w:r w:rsidR="00F31085">
        <w:t xml:space="preserve">summarize how the production strategy adopted by Colombia compares with leading economies in the world, as measured in RID. It can be directly observed that Colombia focused on products with a lower complexity level when compared </w:t>
      </w:r>
      <w:r w:rsidR="00F31085">
        <w:t>to</w:t>
      </w:r>
      <w:r w:rsidR="00F31085">
        <w:t xml:space="preserve"> leading economies such as the United States and Germany, which gave a considerable level of attention to more advanced product groups such as </w:t>
      </w:r>
      <w:r w:rsidR="00F31085">
        <w:t>High-Complexity Products and various types of manufacturing and infrastructure in 2018</w:t>
      </w:r>
      <w:r w:rsidR="00E30742">
        <w:t xml:space="preserve"> </w:t>
      </w:r>
      <w:r>
        <w:t xml:space="preserve">Leading economies such as </w:t>
      </w:r>
      <w:r w:rsidR="00E30742">
        <w:t xml:space="preserve">the US, the UK, France, and Germany maintained their focus on the same industries in 2021 as well. </w:t>
      </w:r>
    </w:p>
    <w:p w14:paraId="58B21D96" w14:textId="77777777" w:rsidR="00BD7F19" w:rsidRDefault="00BD7F19">
      <w:pPr>
        <w:jc w:val="both"/>
      </w:pPr>
    </w:p>
    <w:tbl>
      <w:tblPr>
        <w:tblStyle w:val="a3"/>
        <w:tblW w:w="8967" w:type="dxa"/>
        <w:jc w:val="center"/>
        <w:tblLayout w:type="fixed"/>
        <w:tblLook w:val="04A0" w:firstRow="1" w:lastRow="0" w:firstColumn="1" w:lastColumn="0" w:noHBand="0" w:noVBand="1"/>
      </w:tblPr>
      <w:tblGrid>
        <w:gridCol w:w="1122"/>
        <w:gridCol w:w="2842"/>
        <w:gridCol w:w="2552"/>
        <w:gridCol w:w="2451"/>
      </w:tblGrid>
      <w:tr w:rsidR="00F31085" w14:paraId="1C68F7CC" w14:textId="77777777" w:rsidTr="001F6D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4425E294" w14:textId="7746FE54" w:rsidR="00F31085" w:rsidRDefault="00F31085" w:rsidP="00F31085">
            <w:pPr>
              <w:jc w:val="both"/>
            </w:pPr>
            <w:r>
              <w:t>Ranking</w:t>
            </w:r>
          </w:p>
        </w:tc>
        <w:tc>
          <w:tcPr>
            <w:tcW w:w="2842" w:type="dxa"/>
          </w:tcPr>
          <w:p w14:paraId="7C720E7F" w14:textId="50DBDD86" w:rsidR="00F31085" w:rsidRDefault="00F31085" w:rsidP="00F31085">
            <w:pPr>
              <w:jc w:val="both"/>
              <w:cnfStyle w:val="100000000000" w:firstRow="1" w:lastRow="0" w:firstColumn="0" w:lastColumn="0" w:oddVBand="0" w:evenVBand="0" w:oddHBand="0" w:evenHBand="0" w:firstRowFirstColumn="0" w:firstRowLastColumn="0" w:lastRowFirstColumn="0" w:lastRowLastColumn="0"/>
            </w:pPr>
            <w:r>
              <w:t>France</w:t>
            </w:r>
          </w:p>
        </w:tc>
        <w:tc>
          <w:tcPr>
            <w:tcW w:w="2552" w:type="dxa"/>
          </w:tcPr>
          <w:p w14:paraId="3EA309F5" w14:textId="0AB640AF" w:rsidR="00F31085" w:rsidRDefault="00F31085" w:rsidP="00F31085">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451" w:type="dxa"/>
          </w:tcPr>
          <w:p w14:paraId="0FC1E488" w14:textId="74157046" w:rsidR="00F31085" w:rsidRDefault="00F31085" w:rsidP="00F31085">
            <w:pPr>
              <w:jc w:val="both"/>
              <w:cnfStyle w:val="100000000000" w:firstRow="1" w:lastRow="0" w:firstColumn="0" w:lastColumn="0" w:oddVBand="0" w:evenVBand="0" w:oddHBand="0" w:evenHBand="0" w:firstRowFirstColumn="0" w:firstRowLastColumn="0" w:lastRowFirstColumn="0" w:lastRowLastColumn="0"/>
            </w:pPr>
            <w:r>
              <w:t>Germany</w:t>
            </w:r>
          </w:p>
        </w:tc>
      </w:tr>
      <w:tr w:rsidR="00F31085" w14:paraId="2C0E00FD" w14:textId="77777777" w:rsidTr="001F6D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01F6FE0B" w14:textId="75DD8752" w:rsidR="00F31085" w:rsidRDefault="00F31085" w:rsidP="00F31085">
            <w:pPr>
              <w:jc w:val="both"/>
              <w:rPr>
                <w:sz w:val="20"/>
                <w:szCs w:val="20"/>
              </w:rPr>
            </w:pPr>
            <w:r>
              <w:rPr>
                <w:b w:val="0"/>
                <w:sz w:val="20"/>
                <w:szCs w:val="20"/>
              </w:rPr>
              <w:t>1</w:t>
            </w:r>
          </w:p>
        </w:tc>
        <w:tc>
          <w:tcPr>
            <w:tcW w:w="2842" w:type="dxa"/>
            <w:vAlign w:val="bottom"/>
          </w:tcPr>
          <w:p w14:paraId="7B7C908F" w14:textId="0614578A"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74C2B05D" w14:textId="1EA9D52A"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451" w:type="dxa"/>
            <w:vAlign w:val="bottom"/>
          </w:tcPr>
          <w:p w14:paraId="6BF4DEA3" w14:textId="2570490C"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F31085" w14:paraId="4EBFEF65" w14:textId="77777777" w:rsidTr="001F6D90">
        <w:trPr>
          <w:jc w:val="center"/>
        </w:trPr>
        <w:tc>
          <w:tcPr>
            <w:cnfStyle w:val="001000000000" w:firstRow="0" w:lastRow="0" w:firstColumn="1" w:lastColumn="0" w:oddVBand="0" w:evenVBand="0" w:oddHBand="0" w:evenHBand="0" w:firstRowFirstColumn="0" w:firstRowLastColumn="0" w:lastRowFirstColumn="0" w:lastRowLastColumn="0"/>
            <w:tcW w:w="1122" w:type="dxa"/>
          </w:tcPr>
          <w:p w14:paraId="3048A16F" w14:textId="5905CFA7" w:rsidR="00F31085" w:rsidRDefault="00F31085" w:rsidP="00F31085">
            <w:pPr>
              <w:jc w:val="both"/>
              <w:rPr>
                <w:sz w:val="20"/>
                <w:szCs w:val="20"/>
              </w:rPr>
            </w:pPr>
            <w:r>
              <w:rPr>
                <w:b w:val="0"/>
                <w:sz w:val="20"/>
                <w:szCs w:val="20"/>
              </w:rPr>
              <w:t>2</w:t>
            </w:r>
          </w:p>
        </w:tc>
        <w:tc>
          <w:tcPr>
            <w:tcW w:w="2842" w:type="dxa"/>
            <w:vAlign w:val="bottom"/>
          </w:tcPr>
          <w:p w14:paraId="6D65E9A7" w14:textId="3AA44FF2"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Chemical Manufacturing</w:t>
            </w:r>
          </w:p>
        </w:tc>
        <w:tc>
          <w:tcPr>
            <w:tcW w:w="2552" w:type="dxa"/>
            <w:vAlign w:val="bottom"/>
          </w:tcPr>
          <w:p w14:paraId="79C18CB2" w14:textId="115C4583"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451" w:type="dxa"/>
            <w:vAlign w:val="bottom"/>
          </w:tcPr>
          <w:p w14:paraId="113F9190" w14:textId="7E762458"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Transportation</w:t>
            </w:r>
          </w:p>
        </w:tc>
      </w:tr>
      <w:tr w:rsidR="00F31085" w14:paraId="0B5F1AC1" w14:textId="77777777" w:rsidTr="001F6D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344FC45E" w14:textId="34A8ADC5" w:rsidR="00F31085" w:rsidRDefault="00F31085" w:rsidP="00F31085">
            <w:pPr>
              <w:jc w:val="both"/>
              <w:rPr>
                <w:sz w:val="20"/>
                <w:szCs w:val="20"/>
              </w:rPr>
            </w:pPr>
            <w:r>
              <w:rPr>
                <w:b w:val="0"/>
                <w:sz w:val="20"/>
                <w:szCs w:val="20"/>
              </w:rPr>
              <w:t>3</w:t>
            </w:r>
          </w:p>
        </w:tc>
        <w:tc>
          <w:tcPr>
            <w:tcW w:w="2842" w:type="dxa"/>
            <w:vAlign w:val="bottom"/>
          </w:tcPr>
          <w:p w14:paraId="732D1958" w14:textId="33D58135"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52" w:type="dxa"/>
            <w:vAlign w:val="bottom"/>
          </w:tcPr>
          <w:p w14:paraId="243244F3" w14:textId="19C4D0B6"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Manufacturing</w:t>
            </w:r>
          </w:p>
        </w:tc>
        <w:tc>
          <w:tcPr>
            <w:tcW w:w="2451" w:type="dxa"/>
            <w:vAlign w:val="bottom"/>
          </w:tcPr>
          <w:p w14:paraId="378BDB0C" w14:textId="241D56B5"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F31085" w14:paraId="16396740" w14:textId="77777777" w:rsidTr="001F6D90">
        <w:trPr>
          <w:jc w:val="center"/>
        </w:trPr>
        <w:tc>
          <w:tcPr>
            <w:cnfStyle w:val="001000000000" w:firstRow="0" w:lastRow="0" w:firstColumn="1" w:lastColumn="0" w:oddVBand="0" w:evenVBand="0" w:oddHBand="0" w:evenHBand="0" w:firstRowFirstColumn="0" w:firstRowLastColumn="0" w:lastRowFirstColumn="0" w:lastRowLastColumn="0"/>
            <w:tcW w:w="1122" w:type="dxa"/>
          </w:tcPr>
          <w:p w14:paraId="5A9204DA" w14:textId="11EC9903" w:rsidR="00F31085" w:rsidRDefault="00F31085" w:rsidP="00F31085">
            <w:pPr>
              <w:jc w:val="both"/>
              <w:rPr>
                <w:sz w:val="20"/>
                <w:szCs w:val="20"/>
              </w:rPr>
            </w:pPr>
            <w:r>
              <w:rPr>
                <w:b w:val="0"/>
                <w:sz w:val="20"/>
                <w:szCs w:val="20"/>
              </w:rPr>
              <w:t>4</w:t>
            </w:r>
          </w:p>
        </w:tc>
        <w:tc>
          <w:tcPr>
            <w:tcW w:w="2842" w:type="dxa"/>
            <w:vAlign w:val="bottom"/>
          </w:tcPr>
          <w:p w14:paraId="2ED0F584" w14:textId="483B2760"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552" w:type="dxa"/>
            <w:vAlign w:val="bottom"/>
          </w:tcPr>
          <w:p w14:paraId="21678606" w14:textId="7A120A92"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Precious Stones</w:t>
            </w:r>
          </w:p>
        </w:tc>
        <w:tc>
          <w:tcPr>
            <w:tcW w:w="2451" w:type="dxa"/>
            <w:vAlign w:val="bottom"/>
          </w:tcPr>
          <w:p w14:paraId="1B8D4915" w14:textId="44ADC818" w:rsidR="00F31085" w:rsidRDefault="00F31085" w:rsidP="00F31085">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Metals</w:t>
            </w:r>
          </w:p>
        </w:tc>
      </w:tr>
      <w:tr w:rsidR="00F31085" w14:paraId="63AF8A67" w14:textId="77777777" w:rsidTr="001F6D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333AB3B4" w14:textId="522A513B" w:rsidR="00F31085" w:rsidRDefault="00F31085" w:rsidP="00F31085">
            <w:pPr>
              <w:jc w:val="both"/>
              <w:rPr>
                <w:sz w:val="20"/>
                <w:szCs w:val="20"/>
              </w:rPr>
            </w:pPr>
            <w:r>
              <w:rPr>
                <w:b w:val="0"/>
                <w:sz w:val="20"/>
                <w:szCs w:val="20"/>
              </w:rPr>
              <w:t>5</w:t>
            </w:r>
          </w:p>
        </w:tc>
        <w:tc>
          <w:tcPr>
            <w:tcW w:w="2842" w:type="dxa"/>
            <w:vAlign w:val="bottom"/>
          </w:tcPr>
          <w:p w14:paraId="6E0CD5BB" w14:textId="5E196900"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2" w:type="dxa"/>
            <w:vAlign w:val="bottom"/>
          </w:tcPr>
          <w:p w14:paraId="7D7062DD" w14:textId="5494581C"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451" w:type="dxa"/>
            <w:vAlign w:val="bottom"/>
          </w:tcPr>
          <w:p w14:paraId="5B8DA2E8" w14:textId="0F5D82E9" w:rsidR="00F31085" w:rsidRDefault="00F31085" w:rsidP="00F31085">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605D6F60" w14:textId="77777777" w:rsidR="00BD7F19" w:rsidRDefault="00000000">
      <w:pPr>
        <w:jc w:val="center"/>
        <w:rPr>
          <w:sz w:val="22"/>
          <w:szCs w:val="22"/>
        </w:rPr>
      </w:pPr>
      <w:r>
        <w:rPr>
          <w:sz w:val="22"/>
          <w:szCs w:val="22"/>
        </w:rPr>
        <w:t>Table 4a. RID Comparison across Leading Economies (2018)</w:t>
      </w:r>
    </w:p>
    <w:p w14:paraId="4CE3EE6A" w14:textId="0002E6F1" w:rsidR="00BD7F19" w:rsidRDefault="00BD7F19" w:rsidP="00062985">
      <w:pPr>
        <w:rPr>
          <w:sz w:val="22"/>
          <w:szCs w:val="22"/>
        </w:rPr>
      </w:pPr>
    </w:p>
    <w:tbl>
      <w:tblPr>
        <w:tblStyle w:val="a4"/>
        <w:tblW w:w="8967" w:type="dxa"/>
        <w:jc w:val="center"/>
        <w:tblLayout w:type="fixed"/>
        <w:tblLook w:val="04A0" w:firstRow="1" w:lastRow="0" w:firstColumn="1" w:lastColumn="0" w:noHBand="0" w:noVBand="1"/>
      </w:tblPr>
      <w:tblGrid>
        <w:gridCol w:w="1122"/>
        <w:gridCol w:w="2842"/>
        <w:gridCol w:w="2552"/>
        <w:gridCol w:w="2451"/>
      </w:tblGrid>
      <w:tr w:rsidR="00062985" w14:paraId="67545DF2" w14:textId="77777777" w:rsidTr="00E60E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0A4B5967" w14:textId="77777777" w:rsidR="00062985" w:rsidRDefault="00062985" w:rsidP="00E60E8F">
            <w:pPr>
              <w:jc w:val="both"/>
            </w:pPr>
            <w:r>
              <w:t>Ranking</w:t>
            </w:r>
          </w:p>
        </w:tc>
        <w:tc>
          <w:tcPr>
            <w:tcW w:w="2842" w:type="dxa"/>
          </w:tcPr>
          <w:p w14:paraId="07B184C9"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France</w:t>
            </w:r>
          </w:p>
        </w:tc>
        <w:tc>
          <w:tcPr>
            <w:tcW w:w="2552" w:type="dxa"/>
          </w:tcPr>
          <w:p w14:paraId="403FC79F"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the UK</w:t>
            </w:r>
          </w:p>
        </w:tc>
        <w:tc>
          <w:tcPr>
            <w:tcW w:w="2451" w:type="dxa"/>
          </w:tcPr>
          <w:p w14:paraId="69D9E5DE"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Germany</w:t>
            </w:r>
          </w:p>
        </w:tc>
      </w:tr>
      <w:tr w:rsidR="00062985" w14:paraId="49D7C8AC"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2AA50720" w14:textId="77777777" w:rsidR="00062985" w:rsidRDefault="00062985" w:rsidP="00E60E8F">
            <w:pPr>
              <w:jc w:val="both"/>
              <w:rPr>
                <w:sz w:val="20"/>
                <w:szCs w:val="20"/>
              </w:rPr>
            </w:pPr>
            <w:r>
              <w:rPr>
                <w:b w:val="0"/>
                <w:sz w:val="20"/>
                <w:szCs w:val="20"/>
              </w:rPr>
              <w:t>1</w:t>
            </w:r>
          </w:p>
        </w:tc>
        <w:tc>
          <w:tcPr>
            <w:tcW w:w="2842" w:type="dxa"/>
            <w:tcMar>
              <w:top w:w="14" w:type="dxa"/>
              <w:left w:w="14" w:type="dxa"/>
              <w:bottom w:w="14" w:type="dxa"/>
              <w:right w:w="14" w:type="dxa"/>
            </w:tcMar>
            <w:vAlign w:val="bottom"/>
          </w:tcPr>
          <w:p w14:paraId="180F13EB"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2" w:type="dxa"/>
            <w:tcMar>
              <w:top w:w="14" w:type="dxa"/>
              <w:left w:w="14" w:type="dxa"/>
              <w:bottom w:w="14" w:type="dxa"/>
              <w:right w:w="14" w:type="dxa"/>
            </w:tcMar>
            <w:vAlign w:val="bottom"/>
          </w:tcPr>
          <w:p w14:paraId="157BE82E" w14:textId="77777777" w:rsidR="00062985" w:rsidRDefault="00062985" w:rsidP="00E60E8F">
            <w:pPr>
              <w:ind w:firstLine="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451" w:type="dxa"/>
            <w:tcMar>
              <w:top w:w="14" w:type="dxa"/>
              <w:left w:w="14" w:type="dxa"/>
              <w:bottom w:w="14" w:type="dxa"/>
              <w:right w:w="14" w:type="dxa"/>
            </w:tcMar>
            <w:vAlign w:val="bottom"/>
          </w:tcPr>
          <w:p w14:paraId="4D86DCF7"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062985" w14:paraId="4EE0102E" w14:textId="77777777" w:rsidTr="00E60E8F">
        <w:trPr>
          <w:jc w:val="center"/>
        </w:trPr>
        <w:tc>
          <w:tcPr>
            <w:cnfStyle w:val="001000000000" w:firstRow="0" w:lastRow="0" w:firstColumn="1" w:lastColumn="0" w:oddVBand="0" w:evenVBand="0" w:oddHBand="0" w:evenHBand="0" w:firstRowFirstColumn="0" w:firstRowLastColumn="0" w:lastRowFirstColumn="0" w:lastRowLastColumn="0"/>
            <w:tcW w:w="1122" w:type="dxa"/>
            <w:shd w:val="clear" w:color="auto" w:fill="FFFFFF"/>
          </w:tcPr>
          <w:p w14:paraId="763A3943" w14:textId="77777777" w:rsidR="00062985" w:rsidRDefault="00062985" w:rsidP="00E60E8F">
            <w:pPr>
              <w:jc w:val="both"/>
              <w:rPr>
                <w:sz w:val="20"/>
                <w:szCs w:val="20"/>
              </w:rPr>
            </w:pPr>
            <w:r>
              <w:rPr>
                <w:b w:val="0"/>
                <w:sz w:val="20"/>
                <w:szCs w:val="20"/>
              </w:rPr>
              <w:t>2</w:t>
            </w:r>
          </w:p>
        </w:tc>
        <w:tc>
          <w:tcPr>
            <w:tcW w:w="2842" w:type="dxa"/>
            <w:shd w:val="clear" w:color="auto" w:fill="FFFFFF"/>
            <w:tcMar>
              <w:top w:w="14" w:type="dxa"/>
              <w:left w:w="14" w:type="dxa"/>
              <w:bottom w:w="14" w:type="dxa"/>
              <w:right w:w="14" w:type="dxa"/>
            </w:tcMar>
            <w:vAlign w:val="bottom"/>
          </w:tcPr>
          <w:p w14:paraId="32B3A3D2" w14:textId="77777777" w:rsidR="00062985" w:rsidRDefault="00062985" w:rsidP="00E60E8F">
            <w:pPr>
              <w:ind w:left="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Precious Stones</w:t>
            </w:r>
          </w:p>
        </w:tc>
        <w:tc>
          <w:tcPr>
            <w:tcW w:w="2552" w:type="dxa"/>
            <w:shd w:val="clear" w:color="auto" w:fill="FFFFFF"/>
            <w:tcMar>
              <w:top w:w="14" w:type="dxa"/>
              <w:left w:w="14" w:type="dxa"/>
              <w:bottom w:w="14" w:type="dxa"/>
              <w:right w:w="14" w:type="dxa"/>
            </w:tcMar>
            <w:vAlign w:val="bottom"/>
          </w:tcPr>
          <w:p w14:paraId="30A07918" w14:textId="77777777" w:rsidR="00062985" w:rsidRDefault="00062985" w:rsidP="00E60E8F">
            <w:pPr>
              <w:ind w:firstLine="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451" w:type="dxa"/>
            <w:shd w:val="clear" w:color="auto" w:fill="FFFFFF"/>
            <w:tcMar>
              <w:top w:w="14" w:type="dxa"/>
              <w:left w:w="14" w:type="dxa"/>
              <w:bottom w:w="14" w:type="dxa"/>
              <w:right w:w="14" w:type="dxa"/>
            </w:tcMar>
            <w:vAlign w:val="bottom"/>
          </w:tcPr>
          <w:p w14:paraId="17526457" w14:textId="77777777" w:rsidR="00062985" w:rsidRDefault="00062985" w:rsidP="00E60E8F">
            <w:pPr>
              <w:ind w:left="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Transportation</w:t>
            </w:r>
          </w:p>
        </w:tc>
      </w:tr>
      <w:tr w:rsidR="00062985" w14:paraId="7BD20E91"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04D9A5DB" w14:textId="77777777" w:rsidR="00062985" w:rsidRDefault="00062985" w:rsidP="00E60E8F">
            <w:pPr>
              <w:jc w:val="both"/>
              <w:rPr>
                <w:sz w:val="20"/>
                <w:szCs w:val="20"/>
              </w:rPr>
            </w:pPr>
            <w:r>
              <w:rPr>
                <w:b w:val="0"/>
                <w:sz w:val="20"/>
                <w:szCs w:val="20"/>
              </w:rPr>
              <w:t>3</w:t>
            </w:r>
          </w:p>
        </w:tc>
        <w:tc>
          <w:tcPr>
            <w:tcW w:w="2842" w:type="dxa"/>
            <w:tcMar>
              <w:top w:w="14" w:type="dxa"/>
              <w:left w:w="14" w:type="dxa"/>
              <w:bottom w:w="14" w:type="dxa"/>
              <w:right w:w="14" w:type="dxa"/>
            </w:tcMar>
            <w:vAlign w:val="bottom"/>
          </w:tcPr>
          <w:p w14:paraId="2CBC80AD"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tcMar>
              <w:top w:w="14" w:type="dxa"/>
              <w:left w:w="14" w:type="dxa"/>
              <w:bottom w:w="14" w:type="dxa"/>
              <w:right w:w="14" w:type="dxa"/>
            </w:tcMar>
            <w:vAlign w:val="bottom"/>
          </w:tcPr>
          <w:p w14:paraId="56A13693" w14:textId="77777777" w:rsidR="00062985" w:rsidRDefault="00062985" w:rsidP="00E60E8F">
            <w:pPr>
              <w:ind w:firstLine="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451" w:type="dxa"/>
            <w:tcMar>
              <w:top w:w="14" w:type="dxa"/>
              <w:left w:w="14" w:type="dxa"/>
              <w:bottom w:w="14" w:type="dxa"/>
              <w:right w:w="14" w:type="dxa"/>
            </w:tcMar>
            <w:vAlign w:val="bottom"/>
          </w:tcPr>
          <w:p w14:paraId="01B79B6B"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Chemicals</w:t>
            </w:r>
          </w:p>
        </w:tc>
      </w:tr>
      <w:tr w:rsidR="00062985" w14:paraId="2C553DB4" w14:textId="77777777" w:rsidTr="00E60E8F">
        <w:trPr>
          <w:jc w:val="center"/>
        </w:trPr>
        <w:tc>
          <w:tcPr>
            <w:cnfStyle w:val="001000000000" w:firstRow="0" w:lastRow="0" w:firstColumn="1" w:lastColumn="0" w:oddVBand="0" w:evenVBand="0" w:oddHBand="0" w:evenHBand="0" w:firstRowFirstColumn="0" w:firstRowLastColumn="0" w:lastRowFirstColumn="0" w:lastRowLastColumn="0"/>
            <w:tcW w:w="1122" w:type="dxa"/>
          </w:tcPr>
          <w:p w14:paraId="4485C172" w14:textId="77777777" w:rsidR="00062985" w:rsidRDefault="00062985" w:rsidP="00E60E8F">
            <w:pPr>
              <w:jc w:val="both"/>
              <w:rPr>
                <w:sz w:val="20"/>
                <w:szCs w:val="20"/>
              </w:rPr>
            </w:pPr>
            <w:r>
              <w:rPr>
                <w:b w:val="0"/>
                <w:sz w:val="20"/>
                <w:szCs w:val="20"/>
              </w:rPr>
              <w:t>4</w:t>
            </w:r>
          </w:p>
        </w:tc>
        <w:tc>
          <w:tcPr>
            <w:tcW w:w="2842" w:type="dxa"/>
            <w:tcMar>
              <w:top w:w="14" w:type="dxa"/>
              <w:left w:w="14" w:type="dxa"/>
              <w:bottom w:w="14" w:type="dxa"/>
              <w:right w:w="14" w:type="dxa"/>
            </w:tcMar>
            <w:vAlign w:val="bottom"/>
          </w:tcPr>
          <w:p w14:paraId="5A5B0B0E" w14:textId="77777777" w:rsidR="00062985" w:rsidRDefault="00062985" w:rsidP="00E60E8F">
            <w:pPr>
              <w:ind w:left="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552" w:type="dxa"/>
            <w:tcMar>
              <w:top w:w="14" w:type="dxa"/>
              <w:left w:w="14" w:type="dxa"/>
              <w:bottom w:w="14" w:type="dxa"/>
              <w:right w:w="14" w:type="dxa"/>
            </w:tcMar>
            <w:vAlign w:val="bottom"/>
          </w:tcPr>
          <w:p w14:paraId="71C3ED5A" w14:textId="77777777" w:rsidR="00062985" w:rsidRDefault="00062985" w:rsidP="00E60E8F">
            <w:pPr>
              <w:ind w:firstLine="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451" w:type="dxa"/>
            <w:tcMar>
              <w:top w:w="14" w:type="dxa"/>
              <w:left w:w="14" w:type="dxa"/>
              <w:bottom w:w="14" w:type="dxa"/>
              <w:right w:w="14" w:type="dxa"/>
            </w:tcMar>
            <w:vAlign w:val="bottom"/>
          </w:tcPr>
          <w:p w14:paraId="04758AAA" w14:textId="77777777" w:rsidR="00062985" w:rsidRDefault="00062985" w:rsidP="00E60E8F">
            <w:pPr>
              <w:ind w:left="90"/>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Chemical Manufacturing</w:t>
            </w:r>
          </w:p>
        </w:tc>
      </w:tr>
      <w:tr w:rsidR="00062985" w14:paraId="77D53784"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Pr>
          <w:p w14:paraId="5D2CE0BB" w14:textId="77777777" w:rsidR="00062985" w:rsidRDefault="00062985" w:rsidP="00E60E8F">
            <w:pPr>
              <w:jc w:val="both"/>
              <w:rPr>
                <w:sz w:val="20"/>
                <w:szCs w:val="20"/>
              </w:rPr>
            </w:pPr>
            <w:r>
              <w:rPr>
                <w:b w:val="0"/>
                <w:sz w:val="20"/>
                <w:szCs w:val="20"/>
              </w:rPr>
              <w:t>5</w:t>
            </w:r>
          </w:p>
        </w:tc>
        <w:tc>
          <w:tcPr>
            <w:tcW w:w="2842" w:type="dxa"/>
            <w:tcBorders>
              <w:bottom w:val="nil"/>
            </w:tcBorders>
            <w:tcMar>
              <w:top w:w="14" w:type="dxa"/>
              <w:left w:w="14" w:type="dxa"/>
              <w:bottom w:w="14" w:type="dxa"/>
              <w:right w:w="14" w:type="dxa"/>
            </w:tcMar>
            <w:vAlign w:val="bottom"/>
          </w:tcPr>
          <w:p w14:paraId="1DB64492"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552" w:type="dxa"/>
            <w:tcBorders>
              <w:bottom w:val="nil"/>
            </w:tcBorders>
            <w:tcMar>
              <w:top w:w="14" w:type="dxa"/>
              <w:left w:w="14" w:type="dxa"/>
              <w:bottom w:w="14" w:type="dxa"/>
              <w:right w:w="14" w:type="dxa"/>
            </w:tcMar>
            <w:vAlign w:val="bottom"/>
          </w:tcPr>
          <w:p w14:paraId="74715852" w14:textId="77777777" w:rsidR="00062985" w:rsidRDefault="00062985" w:rsidP="00E60E8F">
            <w:pPr>
              <w:ind w:firstLine="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c>
          <w:tcPr>
            <w:tcW w:w="2451" w:type="dxa"/>
            <w:tcBorders>
              <w:bottom w:val="nil"/>
            </w:tcBorders>
            <w:tcMar>
              <w:top w:w="14" w:type="dxa"/>
              <w:left w:w="14" w:type="dxa"/>
              <w:bottom w:w="14" w:type="dxa"/>
              <w:right w:w="14" w:type="dxa"/>
            </w:tcMar>
            <w:vAlign w:val="bottom"/>
          </w:tcPr>
          <w:p w14:paraId="3B564656" w14:textId="77777777" w:rsidR="00062985" w:rsidRDefault="00062985" w:rsidP="00E60E8F">
            <w:pPr>
              <w:ind w:left="90"/>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49BFC0D5" w14:textId="77777777" w:rsidR="00062985" w:rsidRDefault="00062985" w:rsidP="00062985">
      <w:pPr>
        <w:jc w:val="center"/>
        <w:rPr>
          <w:sz w:val="22"/>
          <w:szCs w:val="22"/>
        </w:rPr>
      </w:pPr>
      <w:r>
        <w:rPr>
          <w:sz w:val="22"/>
          <w:szCs w:val="22"/>
        </w:rPr>
        <w:t>Table 4b. RID Comparison across Leading Economies (2021)</w:t>
      </w:r>
    </w:p>
    <w:p w14:paraId="5F3E29F4" w14:textId="77777777" w:rsidR="00BD7F19" w:rsidRDefault="00BD7F19" w:rsidP="00062985">
      <w:pPr>
        <w:rPr>
          <w:sz w:val="22"/>
          <w:szCs w:val="22"/>
        </w:rPr>
      </w:pPr>
    </w:p>
    <w:p w14:paraId="6EDC607C" w14:textId="080E50DD" w:rsidR="00BD7F19" w:rsidRDefault="00000000">
      <w:pPr>
        <w:jc w:val="both"/>
        <w:rPr>
          <w:sz w:val="22"/>
          <w:szCs w:val="22"/>
        </w:rPr>
      </w:pPr>
      <w:r>
        <w:t xml:space="preserve">Tables 4c-4d further examine </w:t>
      </w:r>
      <w:r w:rsidR="00063A8D">
        <w:t>Colombia</w:t>
      </w:r>
      <w:r>
        <w:t xml:space="preserve">'s development strategy against those of emerging economies on a global scale. </w:t>
      </w:r>
      <w:r w:rsidR="00062985">
        <w:t xml:space="preserve">Reasonably, emerging economies such as China, South Korea, and Singapore have devoted the majority of their efforts to </w:t>
      </w:r>
      <w:r w:rsidR="00062985">
        <w:t xml:space="preserve">high and </w:t>
      </w:r>
      <w:r w:rsidR="00062985">
        <w:t>intermediate industry groups, showing drastic shifts in strategies over the course of three years.</w:t>
      </w:r>
    </w:p>
    <w:p w14:paraId="176E7600" w14:textId="77777777" w:rsidR="00BD7F19" w:rsidRDefault="00BD7F19">
      <w:pPr>
        <w:jc w:val="both"/>
      </w:pPr>
    </w:p>
    <w:tbl>
      <w:tblPr>
        <w:tblStyle w:val="a5"/>
        <w:tblW w:w="8967" w:type="dxa"/>
        <w:jc w:val="center"/>
        <w:tblLayout w:type="fixed"/>
        <w:tblLook w:val="04A0" w:firstRow="1" w:lastRow="0" w:firstColumn="1" w:lastColumn="0" w:noHBand="0" w:noVBand="1"/>
      </w:tblPr>
      <w:tblGrid>
        <w:gridCol w:w="1122"/>
        <w:gridCol w:w="2842"/>
        <w:gridCol w:w="2552"/>
        <w:gridCol w:w="2451"/>
      </w:tblGrid>
      <w:tr w:rsidR="00062985" w14:paraId="295E501A" w14:textId="77777777" w:rsidTr="00E60E8F">
        <w:trPr>
          <w:cnfStyle w:val="100000000000" w:firstRow="1" w:lastRow="0" w:firstColumn="0" w:lastColumn="0" w:oddVBand="0" w:evenVBand="0" w:oddHBand="0" w:evenHBand="0" w:firstRowFirstColumn="0" w:firstRowLastColumn="0" w:lastRowFirstColumn="0" w:lastRowLastColumn="0"/>
          <w:trHeight w:val="135"/>
          <w:jc w:val="center"/>
        </w:trPr>
        <w:tc>
          <w:tcPr>
            <w:cnfStyle w:val="001000000000" w:firstRow="0" w:lastRow="0" w:firstColumn="1" w:lastColumn="0" w:oddVBand="0" w:evenVBand="0" w:oddHBand="0" w:evenHBand="0" w:firstRowFirstColumn="0" w:firstRowLastColumn="0" w:lastRowFirstColumn="0" w:lastRowLastColumn="0"/>
            <w:tcW w:w="1122" w:type="dxa"/>
          </w:tcPr>
          <w:p w14:paraId="1FF93162" w14:textId="77777777" w:rsidR="00062985" w:rsidRDefault="00062985" w:rsidP="00E60E8F">
            <w:pPr>
              <w:jc w:val="both"/>
            </w:pPr>
            <w:r>
              <w:t>Ranking</w:t>
            </w:r>
          </w:p>
        </w:tc>
        <w:tc>
          <w:tcPr>
            <w:tcW w:w="2842" w:type="dxa"/>
          </w:tcPr>
          <w:p w14:paraId="35E84356"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China</w:t>
            </w:r>
          </w:p>
        </w:tc>
        <w:tc>
          <w:tcPr>
            <w:tcW w:w="2552" w:type="dxa"/>
          </w:tcPr>
          <w:p w14:paraId="2A6BFFB4"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South Korea</w:t>
            </w:r>
          </w:p>
        </w:tc>
        <w:tc>
          <w:tcPr>
            <w:tcW w:w="2451" w:type="dxa"/>
          </w:tcPr>
          <w:p w14:paraId="0C3D5E7B"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Singapore</w:t>
            </w:r>
          </w:p>
        </w:tc>
      </w:tr>
      <w:tr w:rsidR="00062985" w14:paraId="55D8930B" w14:textId="77777777" w:rsidTr="00E60E8F">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122" w:type="dxa"/>
          </w:tcPr>
          <w:p w14:paraId="2233D0DC" w14:textId="77777777" w:rsidR="00062985" w:rsidRDefault="00062985" w:rsidP="00E60E8F">
            <w:pPr>
              <w:jc w:val="both"/>
              <w:rPr>
                <w:sz w:val="20"/>
                <w:szCs w:val="20"/>
              </w:rPr>
            </w:pPr>
            <w:r>
              <w:rPr>
                <w:b w:val="0"/>
                <w:sz w:val="20"/>
                <w:szCs w:val="20"/>
              </w:rPr>
              <w:t>1</w:t>
            </w:r>
          </w:p>
        </w:tc>
        <w:tc>
          <w:tcPr>
            <w:tcW w:w="2842" w:type="dxa"/>
            <w:vAlign w:val="bottom"/>
          </w:tcPr>
          <w:p w14:paraId="38E0527A"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10C8E1E6"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Transportation</w:t>
            </w:r>
          </w:p>
        </w:tc>
        <w:tc>
          <w:tcPr>
            <w:tcW w:w="2451" w:type="dxa"/>
            <w:vAlign w:val="bottom"/>
          </w:tcPr>
          <w:p w14:paraId="058EE44A"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Transportation</w:t>
            </w:r>
          </w:p>
        </w:tc>
      </w:tr>
      <w:tr w:rsidR="00062985" w14:paraId="11F57D17" w14:textId="77777777" w:rsidTr="00E60E8F">
        <w:trPr>
          <w:trHeight w:val="275"/>
          <w:jc w:val="center"/>
        </w:trPr>
        <w:tc>
          <w:tcPr>
            <w:cnfStyle w:val="001000000000" w:firstRow="0" w:lastRow="0" w:firstColumn="1" w:lastColumn="0" w:oddVBand="0" w:evenVBand="0" w:oddHBand="0" w:evenHBand="0" w:firstRowFirstColumn="0" w:firstRowLastColumn="0" w:lastRowFirstColumn="0" w:lastRowLastColumn="0"/>
            <w:tcW w:w="1122" w:type="dxa"/>
            <w:shd w:val="clear" w:color="auto" w:fill="FFFFFF"/>
          </w:tcPr>
          <w:p w14:paraId="708DF49F" w14:textId="77777777" w:rsidR="00062985" w:rsidRDefault="00062985" w:rsidP="00E60E8F">
            <w:pPr>
              <w:jc w:val="both"/>
              <w:rPr>
                <w:sz w:val="20"/>
                <w:szCs w:val="20"/>
              </w:rPr>
            </w:pPr>
            <w:r>
              <w:rPr>
                <w:b w:val="0"/>
                <w:sz w:val="20"/>
                <w:szCs w:val="20"/>
              </w:rPr>
              <w:t>2</w:t>
            </w:r>
          </w:p>
        </w:tc>
        <w:tc>
          <w:tcPr>
            <w:tcW w:w="2842" w:type="dxa"/>
            <w:vAlign w:val="bottom"/>
          </w:tcPr>
          <w:p w14:paraId="10EE599F"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Transportation</w:t>
            </w:r>
          </w:p>
        </w:tc>
        <w:tc>
          <w:tcPr>
            <w:tcW w:w="2552" w:type="dxa"/>
            <w:vAlign w:val="bottom"/>
          </w:tcPr>
          <w:p w14:paraId="22F0E4EE"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w:t>
            </w:r>
          </w:p>
        </w:tc>
        <w:tc>
          <w:tcPr>
            <w:tcW w:w="2451" w:type="dxa"/>
            <w:vAlign w:val="bottom"/>
          </w:tcPr>
          <w:p w14:paraId="0E8B52D5"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062985" w14:paraId="72492C3A" w14:textId="77777777" w:rsidTr="00E60E8F">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1122" w:type="dxa"/>
          </w:tcPr>
          <w:p w14:paraId="11CC8851" w14:textId="77777777" w:rsidR="00062985" w:rsidRDefault="00062985" w:rsidP="00E60E8F">
            <w:pPr>
              <w:jc w:val="both"/>
              <w:rPr>
                <w:sz w:val="20"/>
                <w:szCs w:val="20"/>
              </w:rPr>
            </w:pPr>
            <w:r>
              <w:rPr>
                <w:b w:val="0"/>
                <w:sz w:val="20"/>
                <w:szCs w:val="20"/>
              </w:rPr>
              <w:t>3</w:t>
            </w:r>
          </w:p>
        </w:tc>
        <w:tc>
          <w:tcPr>
            <w:tcW w:w="2842" w:type="dxa"/>
            <w:vAlign w:val="bottom"/>
          </w:tcPr>
          <w:p w14:paraId="6E963E4D"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14E0F6A1"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451" w:type="dxa"/>
            <w:vAlign w:val="bottom"/>
          </w:tcPr>
          <w:p w14:paraId="15622C46"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r>
      <w:tr w:rsidR="00062985" w14:paraId="3BBF47B9" w14:textId="77777777" w:rsidTr="00E60E8F">
        <w:trPr>
          <w:trHeight w:val="60"/>
          <w:jc w:val="center"/>
        </w:trPr>
        <w:tc>
          <w:tcPr>
            <w:cnfStyle w:val="001000000000" w:firstRow="0" w:lastRow="0" w:firstColumn="1" w:lastColumn="0" w:oddVBand="0" w:evenVBand="0" w:oddHBand="0" w:evenHBand="0" w:firstRowFirstColumn="0" w:firstRowLastColumn="0" w:lastRowFirstColumn="0" w:lastRowLastColumn="0"/>
            <w:tcW w:w="1122" w:type="dxa"/>
          </w:tcPr>
          <w:p w14:paraId="7C32B31D" w14:textId="77777777" w:rsidR="00062985" w:rsidRDefault="00062985" w:rsidP="00E60E8F">
            <w:pPr>
              <w:jc w:val="both"/>
              <w:rPr>
                <w:sz w:val="20"/>
                <w:szCs w:val="20"/>
              </w:rPr>
            </w:pPr>
            <w:r>
              <w:rPr>
                <w:b w:val="0"/>
                <w:sz w:val="20"/>
                <w:szCs w:val="20"/>
              </w:rPr>
              <w:t>4</w:t>
            </w:r>
          </w:p>
        </w:tc>
        <w:tc>
          <w:tcPr>
            <w:tcW w:w="2842" w:type="dxa"/>
            <w:vAlign w:val="bottom"/>
          </w:tcPr>
          <w:p w14:paraId="400E5E17"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552" w:type="dxa"/>
            <w:vAlign w:val="bottom"/>
          </w:tcPr>
          <w:p w14:paraId="023C6A42"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Chemical Manufacturing</w:t>
            </w:r>
          </w:p>
        </w:tc>
        <w:tc>
          <w:tcPr>
            <w:tcW w:w="2451" w:type="dxa"/>
            <w:vAlign w:val="bottom"/>
          </w:tcPr>
          <w:p w14:paraId="62C5078B" w14:textId="77777777" w:rsidR="00062985" w:rsidRDefault="00062985" w:rsidP="00E60E8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Daily Instruments</w:t>
            </w:r>
          </w:p>
        </w:tc>
      </w:tr>
      <w:tr w:rsidR="00062985" w14:paraId="2987A5F1" w14:textId="77777777" w:rsidTr="00E60E8F">
        <w:trPr>
          <w:cnfStyle w:val="000000100000" w:firstRow="0" w:lastRow="0" w:firstColumn="0" w:lastColumn="0" w:oddVBand="0" w:evenVBand="0" w:oddHBand="1" w:evenHBand="0" w:firstRowFirstColumn="0" w:firstRowLastColumn="0" w:lastRowFirstColumn="0" w:lastRowLastColumn="0"/>
          <w:trHeight w:val="225"/>
          <w:jc w:val="center"/>
        </w:trPr>
        <w:tc>
          <w:tcPr>
            <w:cnfStyle w:val="001000000000" w:firstRow="0" w:lastRow="0" w:firstColumn="1" w:lastColumn="0" w:oddVBand="0" w:evenVBand="0" w:oddHBand="0" w:evenHBand="0" w:firstRowFirstColumn="0" w:firstRowLastColumn="0" w:lastRowFirstColumn="0" w:lastRowLastColumn="0"/>
            <w:tcW w:w="1122" w:type="dxa"/>
          </w:tcPr>
          <w:p w14:paraId="342F6816" w14:textId="77777777" w:rsidR="00062985" w:rsidRDefault="00062985" w:rsidP="00E60E8F">
            <w:pPr>
              <w:jc w:val="both"/>
              <w:rPr>
                <w:sz w:val="20"/>
                <w:szCs w:val="20"/>
              </w:rPr>
            </w:pPr>
            <w:r>
              <w:rPr>
                <w:b w:val="0"/>
                <w:sz w:val="20"/>
                <w:szCs w:val="20"/>
              </w:rPr>
              <w:t>5</w:t>
            </w:r>
          </w:p>
        </w:tc>
        <w:tc>
          <w:tcPr>
            <w:tcW w:w="2842" w:type="dxa"/>
            <w:vAlign w:val="bottom"/>
          </w:tcPr>
          <w:p w14:paraId="19B8F2B4"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52" w:type="dxa"/>
            <w:vAlign w:val="bottom"/>
          </w:tcPr>
          <w:p w14:paraId="6743ADA4"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451" w:type="dxa"/>
            <w:vAlign w:val="bottom"/>
          </w:tcPr>
          <w:p w14:paraId="2A696D02" w14:textId="77777777" w:rsidR="00062985" w:rsidRDefault="00062985" w:rsidP="00E60E8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r>
    </w:tbl>
    <w:p w14:paraId="53F5DB94" w14:textId="77777777" w:rsidR="00062985" w:rsidRDefault="00062985" w:rsidP="00062985">
      <w:pPr>
        <w:jc w:val="center"/>
      </w:pPr>
      <w:r>
        <w:rPr>
          <w:sz w:val="22"/>
          <w:szCs w:val="22"/>
        </w:rPr>
        <w:t>Table 4c. RID Comparison across Emerging Economies (2018)</w:t>
      </w:r>
    </w:p>
    <w:p w14:paraId="19F58C1E" w14:textId="77777777" w:rsidR="00062985" w:rsidRDefault="00062985" w:rsidP="00062985">
      <w:pPr>
        <w:jc w:val="both"/>
      </w:pPr>
    </w:p>
    <w:tbl>
      <w:tblPr>
        <w:tblStyle w:val="a6"/>
        <w:tblW w:w="8967" w:type="dxa"/>
        <w:jc w:val="center"/>
        <w:tblLayout w:type="fixed"/>
        <w:tblLook w:val="04A0" w:firstRow="1" w:lastRow="0" w:firstColumn="1" w:lastColumn="0" w:noHBand="0" w:noVBand="1"/>
      </w:tblPr>
      <w:tblGrid>
        <w:gridCol w:w="1122"/>
        <w:gridCol w:w="2842"/>
        <w:gridCol w:w="2552"/>
        <w:gridCol w:w="2451"/>
      </w:tblGrid>
      <w:tr w:rsidR="00062985" w14:paraId="4F06097D" w14:textId="77777777" w:rsidTr="00E60E8F">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1122" w:type="dxa"/>
          </w:tcPr>
          <w:p w14:paraId="7C0D1C15" w14:textId="77777777" w:rsidR="00062985" w:rsidRDefault="00062985" w:rsidP="00E60E8F">
            <w:pPr>
              <w:jc w:val="both"/>
            </w:pPr>
            <w:r>
              <w:t>Ranking</w:t>
            </w:r>
          </w:p>
        </w:tc>
        <w:tc>
          <w:tcPr>
            <w:tcW w:w="2842" w:type="dxa"/>
          </w:tcPr>
          <w:p w14:paraId="1DFB52E2"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China</w:t>
            </w:r>
          </w:p>
        </w:tc>
        <w:tc>
          <w:tcPr>
            <w:tcW w:w="2552" w:type="dxa"/>
          </w:tcPr>
          <w:p w14:paraId="4DA76851"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South Korea</w:t>
            </w:r>
          </w:p>
        </w:tc>
        <w:tc>
          <w:tcPr>
            <w:tcW w:w="2451" w:type="dxa"/>
          </w:tcPr>
          <w:p w14:paraId="2A59B874" w14:textId="77777777" w:rsidR="00062985" w:rsidRDefault="00062985" w:rsidP="00E60E8F">
            <w:pPr>
              <w:jc w:val="both"/>
              <w:cnfStyle w:val="100000000000" w:firstRow="1" w:lastRow="0" w:firstColumn="0" w:lastColumn="0" w:oddVBand="0" w:evenVBand="0" w:oddHBand="0" w:evenHBand="0" w:firstRowFirstColumn="0" w:firstRowLastColumn="0" w:lastRowFirstColumn="0" w:lastRowLastColumn="0"/>
            </w:pPr>
            <w:r>
              <w:t>Singapore</w:t>
            </w:r>
          </w:p>
        </w:tc>
      </w:tr>
      <w:tr w:rsidR="00062985" w14:paraId="3456317A"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Mar>
              <w:left w:w="0" w:type="dxa"/>
              <w:right w:w="0" w:type="dxa"/>
            </w:tcMar>
            <w:vAlign w:val="center"/>
          </w:tcPr>
          <w:p w14:paraId="35A6E7F6" w14:textId="77777777" w:rsidR="00062985" w:rsidRDefault="00062985" w:rsidP="00E60E8F">
            <w:pPr>
              <w:jc w:val="both"/>
              <w:rPr>
                <w:sz w:val="20"/>
                <w:szCs w:val="20"/>
              </w:rPr>
            </w:pPr>
            <w:r>
              <w:rPr>
                <w:b w:val="0"/>
                <w:sz w:val="20"/>
                <w:szCs w:val="20"/>
              </w:rPr>
              <w:t>1</w:t>
            </w:r>
          </w:p>
        </w:tc>
        <w:tc>
          <w:tcPr>
            <w:tcW w:w="2842" w:type="dxa"/>
            <w:tcBorders>
              <w:top w:val="nil"/>
              <w:left w:val="nil"/>
              <w:bottom w:val="nil"/>
            </w:tcBorders>
            <w:tcMar>
              <w:left w:w="0" w:type="dxa"/>
              <w:right w:w="0" w:type="dxa"/>
            </w:tcMar>
            <w:vAlign w:val="center"/>
          </w:tcPr>
          <w:p w14:paraId="5F1DA341"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Chemicals</w:t>
            </w:r>
          </w:p>
        </w:tc>
        <w:tc>
          <w:tcPr>
            <w:tcW w:w="2552" w:type="dxa"/>
            <w:tcBorders>
              <w:top w:val="nil"/>
              <w:bottom w:val="nil"/>
            </w:tcBorders>
            <w:tcMar>
              <w:left w:w="0" w:type="dxa"/>
              <w:right w:w="0" w:type="dxa"/>
            </w:tcMar>
            <w:vAlign w:val="center"/>
          </w:tcPr>
          <w:p w14:paraId="0F0CDB1E"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Chemicals</w:t>
            </w:r>
          </w:p>
        </w:tc>
        <w:tc>
          <w:tcPr>
            <w:tcW w:w="2451" w:type="dxa"/>
            <w:tcBorders>
              <w:top w:val="nil"/>
              <w:bottom w:val="nil"/>
              <w:right w:val="nil"/>
            </w:tcBorders>
            <w:tcMar>
              <w:left w:w="0" w:type="dxa"/>
              <w:right w:w="0" w:type="dxa"/>
            </w:tcMar>
            <w:vAlign w:val="center"/>
          </w:tcPr>
          <w:p w14:paraId="7B3ED3F4"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r>
      <w:tr w:rsidR="00062985" w14:paraId="724DBFA9" w14:textId="77777777" w:rsidTr="00E60E8F">
        <w:trPr>
          <w:jc w:val="center"/>
        </w:trPr>
        <w:tc>
          <w:tcPr>
            <w:cnfStyle w:val="001000000000" w:firstRow="0" w:lastRow="0" w:firstColumn="1" w:lastColumn="0" w:oddVBand="0" w:evenVBand="0" w:oddHBand="0" w:evenHBand="0" w:firstRowFirstColumn="0" w:firstRowLastColumn="0" w:lastRowFirstColumn="0" w:lastRowLastColumn="0"/>
            <w:tcW w:w="1122" w:type="dxa"/>
            <w:shd w:val="clear" w:color="auto" w:fill="FFFFFF"/>
            <w:tcMar>
              <w:left w:w="0" w:type="dxa"/>
              <w:right w:w="0" w:type="dxa"/>
            </w:tcMar>
            <w:vAlign w:val="center"/>
          </w:tcPr>
          <w:p w14:paraId="69B4D648" w14:textId="77777777" w:rsidR="00062985" w:rsidRDefault="00062985" w:rsidP="00E60E8F">
            <w:pPr>
              <w:jc w:val="both"/>
              <w:rPr>
                <w:sz w:val="20"/>
                <w:szCs w:val="20"/>
              </w:rPr>
            </w:pPr>
            <w:r>
              <w:rPr>
                <w:b w:val="0"/>
                <w:sz w:val="20"/>
                <w:szCs w:val="20"/>
              </w:rPr>
              <w:t>2</w:t>
            </w:r>
          </w:p>
        </w:tc>
        <w:tc>
          <w:tcPr>
            <w:tcW w:w="2842" w:type="dxa"/>
            <w:tcBorders>
              <w:top w:val="nil"/>
              <w:left w:val="nil"/>
              <w:bottom w:val="nil"/>
            </w:tcBorders>
            <w:tcMar>
              <w:left w:w="0" w:type="dxa"/>
              <w:right w:w="0" w:type="dxa"/>
            </w:tcMar>
            <w:vAlign w:val="center"/>
          </w:tcPr>
          <w:p w14:paraId="598D7480"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Daily Instruments</w:t>
            </w:r>
          </w:p>
        </w:tc>
        <w:tc>
          <w:tcPr>
            <w:tcW w:w="2552" w:type="dxa"/>
            <w:tcBorders>
              <w:top w:val="nil"/>
              <w:bottom w:val="nil"/>
            </w:tcBorders>
            <w:tcMar>
              <w:left w:w="0" w:type="dxa"/>
              <w:right w:w="0" w:type="dxa"/>
            </w:tcMar>
            <w:vAlign w:val="center"/>
          </w:tcPr>
          <w:p w14:paraId="22BB455E"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Daily Instruments</w:t>
            </w:r>
          </w:p>
        </w:tc>
        <w:tc>
          <w:tcPr>
            <w:tcW w:w="2451" w:type="dxa"/>
            <w:tcBorders>
              <w:top w:val="nil"/>
              <w:bottom w:val="nil"/>
              <w:right w:val="nil"/>
            </w:tcBorders>
            <w:tcMar>
              <w:left w:w="0" w:type="dxa"/>
              <w:right w:w="0" w:type="dxa"/>
            </w:tcMar>
            <w:vAlign w:val="center"/>
          </w:tcPr>
          <w:p w14:paraId="0560EC16"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062985" w14:paraId="0585E645"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Mar>
              <w:left w:w="0" w:type="dxa"/>
              <w:right w:w="0" w:type="dxa"/>
            </w:tcMar>
            <w:vAlign w:val="center"/>
          </w:tcPr>
          <w:p w14:paraId="2BBEB506" w14:textId="77777777" w:rsidR="00062985" w:rsidRDefault="00062985" w:rsidP="00E60E8F">
            <w:pPr>
              <w:jc w:val="both"/>
              <w:rPr>
                <w:sz w:val="20"/>
                <w:szCs w:val="20"/>
              </w:rPr>
            </w:pPr>
            <w:r>
              <w:rPr>
                <w:b w:val="0"/>
                <w:sz w:val="20"/>
                <w:szCs w:val="20"/>
              </w:rPr>
              <w:t>3</w:t>
            </w:r>
          </w:p>
        </w:tc>
        <w:tc>
          <w:tcPr>
            <w:tcW w:w="2842" w:type="dxa"/>
            <w:tcBorders>
              <w:top w:val="nil"/>
              <w:left w:val="nil"/>
              <w:bottom w:val="nil"/>
            </w:tcBorders>
            <w:tcMar>
              <w:left w:w="0" w:type="dxa"/>
              <w:right w:w="0" w:type="dxa"/>
            </w:tcMar>
            <w:vAlign w:val="center"/>
          </w:tcPr>
          <w:p w14:paraId="4E33801E"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Transportation</w:t>
            </w:r>
          </w:p>
        </w:tc>
        <w:tc>
          <w:tcPr>
            <w:tcW w:w="2552" w:type="dxa"/>
            <w:tcBorders>
              <w:top w:val="nil"/>
              <w:bottom w:val="nil"/>
            </w:tcBorders>
            <w:tcMar>
              <w:left w:w="0" w:type="dxa"/>
              <w:right w:w="0" w:type="dxa"/>
            </w:tcMar>
            <w:vAlign w:val="center"/>
          </w:tcPr>
          <w:p w14:paraId="28C6F00B"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Transportation</w:t>
            </w:r>
          </w:p>
        </w:tc>
        <w:tc>
          <w:tcPr>
            <w:tcW w:w="2451" w:type="dxa"/>
            <w:tcBorders>
              <w:top w:val="nil"/>
              <w:bottom w:val="nil"/>
              <w:right w:val="nil"/>
            </w:tcBorders>
            <w:tcMar>
              <w:left w:w="0" w:type="dxa"/>
              <w:right w:w="0" w:type="dxa"/>
            </w:tcMar>
            <w:vAlign w:val="center"/>
          </w:tcPr>
          <w:p w14:paraId="72F3941C"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Transportation</w:t>
            </w:r>
          </w:p>
        </w:tc>
      </w:tr>
      <w:tr w:rsidR="00062985" w14:paraId="3F3A2EC7" w14:textId="77777777" w:rsidTr="00E60E8F">
        <w:trPr>
          <w:jc w:val="center"/>
        </w:trPr>
        <w:tc>
          <w:tcPr>
            <w:cnfStyle w:val="001000000000" w:firstRow="0" w:lastRow="0" w:firstColumn="1" w:lastColumn="0" w:oddVBand="0" w:evenVBand="0" w:oddHBand="0" w:evenHBand="0" w:firstRowFirstColumn="0" w:firstRowLastColumn="0" w:lastRowFirstColumn="0" w:lastRowLastColumn="0"/>
            <w:tcW w:w="1122" w:type="dxa"/>
            <w:tcMar>
              <w:left w:w="0" w:type="dxa"/>
              <w:right w:w="0" w:type="dxa"/>
            </w:tcMar>
            <w:vAlign w:val="center"/>
          </w:tcPr>
          <w:p w14:paraId="7CDF8E59" w14:textId="77777777" w:rsidR="00062985" w:rsidRDefault="00062985" w:rsidP="00E60E8F">
            <w:pPr>
              <w:jc w:val="both"/>
              <w:rPr>
                <w:sz w:val="20"/>
                <w:szCs w:val="20"/>
              </w:rPr>
            </w:pPr>
            <w:r>
              <w:rPr>
                <w:b w:val="0"/>
                <w:sz w:val="20"/>
                <w:szCs w:val="20"/>
              </w:rPr>
              <w:t>4</w:t>
            </w:r>
          </w:p>
        </w:tc>
        <w:tc>
          <w:tcPr>
            <w:tcW w:w="2842" w:type="dxa"/>
            <w:tcBorders>
              <w:top w:val="nil"/>
              <w:left w:val="nil"/>
              <w:bottom w:val="nil"/>
            </w:tcBorders>
            <w:tcMar>
              <w:left w:w="0" w:type="dxa"/>
              <w:right w:w="0" w:type="dxa"/>
            </w:tcMar>
            <w:vAlign w:val="center"/>
          </w:tcPr>
          <w:p w14:paraId="2764EFC2"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Raw Manufacturing</w:t>
            </w:r>
          </w:p>
        </w:tc>
        <w:tc>
          <w:tcPr>
            <w:tcW w:w="2552" w:type="dxa"/>
            <w:tcBorders>
              <w:top w:val="nil"/>
              <w:bottom w:val="nil"/>
            </w:tcBorders>
            <w:tcMar>
              <w:left w:w="0" w:type="dxa"/>
              <w:right w:w="0" w:type="dxa"/>
            </w:tcMar>
            <w:vAlign w:val="center"/>
          </w:tcPr>
          <w:p w14:paraId="664EB007"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w:t>
            </w:r>
          </w:p>
        </w:tc>
        <w:tc>
          <w:tcPr>
            <w:tcW w:w="2451" w:type="dxa"/>
            <w:tcBorders>
              <w:top w:val="nil"/>
              <w:bottom w:val="nil"/>
              <w:right w:val="nil"/>
            </w:tcBorders>
            <w:tcMar>
              <w:left w:w="0" w:type="dxa"/>
              <w:right w:w="0" w:type="dxa"/>
            </w:tcMar>
            <w:vAlign w:val="center"/>
          </w:tcPr>
          <w:p w14:paraId="73C3F27A" w14:textId="77777777" w:rsidR="00062985" w:rsidRDefault="00062985" w:rsidP="00E60E8F">
            <w:pPr>
              <w:ind w:left="90" w:right="-165"/>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062985" w14:paraId="6312E91B" w14:textId="77777777" w:rsidTr="00E60E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2" w:type="dxa"/>
            <w:tcMar>
              <w:left w:w="0" w:type="dxa"/>
              <w:right w:w="0" w:type="dxa"/>
            </w:tcMar>
            <w:vAlign w:val="center"/>
          </w:tcPr>
          <w:p w14:paraId="362156E5" w14:textId="77777777" w:rsidR="00062985" w:rsidRDefault="00062985" w:rsidP="00E60E8F">
            <w:pPr>
              <w:jc w:val="both"/>
              <w:rPr>
                <w:sz w:val="20"/>
                <w:szCs w:val="20"/>
              </w:rPr>
            </w:pPr>
            <w:r>
              <w:rPr>
                <w:b w:val="0"/>
                <w:sz w:val="20"/>
                <w:szCs w:val="20"/>
              </w:rPr>
              <w:t>5</w:t>
            </w:r>
          </w:p>
        </w:tc>
        <w:tc>
          <w:tcPr>
            <w:tcW w:w="2842" w:type="dxa"/>
            <w:tcBorders>
              <w:top w:val="nil"/>
              <w:left w:val="nil"/>
              <w:bottom w:val="nil"/>
            </w:tcBorders>
            <w:tcMar>
              <w:left w:w="0" w:type="dxa"/>
              <w:right w:w="0" w:type="dxa"/>
            </w:tcMar>
            <w:vAlign w:val="center"/>
          </w:tcPr>
          <w:p w14:paraId="380F576C"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552" w:type="dxa"/>
            <w:tcBorders>
              <w:top w:val="nil"/>
              <w:bottom w:val="nil"/>
            </w:tcBorders>
            <w:tcMar>
              <w:left w:w="0" w:type="dxa"/>
              <w:right w:w="0" w:type="dxa"/>
            </w:tcMar>
            <w:vAlign w:val="center"/>
          </w:tcPr>
          <w:p w14:paraId="3F99A7F8"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Manufacturing</w:t>
            </w:r>
          </w:p>
        </w:tc>
        <w:tc>
          <w:tcPr>
            <w:tcW w:w="2451" w:type="dxa"/>
            <w:tcBorders>
              <w:top w:val="nil"/>
              <w:bottom w:val="nil"/>
              <w:right w:val="nil"/>
            </w:tcBorders>
            <w:tcMar>
              <w:left w:w="0" w:type="dxa"/>
              <w:right w:w="0" w:type="dxa"/>
            </w:tcMar>
            <w:vAlign w:val="center"/>
          </w:tcPr>
          <w:p w14:paraId="04CDB7DA" w14:textId="77777777" w:rsidR="00062985" w:rsidRDefault="00062985" w:rsidP="00E60E8F">
            <w:pPr>
              <w:ind w:left="90" w:right="-165"/>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bl>
    <w:p w14:paraId="67859283" w14:textId="77777777" w:rsidR="00062985" w:rsidRDefault="00062985" w:rsidP="00062985">
      <w:pPr>
        <w:jc w:val="center"/>
      </w:pPr>
      <w:r>
        <w:rPr>
          <w:sz w:val="22"/>
          <w:szCs w:val="22"/>
        </w:rPr>
        <w:t>Table 4d. RID Comparison across Emerging Economies (2021)</w:t>
      </w:r>
    </w:p>
    <w:p w14:paraId="1B4CB979" w14:textId="77777777" w:rsidR="00BD7F19" w:rsidRDefault="00BD7F19">
      <w:pPr>
        <w:jc w:val="center"/>
        <w:rPr>
          <w:sz w:val="22"/>
          <w:szCs w:val="22"/>
        </w:rPr>
      </w:pPr>
    </w:p>
    <w:p w14:paraId="69740975" w14:textId="77777777" w:rsidR="00BD7F19" w:rsidRDefault="00BD7F19">
      <w:pPr>
        <w:jc w:val="both"/>
      </w:pPr>
    </w:p>
    <w:p w14:paraId="239BB7AE" w14:textId="77777777" w:rsidR="00BD7F19" w:rsidRDefault="00BD7F19">
      <w:pPr>
        <w:jc w:val="both"/>
        <w:rPr>
          <w:rFonts w:ascii="Times" w:eastAsia="Times" w:hAnsi="Times" w:cs="Times"/>
          <w:b/>
          <w:sz w:val="28"/>
          <w:szCs w:val="28"/>
        </w:rPr>
      </w:pPr>
    </w:p>
    <w:p w14:paraId="4C499826" w14:textId="77777777" w:rsidR="0094675D" w:rsidRDefault="0094675D">
      <w:pPr>
        <w:rPr>
          <w:rFonts w:ascii="Times" w:eastAsia="Times" w:hAnsi="Times" w:cs="Times"/>
          <w:b/>
          <w:sz w:val="28"/>
          <w:szCs w:val="28"/>
        </w:rPr>
      </w:pPr>
      <w:r>
        <w:rPr>
          <w:rFonts w:ascii="Times" w:eastAsia="Times" w:hAnsi="Times" w:cs="Times"/>
          <w:b/>
          <w:sz w:val="28"/>
          <w:szCs w:val="28"/>
        </w:rPr>
        <w:br w:type="page"/>
      </w:r>
    </w:p>
    <w:p w14:paraId="7F788C85" w14:textId="05028233" w:rsidR="00BD7F19" w:rsidRDefault="00000000">
      <w:pPr>
        <w:jc w:val="both"/>
        <w:rPr>
          <w:rFonts w:ascii="Times" w:eastAsia="Times" w:hAnsi="Times" w:cs="Times"/>
          <w:b/>
          <w:sz w:val="28"/>
          <w:szCs w:val="28"/>
        </w:rPr>
      </w:pPr>
      <w:r>
        <w:rPr>
          <w:rFonts w:ascii="Times" w:eastAsia="Times" w:hAnsi="Times" w:cs="Times"/>
          <w:b/>
          <w:sz w:val="28"/>
          <w:szCs w:val="28"/>
        </w:rPr>
        <w:lastRenderedPageBreak/>
        <w:t>4. Product Space Design</w:t>
      </w:r>
    </w:p>
    <w:p w14:paraId="4EB3BBFB" w14:textId="77777777" w:rsidR="00BD7F19" w:rsidRDefault="00BD7F19">
      <w:pPr>
        <w:jc w:val="both"/>
        <w:rPr>
          <w:rFonts w:ascii="Times" w:eastAsia="Times" w:hAnsi="Times" w:cs="Times"/>
          <w:b/>
          <w:sz w:val="28"/>
          <w:szCs w:val="28"/>
        </w:rPr>
      </w:pPr>
    </w:p>
    <w:p w14:paraId="603F7B27" w14:textId="77777777" w:rsidR="00BD7F19" w:rsidRDefault="00000000">
      <w:pPr>
        <w:jc w:val="both"/>
        <w:rPr>
          <w:b/>
        </w:rPr>
      </w:pPr>
      <w:r>
        <w:rPr>
          <w:b/>
        </w:rPr>
        <w:t>4.1 Suggested Development Vector</w:t>
      </w:r>
    </w:p>
    <w:p w14:paraId="7E646161" w14:textId="77777777" w:rsidR="00BD7F19" w:rsidRDefault="00000000">
      <w:pPr>
        <w:jc w:val="both"/>
      </w:pPr>
      <w:r>
        <w:t>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14:paraId="51535461" w14:textId="77777777" w:rsidR="0094675D" w:rsidRDefault="0094675D">
      <w:pPr>
        <w:jc w:val="both"/>
      </w:pPr>
    </w:p>
    <w:p w14:paraId="11DD8827" w14:textId="5BD31AB8" w:rsidR="0094675D" w:rsidRDefault="0094675D">
      <w:pPr>
        <w:jc w:val="both"/>
      </w:pPr>
      <w:r>
        <w:rPr>
          <w:noProof/>
        </w:rPr>
        <w:drawing>
          <wp:inline distT="114300" distB="114300" distL="114300" distR="114300" wp14:anchorId="4CB4F77C" wp14:editId="55872670">
            <wp:extent cx="5638800" cy="2876550"/>
            <wp:effectExtent l="0" t="0" r="0" b="0"/>
            <wp:docPr id="1769506605" name="Picture 1769506605"/>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4"/>
                    <a:srcRect/>
                    <a:stretch>
                      <a:fillRect/>
                    </a:stretch>
                  </pic:blipFill>
                  <pic:spPr>
                    <a:xfrm>
                      <a:off x="0" y="0"/>
                      <a:ext cx="5638800" cy="2876550"/>
                    </a:xfrm>
                    <a:prstGeom prst="rect">
                      <a:avLst/>
                    </a:prstGeom>
                    <a:ln/>
                  </pic:spPr>
                </pic:pic>
              </a:graphicData>
            </a:graphic>
          </wp:inline>
        </w:drawing>
      </w:r>
    </w:p>
    <w:p w14:paraId="4E81493B" w14:textId="125154E8" w:rsidR="0094675D" w:rsidRDefault="0094675D" w:rsidP="0094675D">
      <w:pPr>
        <w:jc w:val="center"/>
      </w:pPr>
      <w:r w:rsidRPr="00BD3709">
        <w:rPr>
          <w:sz w:val="22"/>
          <w:szCs w:val="22"/>
        </w:rPr>
        <w:t>Table 5a. Opportunity Gain Ranking on a Comparable Scale (2013)</w:t>
      </w:r>
    </w:p>
    <w:p w14:paraId="3832C6C4" w14:textId="63A29790" w:rsidR="0094675D" w:rsidRDefault="0094675D">
      <w:pPr>
        <w:jc w:val="both"/>
      </w:pPr>
      <w:r>
        <w:rPr>
          <w:noProof/>
        </w:rPr>
        <w:lastRenderedPageBreak/>
        <w:drawing>
          <wp:inline distT="114300" distB="114300" distL="114300" distR="114300" wp14:anchorId="6F9D597C" wp14:editId="027ED2A7">
            <wp:extent cx="5634038" cy="3038475"/>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5"/>
                    <a:srcRect/>
                    <a:stretch>
                      <a:fillRect/>
                    </a:stretch>
                  </pic:blipFill>
                  <pic:spPr>
                    <a:xfrm>
                      <a:off x="0" y="0"/>
                      <a:ext cx="5634038" cy="3038475"/>
                    </a:xfrm>
                    <a:prstGeom prst="rect">
                      <a:avLst/>
                    </a:prstGeom>
                    <a:ln/>
                  </pic:spPr>
                </pic:pic>
              </a:graphicData>
            </a:graphic>
          </wp:inline>
        </w:drawing>
      </w:r>
    </w:p>
    <w:p w14:paraId="709B9E45" w14:textId="77777777" w:rsidR="0094675D" w:rsidRPr="00BD3709" w:rsidRDefault="0094675D" w:rsidP="0094675D">
      <w:pPr>
        <w:jc w:val="center"/>
        <w:rPr>
          <w:sz w:val="22"/>
          <w:szCs w:val="22"/>
        </w:rPr>
      </w:pPr>
      <w:r w:rsidRPr="00BD3709">
        <w:rPr>
          <w:sz w:val="22"/>
          <w:szCs w:val="22"/>
        </w:rPr>
        <w:t>Table 5b. Opportunity Gain Ranking on a Comparable Scale (2018)</w:t>
      </w:r>
    </w:p>
    <w:p w14:paraId="29E9650D" w14:textId="77777777" w:rsidR="00BD7F19" w:rsidRDefault="00BD7F19" w:rsidP="0094675D"/>
    <w:p w14:paraId="79D67877" w14:textId="4A02991F" w:rsidR="00BD7F19" w:rsidRDefault="00000000">
      <w:pPr>
        <w:jc w:val="both"/>
      </w:pPr>
      <w:r>
        <w:t xml:space="preserve">We define the ranking of opportunity gain for a country c, as the Suggested Development Vector (SDV) of c. Tables 5a-5c summarize how the SDV of </w:t>
      </w:r>
      <w:r w:rsidR="00063A8D">
        <w:t>Colombia</w:t>
      </w:r>
      <w:r>
        <w:t xml:space="preserve"> compares with a selected group of comparable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14:paraId="33D857C8" w14:textId="77777777" w:rsidR="00BD7F19" w:rsidRDefault="00BD7F19">
      <w:pPr>
        <w:jc w:val="both"/>
      </w:pPr>
    </w:p>
    <w:p w14:paraId="0DAC5286" w14:textId="545C8614" w:rsidR="00BD7F19" w:rsidRDefault="00000000">
      <w:pPr>
        <w:jc w:val="both"/>
      </w:pPr>
      <w: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w:t>
      </w:r>
      <w:r w:rsidR="0094675D">
        <w:t xml:space="preserve">the </w:t>
      </w:r>
      <w:r>
        <w:t>industries with positive opportunity gain</w:t>
      </w:r>
      <w:r w:rsidR="0094675D">
        <w:t xml:space="preserve">, while more advanced economies </w:t>
      </w:r>
      <w:r>
        <w:t xml:space="preserve">share common interests in </w:t>
      </w:r>
      <w:r w:rsidR="0094675D">
        <w:t>Chemicals</w:t>
      </w:r>
      <w:r>
        <w:t xml:space="preserve">. It can be concluded that </w:t>
      </w:r>
      <w:r w:rsidR="00063A8D">
        <w:t>Colombia</w:t>
      </w:r>
      <w:r>
        <w:t xml:space="preserve"> shares the characteristics of developing countries, with a balanced economic structure that leans towards </w:t>
      </w:r>
      <w:r w:rsidR="00D87FAE">
        <w:t>more complex</w:t>
      </w:r>
      <w:r>
        <w:t xml:space="preserve"> industries.</w:t>
      </w:r>
    </w:p>
    <w:p w14:paraId="7F4F92E0" w14:textId="77777777" w:rsidR="0094675D" w:rsidRDefault="0094675D">
      <w:pPr>
        <w:jc w:val="both"/>
      </w:pPr>
    </w:p>
    <w:p w14:paraId="26E6A15E" w14:textId="32A9973A" w:rsidR="00BD7F19" w:rsidRDefault="0094675D">
      <w:pPr>
        <w:jc w:val="both"/>
      </w:pPr>
      <w:r>
        <w:rPr>
          <w:noProof/>
        </w:rPr>
        <w:drawing>
          <wp:inline distT="114300" distB="114300" distL="114300" distR="114300" wp14:anchorId="1F86B564" wp14:editId="27F30F95">
            <wp:extent cx="5727700" cy="2055122"/>
            <wp:effectExtent l="0" t="0" r="0" b="2540"/>
            <wp:docPr id="293299129" name="Picture 293299129"/>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6"/>
                    <a:srcRect/>
                    <a:stretch>
                      <a:fillRect/>
                    </a:stretch>
                  </pic:blipFill>
                  <pic:spPr>
                    <a:xfrm>
                      <a:off x="0" y="0"/>
                      <a:ext cx="5727700" cy="2055122"/>
                    </a:xfrm>
                    <a:prstGeom prst="rect">
                      <a:avLst/>
                    </a:prstGeom>
                    <a:ln/>
                  </pic:spPr>
                </pic:pic>
              </a:graphicData>
            </a:graphic>
          </wp:inline>
        </w:drawing>
      </w:r>
    </w:p>
    <w:p w14:paraId="5CC7FE9C" w14:textId="62575784" w:rsidR="00BD7F19" w:rsidRDefault="0094675D" w:rsidP="006364BD">
      <w:pPr>
        <w:jc w:val="center"/>
        <w:rPr>
          <w:sz w:val="22"/>
          <w:szCs w:val="22"/>
        </w:rPr>
      </w:pPr>
      <w:r>
        <w:rPr>
          <w:sz w:val="22"/>
          <w:szCs w:val="22"/>
        </w:rPr>
        <w:t xml:space="preserve">Table 6. SDV of Other Sample Countries </w:t>
      </w:r>
      <w:r w:rsidRPr="006E0F5F">
        <w:rPr>
          <w:sz w:val="22"/>
          <w:szCs w:val="22"/>
        </w:rPr>
        <w:t>(201</w:t>
      </w:r>
      <w:r>
        <w:rPr>
          <w:sz w:val="22"/>
          <w:szCs w:val="22"/>
        </w:rPr>
        <w:t>9</w:t>
      </w:r>
      <w:r w:rsidRPr="006E0F5F">
        <w:rPr>
          <w:sz w:val="22"/>
          <w:szCs w:val="22"/>
        </w:rPr>
        <w:t>)</w:t>
      </w:r>
    </w:p>
    <w:p w14:paraId="7F7F909E" w14:textId="77777777" w:rsidR="00BD7F19" w:rsidRDefault="00BD7F19">
      <w:pPr>
        <w:jc w:val="center"/>
      </w:pPr>
    </w:p>
    <w:p w14:paraId="5BDBF775" w14:textId="77777777" w:rsidR="00BD7F19" w:rsidRDefault="00000000">
      <w:pPr>
        <w:jc w:val="both"/>
      </w:pPr>
      <w:r>
        <w:rPr>
          <w:b/>
        </w:rPr>
        <w:lastRenderedPageBreak/>
        <w:t>4.2 Budgeted Industry Development Strategy and Interpretation</w:t>
      </w:r>
    </w:p>
    <w:p w14:paraId="20B1194D" w14:textId="77777777" w:rsidR="00BD7F19" w:rsidRDefault="00000000">
      <w:pPr>
        <w:jc w:val="both"/>
      </w:pPr>
      <w:r>
        <w:t>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14:paraId="452451A0" w14:textId="77777777" w:rsidR="00BD7F19" w:rsidRDefault="00BD7F19">
      <w:pPr>
        <w:jc w:val="both"/>
      </w:pPr>
    </w:p>
    <w:p w14:paraId="1D5C38E0" w14:textId="77777777" w:rsidR="00BD7F19" w:rsidRDefault="00000000">
      <w:pPr>
        <w:jc w:val="center"/>
        <w:rPr>
          <w:i/>
          <w:color w:val="444499"/>
          <w:sz w:val="20"/>
          <w:szCs w:val="20"/>
        </w:rPr>
      </w:pPr>
      <w:r>
        <w:rPr>
          <w:noProof/>
        </w:rPr>
        <w:drawing>
          <wp:inline distT="114300" distB="114300" distL="114300" distR="114300" wp14:anchorId="073895A8" wp14:editId="20D1FB37">
            <wp:extent cx="2528888" cy="1141284"/>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528888" cy="1141284"/>
                    </a:xfrm>
                    <a:prstGeom prst="rect">
                      <a:avLst/>
                    </a:prstGeom>
                    <a:ln/>
                  </pic:spPr>
                </pic:pic>
              </a:graphicData>
            </a:graphic>
          </wp:inline>
        </w:drawing>
      </w:r>
    </w:p>
    <w:p w14:paraId="75FEA35E" w14:textId="77777777" w:rsidR="00BD7F19" w:rsidRDefault="00BD7F19">
      <w:pPr>
        <w:jc w:val="center"/>
      </w:pPr>
    </w:p>
    <w:p w14:paraId="44CE3D9E" w14:textId="77777777" w:rsidR="00BD7F19" w:rsidRDefault="00000000">
      <w:pPr>
        <w:jc w:val="both"/>
      </w:pPr>
      <w:r>
        <w:t xml:space="preserve">where k(x) is the second largest eigenvector of </w:t>
      </w:r>
      <m:oMath>
        <m:sSub>
          <m:sSubPr>
            <m:ctrlPr>
              <w:rPr>
                <w:rFonts w:ascii="Cambria Math" w:hAnsi="Cambria Math"/>
              </w:rPr>
            </m:ctrlPr>
          </m:sSubPr>
          <m:e>
            <m:r>
              <w:rPr>
                <w:rFonts w:ascii="Cambria Math" w:hAnsi="Cambria Math"/>
              </w:rPr>
              <m:t>M</m:t>
            </m:r>
          </m:e>
          <m:sub>
            <m:r>
              <w:rPr>
                <w:rFonts w:ascii="Cambria Math" w:hAnsi="Cambria Math"/>
              </w:rPr>
              <m:t>CC'</m:t>
            </m:r>
          </m:sub>
        </m:sSub>
      </m:oMath>
      <w:r>
        <w:t xml:space="preserve"> after adding </w:t>
      </w:r>
      <m:oMath>
        <m:r>
          <w:rPr>
            <w:rFonts w:ascii="Cambria Math" w:hAnsi="Cambria Math"/>
          </w:rPr>
          <m:t>x</m:t>
        </m:r>
      </m:oMath>
      <w:r>
        <w:t xml:space="preserve"> to the original export vector, </w:t>
      </w:r>
      <w:r>
        <w:rPr>
          <w:i/>
        </w:rPr>
        <w:t>C</w:t>
      </w:r>
      <w:r>
        <w:t xml:space="preserve"> is the country that we are interested in, </w:t>
      </w:r>
      <w:r>
        <w:rPr>
          <w:i/>
        </w:rPr>
        <w:t>P</w:t>
      </w:r>
      <w:r>
        <w:t xml:space="preserve"> is the product space, </w:t>
      </w:r>
      <w:r>
        <w:rPr>
          <w:i/>
        </w:rPr>
        <w:t>B</w:t>
      </w:r>
      <w:r>
        <w:t xml:space="preserve"> is the heuristic budget. </w:t>
      </w:r>
    </w:p>
    <w:p w14:paraId="371EA29A" w14:textId="77777777" w:rsidR="00BD7F19" w:rsidRDefault="00000000">
      <w:pPr>
        <w:jc w:val="both"/>
      </w:pPr>
      <w:r>
        <w:t xml:space="preserve"> </w:t>
      </w:r>
    </w:p>
    <w:p w14:paraId="2D50BD5F" w14:textId="77777777" w:rsidR="00BD7F19" w:rsidRDefault="00000000">
      <w:pPr>
        <w:jc w:val="both"/>
      </w:pPr>
      <w:r>
        <w:t xml:space="preserve">If we can solve this problem, then we can know what the largest ECI to which a country can improve. Accordingly, the optimal solution </w:t>
      </w:r>
      <m:oMath>
        <m:r>
          <w:rPr>
            <w:rFonts w:ascii="Cambria Math" w:hAnsi="Cambria Math"/>
          </w:rPr>
          <m:t>x*</m:t>
        </m:r>
      </m:oMath>
      <w: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w:rFonts w:ascii="Cambria Math" w:hAnsi="Cambria Math"/>
          </w:rPr>
          <m:t>p∈P</m:t>
        </m:r>
      </m:oMath>
      <w:r>
        <w:t>. After we find the optimal product p for this equal part, we add the amount back to the export value of this product p and update the ECI for this country. If we observe that ECI does not change a</w:t>
      </w:r>
      <w:proofErr w:type="spellStart"/>
      <w:r>
        <w:t>fter</w:t>
      </w:r>
      <w:proofErr w:type="spellEnd"/>
      <w:r>
        <w:t xml:space="preserve"> iterating all the products, then we can add up one more equal part to invest. Until we find there is an ECI increment, we add the amount now to that product. The equal rest parts can be done in the same way. </w:t>
      </w:r>
    </w:p>
    <w:p w14:paraId="0D7DADAC" w14:textId="77777777" w:rsidR="00BD7F19" w:rsidRDefault="00000000">
      <w:pPr>
        <w:jc w:val="both"/>
      </w:pPr>
      <w:r>
        <w:t xml:space="preserve"> </w:t>
      </w:r>
    </w:p>
    <w:p w14:paraId="297C4FE4" w14:textId="77777777" w:rsidR="00BD7F19" w:rsidRDefault="00000000">
      <w:pPr>
        <w:jc w:val="both"/>
      </w:pPr>
      <w:r>
        <w:t>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14:paraId="21119E58" w14:textId="77777777" w:rsidR="00BD7F19" w:rsidRDefault="00000000">
      <w:pPr>
        <w:jc w:val="center"/>
        <w:rPr>
          <w:i/>
          <w:color w:val="444499"/>
          <w:sz w:val="20"/>
          <w:szCs w:val="20"/>
        </w:rPr>
      </w:pPr>
      <w:r>
        <w:rPr>
          <w:noProof/>
        </w:rPr>
        <w:drawing>
          <wp:inline distT="114300" distB="114300" distL="114300" distR="114300" wp14:anchorId="329F34C3" wp14:editId="20B7F721">
            <wp:extent cx="2138363" cy="71863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138363" cy="718630"/>
                    </a:xfrm>
                    <a:prstGeom prst="rect">
                      <a:avLst/>
                    </a:prstGeom>
                    <a:ln/>
                  </pic:spPr>
                </pic:pic>
              </a:graphicData>
            </a:graphic>
          </wp:inline>
        </w:drawing>
      </w:r>
    </w:p>
    <w:p w14:paraId="3BF45881" w14:textId="77777777" w:rsidR="00BD7F19" w:rsidRDefault="00000000">
      <w:pPr>
        <w:jc w:val="both"/>
      </w:pPr>
      <w:r>
        <w:t xml:space="preserve">where </w:t>
      </w:r>
      <m:oMath>
        <m:sSub>
          <m:sSubPr>
            <m:ctrlPr>
              <w:rPr>
                <w:rFonts w:ascii="Cambria Math" w:hAnsi="Cambria Math"/>
              </w:rPr>
            </m:ctrlPr>
          </m:sSubPr>
          <m:e>
            <m:r>
              <w:rPr>
                <w:rFonts w:ascii="Cambria Math" w:hAnsi="Cambria Math"/>
              </w:rPr>
              <m:t>ECI</m:t>
            </m:r>
          </m:e>
          <m:sub>
            <m:r>
              <w:rPr>
                <w:rFonts w:ascii="Cambria Math" w:hAnsi="Cambria Math"/>
              </w:rPr>
              <m:t>p</m:t>
            </m:r>
          </m:sub>
        </m:sSub>
      </m:oMath>
      <w:r>
        <w:t xml:space="preserve"> is just the ECI of the country after adding some amount of export increment to product </w:t>
      </w:r>
      <m:oMath>
        <m:r>
          <w:rPr>
            <w:rFonts w:ascii="Cambria Math" w:hAnsi="Cambria Math"/>
          </w:rPr>
          <m:t>p</m:t>
        </m:r>
      </m:oMath>
      <w:r>
        <w:t xml:space="preserve">, which is exactly the amount that is able to make ECI change. Also, we can express it in the way of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1</m:t>
            </m:r>
          </m:sub>
        </m:sSub>
      </m:oMath>
      <w:r>
        <w:t>.</w:t>
      </w:r>
    </w:p>
    <w:p w14:paraId="27F43218" w14:textId="77777777" w:rsidR="00BD7F19" w:rsidRDefault="00BD7F19"/>
    <w:p w14:paraId="5E328567" w14:textId="77777777" w:rsidR="00BD7F19" w:rsidRDefault="00000000">
      <w:pPr>
        <w:jc w:val="both"/>
      </w:pPr>
      <w: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14:paraId="5334B395" w14:textId="77777777" w:rsidR="00BD7F19" w:rsidRDefault="00000000">
      <w:r>
        <w:lastRenderedPageBreak/>
        <w:t xml:space="preserve"> </w:t>
      </w:r>
    </w:p>
    <w:p w14:paraId="27DA3BF0" w14:textId="77777777" w:rsidR="00BD7F19" w:rsidRDefault="00000000">
      <w:r>
        <w:t xml:space="preserve">Besides, it is quite common that there is a surplus in the budget. To deal with the surplus, we just add it to the product which needs the least amount of dollars to make </w:t>
      </w:r>
      <m:oMath>
        <m:sSub>
          <m:sSubPr>
            <m:ctrlPr>
              <w:rPr>
                <w:rFonts w:ascii="Cambria Math" w:hAnsi="Cambria Math"/>
              </w:rPr>
            </m:ctrlPr>
          </m:sSubPr>
          <m:e>
            <m:r>
              <w:rPr>
                <w:rFonts w:ascii="Cambria Math" w:hAnsi="Cambria Math"/>
              </w:rPr>
              <m:t>M</m:t>
            </m:r>
          </m:e>
          <m:sub>
            <m:r>
              <w:rPr>
                <w:rFonts w:ascii="Cambria Math" w:hAnsi="Cambria Math"/>
              </w:rPr>
              <m:t>cp</m:t>
            </m:r>
          </m:sub>
        </m:sSub>
      </m:oMath>
      <w:r>
        <w:t xml:space="preserve"> = 1 (i.e., the smallest amount of required export increase).</w:t>
      </w:r>
    </w:p>
    <w:p w14:paraId="7A3A33BC" w14:textId="77777777" w:rsidR="00BD7F19" w:rsidRDefault="00BD7F19"/>
    <w:p w14:paraId="25DFB36D" w14:textId="77777777" w:rsidR="00BD7F19" w:rsidRDefault="00000000">
      <w:pPr>
        <w:jc w:val="both"/>
        <w:rPr>
          <w:b/>
        </w:rPr>
      </w:pPr>
      <w:r>
        <w:rPr>
          <w:b/>
        </w:rPr>
        <w:t>Economic Panel</w:t>
      </w:r>
    </w:p>
    <w:p w14:paraId="11F32774" w14:textId="77777777" w:rsidR="00BD7F19" w:rsidRDefault="00000000">
      <w:pPr>
        <w:jc w:val="both"/>
      </w:pPr>
      <w:r>
        <w:t>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14:paraId="383D523A" w14:textId="77777777" w:rsidR="00BD7F19" w:rsidRDefault="00BD7F19">
      <w:pPr>
        <w:jc w:val="both"/>
      </w:pPr>
    </w:p>
    <w:p w14:paraId="238840AE" w14:textId="77777777" w:rsidR="00BD7F19" w:rsidRDefault="00000000">
      <w:pPr>
        <w:jc w:val="both"/>
        <w:rPr>
          <w:b/>
        </w:rPr>
      </w:pPr>
      <w:r>
        <w:rPr>
          <w:b/>
        </w:rPr>
        <w:t>Interpretation</w:t>
      </w:r>
    </w:p>
    <w:p w14:paraId="3D26233C" w14:textId="77777777" w:rsidR="00BD7F19" w:rsidRDefault="00000000">
      <w:pPr>
        <w:jc w:val="both"/>
      </w:pPr>
      <w:r>
        <w:t>For the purpose of a clear explanation of the line charts, we label all the products in Table 7. Please refer to this table when trying to understand the investment trajectories in the line charts.</w:t>
      </w:r>
    </w:p>
    <w:p w14:paraId="7B228E55" w14:textId="77777777" w:rsidR="00BD7F19" w:rsidRDefault="00BD7F19">
      <w:pPr>
        <w:jc w:val="both"/>
      </w:pPr>
    </w:p>
    <w:tbl>
      <w:tblPr>
        <w:tblStyle w:val="ab"/>
        <w:tblW w:w="4020" w:type="dxa"/>
        <w:jc w:val="center"/>
        <w:tblLayout w:type="fixed"/>
        <w:tblLook w:val="0600" w:firstRow="0" w:lastRow="0" w:firstColumn="0" w:lastColumn="0" w:noHBand="1" w:noVBand="1"/>
      </w:tblPr>
      <w:tblGrid>
        <w:gridCol w:w="1290"/>
        <w:gridCol w:w="2730"/>
      </w:tblGrid>
      <w:tr w:rsidR="00BD7F19" w14:paraId="6476DBC9" w14:textId="77777777">
        <w:trPr>
          <w:trHeight w:val="315"/>
          <w:jc w:val="center"/>
        </w:trPr>
        <w:tc>
          <w:tcPr>
            <w:tcW w:w="1290" w:type="dxa"/>
            <w:tcBorders>
              <w:top w:val="nil"/>
              <w:left w:val="nil"/>
              <w:bottom w:val="nil"/>
            </w:tcBorders>
            <w:shd w:val="clear" w:color="auto" w:fill="A5A5A5"/>
            <w:tcMar>
              <w:top w:w="-123" w:type="dxa"/>
              <w:left w:w="-123" w:type="dxa"/>
              <w:bottom w:w="-123" w:type="dxa"/>
              <w:right w:w="-123" w:type="dxa"/>
            </w:tcMar>
            <w:vAlign w:val="center"/>
          </w:tcPr>
          <w:p w14:paraId="77BB5567" w14:textId="77777777" w:rsidR="00BD7F19" w:rsidRDefault="00000000">
            <w:pPr>
              <w:jc w:val="center"/>
              <w:rPr>
                <w:b/>
                <w:color w:val="FFFFFF"/>
                <w:sz w:val="22"/>
                <w:szCs w:val="22"/>
              </w:rPr>
            </w:pPr>
            <w:r>
              <w:rPr>
                <w:b/>
                <w:color w:val="FFFFFF"/>
                <w:sz w:val="22"/>
                <w:szCs w:val="22"/>
              </w:rPr>
              <w:t>Label</w:t>
            </w:r>
          </w:p>
        </w:tc>
        <w:tc>
          <w:tcPr>
            <w:tcW w:w="2730" w:type="dxa"/>
            <w:tcBorders>
              <w:top w:val="nil"/>
              <w:bottom w:val="nil"/>
              <w:right w:val="nil"/>
            </w:tcBorders>
            <w:shd w:val="clear" w:color="auto" w:fill="A5A5A5"/>
            <w:tcMar>
              <w:top w:w="-123" w:type="dxa"/>
              <w:left w:w="-123" w:type="dxa"/>
              <w:bottom w:w="-123" w:type="dxa"/>
              <w:right w:w="-123" w:type="dxa"/>
            </w:tcMar>
            <w:vAlign w:val="center"/>
          </w:tcPr>
          <w:p w14:paraId="68C83A70" w14:textId="77777777" w:rsidR="00BD7F19" w:rsidRDefault="00000000">
            <w:pPr>
              <w:jc w:val="both"/>
              <w:rPr>
                <w:b/>
                <w:color w:val="FFFFFF"/>
                <w:sz w:val="22"/>
                <w:szCs w:val="22"/>
              </w:rPr>
            </w:pPr>
            <w:r>
              <w:rPr>
                <w:b/>
                <w:color w:val="FFFFFF"/>
                <w:sz w:val="22"/>
                <w:szCs w:val="22"/>
              </w:rPr>
              <w:t>Product Names</w:t>
            </w:r>
          </w:p>
        </w:tc>
      </w:tr>
      <w:tr w:rsidR="00BD7F19" w14:paraId="6901647C"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3EDAACF3"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6629B493"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Animal and By-products</w:t>
            </w:r>
          </w:p>
        </w:tc>
      </w:tr>
      <w:tr w:rsidR="00BD7F19" w14:paraId="3AB4AA84" w14:textId="77777777">
        <w:trPr>
          <w:jc w:val="center"/>
        </w:trPr>
        <w:tc>
          <w:tcPr>
            <w:tcW w:w="1290" w:type="dxa"/>
            <w:tcBorders>
              <w:top w:val="nil"/>
              <w:left w:val="nil"/>
              <w:bottom w:val="nil"/>
            </w:tcBorders>
            <w:tcMar>
              <w:top w:w="-123" w:type="dxa"/>
              <w:left w:w="-123" w:type="dxa"/>
              <w:bottom w:w="-123" w:type="dxa"/>
              <w:right w:w="-123" w:type="dxa"/>
            </w:tcMar>
            <w:vAlign w:val="center"/>
          </w:tcPr>
          <w:p w14:paraId="7578D743"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2</w:t>
            </w:r>
          </w:p>
        </w:tc>
        <w:tc>
          <w:tcPr>
            <w:tcW w:w="2730" w:type="dxa"/>
            <w:tcBorders>
              <w:top w:val="nil"/>
              <w:bottom w:val="nil"/>
              <w:right w:val="nil"/>
            </w:tcBorders>
            <w:tcMar>
              <w:top w:w="-123" w:type="dxa"/>
              <w:left w:w="-123" w:type="dxa"/>
              <w:bottom w:w="-123" w:type="dxa"/>
              <w:right w:w="-123" w:type="dxa"/>
            </w:tcMar>
            <w:vAlign w:val="center"/>
          </w:tcPr>
          <w:p w14:paraId="37E72CF6"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Vegetables, Fruits and Plants</w:t>
            </w:r>
          </w:p>
        </w:tc>
      </w:tr>
      <w:tr w:rsidR="00BD7F19" w14:paraId="59D0CC1D"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3FFE58EE"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BA6672C"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Food and Preparations</w:t>
            </w:r>
          </w:p>
        </w:tc>
      </w:tr>
      <w:tr w:rsidR="00BD7F19" w14:paraId="4A358681"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A33592A"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4</w:t>
            </w:r>
          </w:p>
        </w:tc>
        <w:tc>
          <w:tcPr>
            <w:tcW w:w="2730" w:type="dxa"/>
            <w:tcBorders>
              <w:top w:val="nil"/>
              <w:bottom w:val="nil"/>
              <w:right w:val="nil"/>
            </w:tcBorders>
            <w:tcMar>
              <w:top w:w="-123" w:type="dxa"/>
              <w:left w:w="-123" w:type="dxa"/>
              <w:bottom w:w="-123" w:type="dxa"/>
              <w:right w:w="-123" w:type="dxa"/>
            </w:tcMar>
            <w:vAlign w:val="center"/>
          </w:tcPr>
          <w:p w14:paraId="5EF077EC"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Energy Drilling and Mining</w:t>
            </w:r>
          </w:p>
        </w:tc>
      </w:tr>
      <w:tr w:rsidR="00BD7F19" w14:paraId="4B2FA669"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0275E0AD"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F391034"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Chemicals</w:t>
            </w:r>
          </w:p>
        </w:tc>
      </w:tr>
      <w:tr w:rsidR="00BD7F19" w14:paraId="12C8B804" w14:textId="77777777">
        <w:trPr>
          <w:jc w:val="center"/>
        </w:trPr>
        <w:tc>
          <w:tcPr>
            <w:tcW w:w="1290" w:type="dxa"/>
            <w:tcBorders>
              <w:top w:val="nil"/>
              <w:left w:val="nil"/>
              <w:bottom w:val="nil"/>
            </w:tcBorders>
            <w:tcMar>
              <w:top w:w="-123" w:type="dxa"/>
              <w:left w:w="-123" w:type="dxa"/>
              <w:bottom w:w="-123" w:type="dxa"/>
              <w:right w:w="-123" w:type="dxa"/>
            </w:tcMar>
            <w:vAlign w:val="center"/>
          </w:tcPr>
          <w:p w14:paraId="7E0FDCF0"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6</w:t>
            </w:r>
          </w:p>
        </w:tc>
        <w:tc>
          <w:tcPr>
            <w:tcW w:w="2730" w:type="dxa"/>
            <w:tcBorders>
              <w:top w:val="nil"/>
              <w:bottom w:val="nil"/>
              <w:right w:val="nil"/>
            </w:tcBorders>
            <w:tcMar>
              <w:top w:w="-123" w:type="dxa"/>
              <w:left w:w="-123" w:type="dxa"/>
              <w:bottom w:w="-123" w:type="dxa"/>
              <w:right w:w="-123" w:type="dxa"/>
            </w:tcMar>
            <w:vAlign w:val="center"/>
          </w:tcPr>
          <w:p w14:paraId="419BD860"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Chemical Manufacturing</w:t>
            </w:r>
          </w:p>
        </w:tc>
      </w:tr>
      <w:tr w:rsidR="00BD7F19" w14:paraId="193A8419"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39481C76"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E78BEC0"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Raw Manufacturing</w:t>
            </w:r>
          </w:p>
        </w:tc>
      </w:tr>
      <w:tr w:rsidR="00BD7F19" w14:paraId="72E5650F" w14:textId="77777777">
        <w:trPr>
          <w:jc w:val="center"/>
        </w:trPr>
        <w:tc>
          <w:tcPr>
            <w:tcW w:w="1290" w:type="dxa"/>
            <w:tcBorders>
              <w:top w:val="nil"/>
              <w:left w:val="nil"/>
              <w:bottom w:val="nil"/>
            </w:tcBorders>
            <w:tcMar>
              <w:top w:w="-123" w:type="dxa"/>
              <w:left w:w="-123" w:type="dxa"/>
              <w:bottom w:w="-123" w:type="dxa"/>
              <w:right w:w="-123" w:type="dxa"/>
            </w:tcMar>
            <w:vAlign w:val="center"/>
          </w:tcPr>
          <w:p w14:paraId="74EA7D55"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8</w:t>
            </w:r>
          </w:p>
        </w:tc>
        <w:tc>
          <w:tcPr>
            <w:tcW w:w="2730" w:type="dxa"/>
            <w:tcBorders>
              <w:top w:val="nil"/>
              <w:bottom w:val="nil"/>
              <w:right w:val="nil"/>
            </w:tcBorders>
            <w:tcMar>
              <w:top w:w="-123" w:type="dxa"/>
              <w:left w:w="-123" w:type="dxa"/>
              <w:bottom w:w="-123" w:type="dxa"/>
              <w:right w:w="-123" w:type="dxa"/>
            </w:tcMar>
            <w:vAlign w:val="center"/>
          </w:tcPr>
          <w:p w14:paraId="62D7264E"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Wood Products</w:t>
            </w:r>
          </w:p>
        </w:tc>
      </w:tr>
      <w:tr w:rsidR="00BD7F19" w14:paraId="41EDBF19"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6562F1C6"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9</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FE2268D"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Clothing and Accessories</w:t>
            </w:r>
          </w:p>
        </w:tc>
      </w:tr>
      <w:tr w:rsidR="00BD7F19" w14:paraId="2670FDF2" w14:textId="77777777">
        <w:trPr>
          <w:jc w:val="center"/>
        </w:trPr>
        <w:tc>
          <w:tcPr>
            <w:tcW w:w="1290" w:type="dxa"/>
            <w:tcBorders>
              <w:top w:val="nil"/>
              <w:left w:val="nil"/>
              <w:bottom w:val="nil"/>
            </w:tcBorders>
            <w:tcMar>
              <w:top w:w="-123" w:type="dxa"/>
              <w:left w:w="-123" w:type="dxa"/>
              <w:bottom w:w="-123" w:type="dxa"/>
              <w:right w:w="-123" w:type="dxa"/>
            </w:tcMar>
            <w:vAlign w:val="center"/>
          </w:tcPr>
          <w:p w14:paraId="58C8EDAF"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10</w:t>
            </w:r>
          </w:p>
        </w:tc>
        <w:tc>
          <w:tcPr>
            <w:tcW w:w="2730" w:type="dxa"/>
            <w:tcBorders>
              <w:top w:val="nil"/>
              <w:bottom w:val="nil"/>
              <w:right w:val="nil"/>
            </w:tcBorders>
            <w:tcMar>
              <w:top w:w="-123" w:type="dxa"/>
              <w:left w:w="-123" w:type="dxa"/>
              <w:bottom w:w="-123" w:type="dxa"/>
              <w:right w:w="-123" w:type="dxa"/>
            </w:tcMar>
            <w:vAlign w:val="center"/>
          </w:tcPr>
          <w:p w14:paraId="2F5336FB"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Textile</w:t>
            </w:r>
          </w:p>
        </w:tc>
      </w:tr>
      <w:tr w:rsidR="00BD7F19" w14:paraId="12F0D645"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57CB00AF"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21E61643"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Metals</w:t>
            </w:r>
          </w:p>
        </w:tc>
      </w:tr>
      <w:tr w:rsidR="00BD7F19" w14:paraId="6D19C642"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C58C4F2"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12</w:t>
            </w:r>
          </w:p>
        </w:tc>
        <w:tc>
          <w:tcPr>
            <w:tcW w:w="2730" w:type="dxa"/>
            <w:tcBorders>
              <w:top w:val="nil"/>
              <w:bottom w:val="nil"/>
              <w:right w:val="nil"/>
            </w:tcBorders>
            <w:tcMar>
              <w:top w:w="-123" w:type="dxa"/>
              <w:left w:w="-123" w:type="dxa"/>
              <w:bottom w:w="-123" w:type="dxa"/>
              <w:right w:w="-123" w:type="dxa"/>
            </w:tcMar>
            <w:vAlign w:val="center"/>
          </w:tcPr>
          <w:p w14:paraId="34885460"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Machinery and Construction</w:t>
            </w:r>
          </w:p>
        </w:tc>
      </w:tr>
      <w:tr w:rsidR="00BD7F19" w14:paraId="7521262D"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10D7B496"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3E379378"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Transportation</w:t>
            </w:r>
          </w:p>
        </w:tc>
      </w:tr>
      <w:tr w:rsidR="00BD7F19" w14:paraId="4700F56B" w14:textId="77777777">
        <w:trPr>
          <w:jc w:val="center"/>
        </w:trPr>
        <w:tc>
          <w:tcPr>
            <w:tcW w:w="1290" w:type="dxa"/>
            <w:tcBorders>
              <w:top w:val="nil"/>
              <w:left w:val="nil"/>
              <w:bottom w:val="nil"/>
            </w:tcBorders>
            <w:tcMar>
              <w:top w:w="-123" w:type="dxa"/>
              <w:left w:w="-123" w:type="dxa"/>
              <w:bottom w:w="-123" w:type="dxa"/>
              <w:right w:w="-123" w:type="dxa"/>
            </w:tcMar>
            <w:vAlign w:val="center"/>
          </w:tcPr>
          <w:p w14:paraId="13C28669"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14</w:t>
            </w:r>
          </w:p>
        </w:tc>
        <w:tc>
          <w:tcPr>
            <w:tcW w:w="2730" w:type="dxa"/>
            <w:tcBorders>
              <w:top w:val="nil"/>
              <w:bottom w:val="nil"/>
              <w:right w:val="nil"/>
            </w:tcBorders>
            <w:tcMar>
              <w:top w:w="-123" w:type="dxa"/>
              <w:left w:w="-123" w:type="dxa"/>
              <w:bottom w:w="-123" w:type="dxa"/>
              <w:right w:w="-123" w:type="dxa"/>
            </w:tcMar>
            <w:vAlign w:val="center"/>
          </w:tcPr>
          <w:p w14:paraId="28AB1993"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Weapons</w:t>
            </w:r>
          </w:p>
        </w:tc>
      </w:tr>
      <w:tr w:rsidR="00BD7F19" w14:paraId="32650895"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0AD3DB9F"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C9D1CC1"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Daily Instruments</w:t>
            </w:r>
          </w:p>
        </w:tc>
      </w:tr>
      <w:tr w:rsidR="00BD7F19" w14:paraId="5D959C7E" w14:textId="77777777">
        <w:trPr>
          <w:jc w:val="center"/>
        </w:trPr>
        <w:tc>
          <w:tcPr>
            <w:tcW w:w="1290" w:type="dxa"/>
            <w:tcBorders>
              <w:top w:val="nil"/>
              <w:left w:val="nil"/>
              <w:bottom w:val="nil"/>
            </w:tcBorders>
            <w:tcMar>
              <w:top w:w="-123" w:type="dxa"/>
              <w:left w:w="-123" w:type="dxa"/>
              <w:bottom w:w="-123" w:type="dxa"/>
              <w:right w:w="-123" w:type="dxa"/>
            </w:tcMar>
            <w:vAlign w:val="center"/>
          </w:tcPr>
          <w:p w14:paraId="69070854"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16</w:t>
            </w:r>
          </w:p>
        </w:tc>
        <w:tc>
          <w:tcPr>
            <w:tcW w:w="2730" w:type="dxa"/>
            <w:tcBorders>
              <w:top w:val="nil"/>
              <w:bottom w:val="nil"/>
              <w:right w:val="nil"/>
            </w:tcBorders>
            <w:tcMar>
              <w:top w:w="-123" w:type="dxa"/>
              <w:left w:w="-123" w:type="dxa"/>
              <w:bottom w:w="-123" w:type="dxa"/>
              <w:right w:w="-123" w:type="dxa"/>
            </w:tcMar>
            <w:vAlign w:val="center"/>
          </w:tcPr>
          <w:p w14:paraId="4DD7744D"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Precious Stones</w:t>
            </w:r>
          </w:p>
        </w:tc>
      </w:tr>
      <w:tr w:rsidR="00BD7F19" w14:paraId="3AE9DAA0"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4FA1648A"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D9AE902"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High-complexity Products</w:t>
            </w:r>
          </w:p>
        </w:tc>
      </w:tr>
      <w:tr w:rsidR="00BD7F19" w14:paraId="4F357630"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875115B" w14:textId="77777777" w:rsidR="00BD7F19" w:rsidRDefault="00000000">
            <w:pPr>
              <w:widowControl w:val="0"/>
              <w:pBdr>
                <w:top w:val="nil"/>
                <w:left w:val="nil"/>
                <w:bottom w:val="nil"/>
                <w:right w:val="nil"/>
                <w:between w:val="nil"/>
              </w:pBdr>
              <w:spacing w:line="276" w:lineRule="auto"/>
              <w:jc w:val="center"/>
              <w:rPr>
                <w:color w:val="7B7B7B"/>
              </w:rPr>
            </w:pPr>
            <w:r>
              <w:rPr>
                <w:color w:val="7B7B7B"/>
                <w:sz w:val="20"/>
                <w:szCs w:val="20"/>
              </w:rPr>
              <w:t>18</w:t>
            </w:r>
          </w:p>
        </w:tc>
        <w:tc>
          <w:tcPr>
            <w:tcW w:w="2730" w:type="dxa"/>
            <w:tcBorders>
              <w:top w:val="nil"/>
              <w:bottom w:val="nil"/>
              <w:right w:val="nil"/>
            </w:tcBorders>
            <w:tcMar>
              <w:top w:w="-123" w:type="dxa"/>
              <w:left w:w="-123" w:type="dxa"/>
              <w:bottom w:w="-123" w:type="dxa"/>
              <w:right w:w="-123" w:type="dxa"/>
            </w:tcMar>
            <w:vAlign w:val="center"/>
          </w:tcPr>
          <w:p w14:paraId="7E2792BE" w14:textId="77777777" w:rsidR="00BD7F19" w:rsidRDefault="00000000">
            <w:pPr>
              <w:widowControl w:val="0"/>
              <w:pBdr>
                <w:top w:val="nil"/>
                <w:left w:val="nil"/>
                <w:bottom w:val="nil"/>
                <w:right w:val="nil"/>
                <w:between w:val="nil"/>
              </w:pBdr>
              <w:spacing w:line="276" w:lineRule="auto"/>
              <w:rPr>
                <w:color w:val="7B7B7B"/>
              </w:rPr>
            </w:pPr>
            <w:r>
              <w:rPr>
                <w:color w:val="7B7B7B"/>
                <w:sz w:val="20"/>
                <w:szCs w:val="20"/>
              </w:rPr>
              <w:t>Services and Utilities</w:t>
            </w:r>
          </w:p>
        </w:tc>
      </w:tr>
    </w:tbl>
    <w:p w14:paraId="5103F052" w14:textId="77777777" w:rsidR="00BD7F19" w:rsidRDefault="00000000">
      <w:pPr>
        <w:jc w:val="center"/>
        <w:rPr>
          <w:sz w:val="22"/>
          <w:szCs w:val="22"/>
        </w:rPr>
      </w:pPr>
      <w:r>
        <w:rPr>
          <w:sz w:val="22"/>
          <w:szCs w:val="22"/>
        </w:rPr>
        <w:t>Table 7. Products Labeling</w:t>
      </w:r>
    </w:p>
    <w:p w14:paraId="1F274E4F" w14:textId="77777777" w:rsidR="00BD7F19" w:rsidRDefault="00BD7F19">
      <w:pPr>
        <w:jc w:val="center"/>
      </w:pPr>
    </w:p>
    <w:p w14:paraId="41F40258" w14:textId="58DA03E1" w:rsidR="00BD7F19" w:rsidRDefault="00000000">
      <w:pPr>
        <w:jc w:val="both"/>
      </w:pPr>
      <w:r>
        <w:t xml:space="preserve">Figures 4a-4c show an economic panel for </w:t>
      </w:r>
      <w:r w:rsidR="00063A8D">
        <w:t>Colombia</w:t>
      </w:r>
      <w:r>
        <w:t xml:space="preserve"> in 2013, 2018, and 2021. We can see that for different percentages of heuristic total export growth, the ECIs of </w:t>
      </w:r>
      <w:r w:rsidR="00063A8D">
        <w:t>Colombia</w:t>
      </w:r>
      <w:r>
        <w:t xml:space="preserve"> actually have different increments. </w:t>
      </w:r>
      <w:r w:rsidR="00167D04">
        <w:t xml:space="preserve">From all </w:t>
      </w:r>
      <w:r w:rsidR="00167D04">
        <w:t>four-line</w:t>
      </w:r>
      <w:r w:rsidR="00167D04">
        <w:t xml:space="preserve"> graphs, we see that Colombia already obtains some great increment in terms of ECI. Most importantly, the higher the budget is, the greater the ECI will be. This means that in both </w:t>
      </w:r>
      <w:r w:rsidR="00167D04">
        <w:t xml:space="preserve">the </w:t>
      </w:r>
      <w:r w:rsidR="00167D04">
        <w:t xml:space="preserve">short term and long term, Colombia still has great room to improve. For the case of 5 percent growth, the ECI increment is because of </w:t>
      </w:r>
      <w:r w:rsidR="00167D04">
        <w:t>the S</w:t>
      </w:r>
      <w:r w:rsidR="00167D04">
        <w:t xml:space="preserve">ervices industry, </w:t>
      </w:r>
      <w:r w:rsidR="00167D04">
        <w:t>C</w:t>
      </w:r>
      <w:r w:rsidR="00167D04">
        <w:t xml:space="preserve">hemical </w:t>
      </w:r>
      <w:r w:rsidR="00167D04">
        <w:t>M</w:t>
      </w:r>
      <w:r w:rsidR="00167D04">
        <w:t>anufacturing</w:t>
      </w:r>
      <w:r w:rsidR="00167D04">
        <w:t>,</w:t>
      </w:r>
      <w:r w:rsidR="00167D04">
        <w:t xml:space="preserve"> and </w:t>
      </w:r>
      <w:r w:rsidR="00167D04">
        <w:t>F</w:t>
      </w:r>
      <w:r w:rsidR="00167D04">
        <w:t xml:space="preserve">ood </w:t>
      </w:r>
      <w:r w:rsidR="00167D04">
        <w:t>P</w:t>
      </w:r>
      <w:r w:rsidR="00167D04">
        <w:t xml:space="preserve">roducts. For all cases, we see that the portfolio </w:t>
      </w:r>
      <w:r w:rsidR="00167D04">
        <w:lastRenderedPageBreak/>
        <w:t xml:space="preserve">contains many products, meaning that opportunities </w:t>
      </w:r>
      <w:r w:rsidR="00167D04">
        <w:t>for</w:t>
      </w:r>
      <w:r w:rsidR="00167D04">
        <w:t xml:space="preserve"> increasing ECI </w:t>
      </w:r>
      <w:r w:rsidR="00167D04">
        <w:t>are</w:t>
      </w:r>
      <w:r w:rsidR="00167D04">
        <w:t xml:space="preserve"> much larger than </w:t>
      </w:r>
      <w:r w:rsidR="00167D04">
        <w:t xml:space="preserve">in </w:t>
      </w:r>
      <w:r w:rsidR="00167D04">
        <w:t>other countries, whose portfolio typically dominates by one or more products.</w:t>
      </w:r>
    </w:p>
    <w:p w14:paraId="490AB50C" w14:textId="77777777" w:rsidR="00BD7F19" w:rsidRDefault="00000000">
      <w:pPr>
        <w:jc w:val="both"/>
      </w:pPr>
      <w:r>
        <w:t xml:space="preserve"> </w:t>
      </w:r>
    </w:p>
    <w:p w14:paraId="211B0BA1" w14:textId="77777777" w:rsidR="00167D04" w:rsidRDefault="00167D04" w:rsidP="00167D04">
      <w:pPr>
        <w:jc w:val="both"/>
        <w:rPr>
          <w:b/>
          <w:sz w:val="28"/>
          <w:szCs w:val="28"/>
        </w:rPr>
      </w:pPr>
      <w:r>
        <w:rPr>
          <w:b/>
          <w:noProof/>
          <w:sz w:val="28"/>
          <w:szCs w:val="28"/>
        </w:rPr>
        <w:drawing>
          <wp:inline distT="114300" distB="114300" distL="114300" distR="114300" wp14:anchorId="2599E9F8" wp14:editId="1CB197B4">
            <wp:extent cx="5943600" cy="2095500"/>
            <wp:effectExtent l="0" t="0" r="0" b="0"/>
            <wp:docPr id="446115403" name="Picture 446115403"/>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2095500"/>
                    </a:xfrm>
                    <a:prstGeom prst="rect">
                      <a:avLst/>
                    </a:prstGeom>
                    <a:ln/>
                  </pic:spPr>
                </pic:pic>
              </a:graphicData>
            </a:graphic>
          </wp:inline>
        </w:drawing>
      </w:r>
    </w:p>
    <w:p w14:paraId="3A400EB3" w14:textId="291880AD" w:rsidR="00BD7F19" w:rsidRPr="00167D04" w:rsidRDefault="00000000">
      <w:pPr>
        <w:jc w:val="both"/>
        <w:rPr>
          <w:i/>
          <w:color w:val="444499"/>
          <w:sz w:val="20"/>
          <w:szCs w:val="20"/>
        </w:rPr>
      </w:pPr>
      <w:r>
        <w:rPr>
          <w:noProof/>
        </w:rPr>
        <w:drawing>
          <wp:inline distT="114300" distB="114300" distL="114300" distR="114300" wp14:anchorId="4C90821B" wp14:editId="5EDC2CD5">
            <wp:extent cx="5887890" cy="2005013"/>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887890" cy="2005013"/>
                    </a:xfrm>
                    <a:prstGeom prst="rect">
                      <a:avLst/>
                    </a:prstGeom>
                    <a:ln/>
                  </pic:spPr>
                </pic:pic>
              </a:graphicData>
            </a:graphic>
          </wp:inline>
        </w:drawing>
      </w:r>
    </w:p>
    <w:p w14:paraId="4680B800" w14:textId="3F410DB8" w:rsidR="00BD7F19" w:rsidRDefault="00000000">
      <w:pPr>
        <w:jc w:val="center"/>
        <w:rPr>
          <w:sz w:val="22"/>
          <w:szCs w:val="22"/>
        </w:rPr>
      </w:pPr>
      <w:r>
        <w:rPr>
          <w:sz w:val="22"/>
          <w:szCs w:val="22"/>
        </w:rPr>
        <w:t xml:space="preserve">Figure 4a. Greedy-Based ECI Improvement Results of </w:t>
      </w:r>
      <w:r w:rsidR="00063A8D">
        <w:rPr>
          <w:sz w:val="22"/>
          <w:szCs w:val="22"/>
        </w:rPr>
        <w:t>Colombia</w:t>
      </w:r>
      <w:r>
        <w:rPr>
          <w:sz w:val="22"/>
          <w:szCs w:val="22"/>
        </w:rPr>
        <w:t xml:space="preserve"> with Different Budgets (2013)</w:t>
      </w:r>
    </w:p>
    <w:p w14:paraId="531FC312" w14:textId="77777777" w:rsidR="00BD7F19" w:rsidRDefault="00BD7F19">
      <w:pPr>
        <w:jc w:val="center"/>
      </w:pPr>
    </w:p>
    <w:p w14:paraId="5F55A59C" w14:textId="7677533D" w:rsidR="00BD7F19" w:rsidRDefault="00167D04">
      <w:pPr>
        <w:jc w:val="both"/>
      </w:pPr>
      <w:r>
        <w:rPr>
          <w:b/>
          <w:noProof/>
          <w:sz w:val="28"/>
          <w:szCs w:val="28"/>
        </w:rPr>
        <w:drawing>
          <wp:inline distT="114300" distB="114300" distL="114300" distR="114300" wp14:anchorId="5AC13110" wp14:editId="17CC7E1E">
            <wp:extent cx="5727700" cy="2325348"/>
            <wp:effectExtent l="0" t="0" r="0" b="0"/>
            <wp:docPr id="1864913497" name="Picture 1864913497"/>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5727700" cy="2325348"/>
                    </a:xfrm>
                    <a:prstGeom prst="rect">
                      <a:avLst/>
                    </a:prstGeom>
                    <a:ln/>
                  </pic:spPr>
                </pic:pic>
              </a:graphicData>
            </a:graphic>
          </wp:inline>
        </w:drawing>
      </w:r>
    </w:p>
    <w:p w14:paraId="19F49817" w14:textId="17344176" w:rsidR="00167D04" w:rsidRDefault="00167D04" w:rsidP="00167D04">
      <w:pPr>
        <w:jc w:val="center"/>
        <w:rPr>
          <w:sz w:val="22"/>
          <w:szCs w:val="22"/>
        </w:rPr>
      </w:pPr>
      <w:r>
        <w:rPr>
          <w:sz w:val="22"/>
          <w:szCs w:val="22"/>
        </w:rPr>
        <w:t>Table 8</w:t>
      </w:r>
      <w:r>
        <w:rPr>
          <w:sz w:val="22"/>
          <w:szCs w:val="22"/>
        </w:rPr>
        <w:t>a</w:t>
      </w:r>
      <w:r>
        <w:rPr>
          <w:sz w:val="22"/>
          <w:szCs w:val="22"/>
        </w:rPr>
        <w:t xml:space="preserve">. Portfolio of </w:t>
      </w:r>
      <w:r>
        <w:rPr>
          <w:sz w:val="22"/>
          <w:szCs w:val="22"/>
        </w:rPr>
        <w:t>Colombia</w:t>
      </w:r>
      <w:r>
        <w:rPr>
          <w:sz w:val="22"/>
          <w:szCs w:val="22"/>
        </w:rPr>
        <w:t xml:space="preserve"> (201</w:t>
      </w:r>
      <w:r>
        <w:rPr>
          <w:sz w:val="22"/>
          <w:szCs w:val="22"/>
        </w:rPr>
        <w:t>3</w:t>
      </w:r>
      <w:r>
        <w:rPr>
          <w:sz w:val="22"/>
          <w:szCs w:val="22"/>
        </w:rPr>
        <w:t>)</w:t>
      </w:r>
    </w:p>
    <w:p w14:paraId="605437FC" w14:textId="77777777" w:rsidR="00167D04" w:rsidRDefault="00167D04">
      <w:pPr>
        <w:jc w:val="both"/>
      </w:pPr>
    </w:p>
    <w:p w14:paraId="73BF36BF" w14:textId="1393D2EF" w:rsidR="00BD7F19" w:rsidRDefault="00000000">
      <w:pPr>
        <w:jc w:val="both"/>
      </w:pPr>
      <w:r>
        <w:t xml:space="preserve">For further suggestions on </w:t>
      </w:r>
      <w:r w:rsidR="00063A8D">
        <w:t>Colombia</w:t>
      </w:r>
      <w:r>
        <w:t xml:space="preserve">’s development in the future, we also offer the optimization result based on its export data in 2018. </w:t>
      </w:r>
      <w:r w:rsidR="00167D04">
        <w:t>Below is the economic panel for Colombia in 2018. We can see that for different percentages of heuristic total export growth, the ECI growth pattern of Colombia is similar to the one in 2013. From all the four</w:t>
      </w:r>
      <w:r w:rsidR="00167D04">
        <w:t>-</w:t>
      </w:r>
      <w:r w:rsidR="00167D04">
        <w:t xml:space="preserve">line graphs, we see that Colombia </w:t>
      </w:r>
      <w:r w:rsidR="00167D04">
        <w:t>can obtain</w:t>
      </w:r>
      <w:r w:rsidR="00167D04">
        <w:t xml:space="preserve"> some great increment in terms of ECI. Most importantly, the higher the budget is, the greater the ECI will be. This means that in both </w:t>
      </w:r>
      <w:r w:rsidR="00167D04">
        <w:t xml:space="preserve">the </w:t>
      </w:r>
      <w:r w:rsidR="00167D04">
        <w:t xml:space="preserve">short term and long term, </w:t>
      </w:r>
      <w:r w:rsidR="00167D04">
        <w:lastRenderedPageBreak/>
        <w:t xml:space="preserve">Colombia still has great room to improve. For the case of 5 and 10 percent growth, ECI increment can be attributed to the development of </w:t>
      </w:r>
      <w:r w:rsidR="00167D04">
        <w:t>Wood Products</w:t>
      </w:r>
      <w:r w:rsidR="00167D04">
        <w:t xml:space="preserve">. For the case of 15 and 20 percent growth, ECI can grow much higher than the previous two cases, mainly because of the introduction of </w:t>
      </w:r>
      <w:r w:rsidR="00167D04">
        <w:t>M</w:t>
      </w:r>
      <w:r w:rsidR="00167D04">
        <w:t xml:space="preserve">achinery and </w:t>
      </w:r>
      <w:r w:rsidR="00167D04">
        <w:t>C</w:t>
      </w:r>
      <w:r w:rsidR="00167D04">
        <w:t xml:space="preserve">onstruction. Therefore, for future strategy, Colombia should prioritize </w:t>
      </w:r>
      <w:r w:rsidR="00167D04">
        <w:t xml:space="preserve">the </w:t>
      </w:r>
      <w:r w:rsidR="00167D04">
        <w:t xml:space="preserve">development of </w:t>
      </w:r>
      <w:r w:rsidR="00167D04">
        <w:t>these industries</w:t>
      </w:r>
      <w:r w:rsidR="00167D04">
        <w:t xml:space="preserve"> in order to optimize ECI.</w:t>
      </w:r>
    </w:p>
    <w:p w14:paraId="09A43EDE" w14:textId="77777777" w:rsidR="00BD7F19" w:rsidRDefault="00BD7F19">
      <w:pPr>
        <w:jc w:val="both"/>
      </w:pPr>
    </w:p>
    <w:p w14:paraId="528F2FF1" w14:textId="77777777" w:rsidR="00167D04" w:rsidRDefault="00167D04" w:rsidP="00167D04">
      <w:pPr>
        <w:jc w:val="both"/>
        <w:rPr>
          <w:b/>
          <w:sz w:val="28"/>
          <w:szCs w:val="28"/>
        </w:rPr>
      </w:pPr>
      <w:r>
        <w:rPr>
          <w:b/>
          <w:noProof/>
          <w:sz w:val="28"/>
          <w:szCs w:val="28"/>
        </w:rPr>
        <w:drawing>
          <wp:inline distT="114300" distB="114300" distL="114300" distR="114300" wp14:anchorId="486F2A4D" wp14:editId="6BB69CE5">
            <wp:extent cx="5943600" cy="2108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2108200"/>
                    </a:xfrm>
                    <a:prstGeom prst="rect">
                      <a:avLst/>
                    </a:prstGeom>
                    <a:ln/>
                  </pic:spPr>
                </pic:pic>
              </a:graphicData>
            </a:graphic>
          </wp:inline>
        </w:drawing>
      </w:r>
    </w:p>
    <w:p w14:paraId="5A2F0E5C" w14:textId="77777777" w:rsidR="00167D04" w:rsidRDefault="00167D04" w:rsidP="00167D04">
      <w:pPr>
        <w:jc w:val="both"/>
        <w:rPr>
          <w:b/>
          <w:sz w:val="28"/>
          <w:szCs w:val="28"/>
        </w:rPr>
      </w:pPr>
      <w:r>
        <w:rPr>
          <w:b/>
          <w:noProof/>
          <w:sz w:val="28"/>
          <w:szCs w:val="28"/>
        </w:rPr>
        <w:drawing>
          <wp:inline distT="114300" distB="114300" distL="114300" distR="114300" wp14:anchorId="57ADDD9F" wp14:editId="441C1446">
            <wp:extent cx="5712962" cy="2033588"/>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12962" cy="2033588"/>
                    </a:xfrm>
                    <a:prstGeom prst="rect">
                      <a:avLst/>
                    </a:prstGeom>
                    <a:ln/>
                  </pic:spPr>
                </pic:pic>
              </a:graphicData>
            </a:graphic>
          </wp:inline>
        </w:drawing>
      </w:r>
    </w:p>
    <w:p w14:paraId="24946B97" w14:textId="253FCEFD" w:rsidR="00167D04" w:rsidRPr="00167D04" w:rsidRDefault="00167D04" w:rsidP="00167D04">
      <w:pPr>
        <w:jc w:val="center"/>
      </w:pPr>
      <w:r>
        <w:rPr>
          <w:sz w:val="22"/>
          <w:szCs w:val="22"/>
        </w:rPr>
        <w:t>Figure 4b. Greedy-Based ECI Improvement Results of Colombia with Different Budgets (2018</w:t>
      </w:r>
      <w:r>
        <w:rPr>
          <w:sz w:val="22"/>
          <w:szCs w:val="22"/>
        </w:rPr>
        <w:t>)</w:t>
      </w:r>
    </w:p>
    <w:p w14:paraId="5A46C925" w14:textId="77777777" w:rsidR="00167D04" w:rsidRDefault="00167D04" w:rsidP="00167D04">
      <w:pPr>
        <w:jc w:val="both"/>
        <w:rPr>
          <w:b/>
          <w:sz w:val="28"/>
          <w:szCs w:val="28"/>
        </w:rPr>
      </w:pPr>
    </w:p>
    <w:p w14:paraId="7D0C7953" w14:textId="1BF49841" w:rsidR="00BD7F19" w:rsidRPr="00167D04" w:rsidRDefault="00167D04">
      <w:pPr>
        <w:jc w:val="both"/>
        <w:rPr>
          <w:b/>
          <w:sz w:val="28"/>
          <w:szCs w:val="28"/>
        </w:rPr>
      </w:pPr>
      <w:r>
        <w:rPr>
          <w:b/>
          <w:noProof/>
          <w:sz w:val="28"/>
          <w:szCs w:val="28"/>
        </w:rPr>
        <w:drawing>
          <wp:inline distT="114300" distB="114300" distL="114300" distR="114300" wp14:anchorId="04429068" wp14:editId="08AAAA7F">
            <wp:extent cx="5943600" cy="1930400"/>
            <wp:effectExtent l="0" t="0" r="0" b="0"/>
            <wp:docPr id="3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4"/>
                    <a:srcRect/>
                    <a:stretch>
                      <a:fillRect/>
                    </a:stretch>
                  </pic:blipFill>
                  <pic:spPr>
                    <a:xfrm>
                      <a:off x="0" y="0"/>
                      <a:ext cx="5943600" cy="1930400"/>
                    </a:xfrm>
                    <a:prstGeom prst="rect">
                      <a:avLst/>
                    </a:prstGeom>
                    <a:ln/>
                  </pic:spPr>
                </pic:pic>
              </a:graphicData>
            </a:graphic>
          </wp:inline>
        </w:drawing>
      </w:r>
    </w:p>
    <w:p w14:paraId="44156D89" w14:textId="77777777" w:rsidR="00167D04" w:rsidRDefault="00167D04" w:rsidP="00167D04">
      <w:pPr>
        <w:jc w:val="center"/>
        <w:rPr>
          <w:sz w:val="22"/>
          <w:szCs w:val="22"/>
        </w:rPr>
      </w:pPr>
      <w:r>
        <w:rPr>
          <w:sz w:val="22"/>
          <w:szCs w:val="22"/>
        </w:rPr>
        <w:t>Table 8b. Portfolio of Colombia (2018)</w:t>
      </w:r>
    </w:p>
    <w:p w14:paraId="30E21488" w14:textId="77777777" w:rsidR="00BD7F19" w:rsidRDefault="00BD7F19"/>
    <w:p w14:paraId="6C3A7C06" w14:textId="6AB89EA3" w:rsidR="00BD7F19" w:rsidRDefault="00000000">
      <w:r>
        <w:t>To compare with the performance in 2013 and 2018, we also re-examine suggested strategies for 2021. For 2021, a 5</w:t>
      </w:r>
      <w:r w:rsidR="00630961">
        <w:t xml:space="preserve"> and 10</w:t>
      </w:r>
      <w:r>
        <w:t xml:space="preserve"> percent increase in export would emphasize </w:t>
      </w:r>
      <w:r w:rsidR="00630961">
        <w:t>Animals and By-products and</w:t>
      </w:r>
      <w:r w:rsidR="00630961" w:rsidRPr="00630961">
        <w:t xml:space="preserve"> </w:t>
      </w:r>
      <w:r w:rsidR="00630961">
        <w:t>Transportation</w:t>
      </w:r>
      <w:r w:rsidR="00630961">
        <w:t xml:space="preserve"> for 15 and 20 </w:t>
      </w:r>
      <w:r>
        <w:t xml:space="preserve">percent export growth. These strategies go in line with the suggested trajectories based on ECI. A more detailed numerical representation of the portfolio for </w:t>
      </w:r>
      <w:r w:rsidR="00063A8D">
        <w:t>Colombia</w:t>
      </w:r>
      <w:r>
        <w:t xml:space="preserve"> is shown in Table 8c.</w:t>
      </w:r>
    </w:p>
    <w:p w14:paraId="3723BED0" w14:textId="77777777" w:rsidR="00167D04" w:rsidRDefault="00167D04"/>
    <w:p w14:paraId="1AB4E220" w14:textId="2C29821C" w:rsidR="00BD7F19" w:rsidRDefault="00867B58">
      <w:pPr>
        <w:rPr>
          <w:sz w:val="22"/>
          <w:szCs w:val="22"/>
        </w:rPr>
      </w:pPr>
      <w:r>
        <w:rPr>
          <w:noProof/>
          <w:sz w:val="22"/>
          <w:szCs w:val="22"/>
        </w:rPr>
        <w:drawing>
          <wp:inline distT="0" distB="0" distL="0" distR="0" wp14:anchorId="57052D45" wp14:editId="58834EBB">
            <wp:extent cx="5726487" cy="1916597"/>
            <wp:effectExtent l="0" t="0" r="1270" b="1270"/>
            <wp:docPr id="821613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3951" name="Picture 821613951"/>
                    <pic:cNvPicPr/>
                  </pic:nvPicPr>
                  <pic:blipFill rotWithShape="1">
                    <a:blip r:embed="rId25">
                      <a:extLst>
                        <a:ext uri="{28A0092B-C50C-407E-A947-70E740481C1C}">
                          <a14:useLocalDpi xmlns:a14="http://schemas.microsoft.com/office/drawing/2010/main" val="0"/>
                        </a:ext>
                      </a:extLst>
                    </a:blip>
                    <a:srcRect t="4762" b="28300"/>
                    <a:stretch/>
                  </pic:blipFill>
                  <pic:spPr bwMode="auto">
                    <a:xfrm>
                      <a:off x="0" y="0"/>
                      <a:ext cx="5727700" cy="1917003"/>
                    </a:xfrm>
                    <a:prstGeom prst="rect">
                      <a:avLst/>
                    </a:prstGeom>
                    <a:ln>
                      <a:noFill/>
                    </a:ln>
                    <a:extLst>
                      <a:ext uri="{53640926-AAD7-44D8-BBD7-CCE9431645EC}">
                        <a14:shadowObscured xmlns:a14="http://schemas.microsoft.com/office/drawing/2010/main"/>
                      </a:ext>
                    </a:extLst>
                  </pic:spPr>
                </pic:pic>
              </a:graphicData>
            </a:graphic>
          </wp:inline>
        </w:drawing>
      </w:r>
    </w:p>
    <w:p w14:paraId="2853A77D" w14:textId="7CB6CF4A" w:rsidR="00BD7F19" w:rsidRDefault="00867B58">
      <w:pPr>
        <w:jc w:val="center"/>
        <w:rPr>
          <w:sz w:val="22"/>
          <w:szCs w:val="22"/>
        </w:rPr>
      </w:pPr>
      <w:r>
        <w:rPr>
          <w:noProof/>
          <w:sz w:val="22"/>
          <w:szCs w:val="22"/>
        </w:rPr>
        <w:drawing>
          <wp:inline distT="0" distB="0" distL="0" distR="0" wp14:anchorId="0C3B4BA9" wp14:editId="500E7406">
            <wp:extent cx="5725160" cy="1780673"/>
            <wp:effectExtent l="0" t="0" r="2540" b="0"/>
            <wp:docPr id="1661240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0494" name="Picture 1661240494"/>
                    <pic:cNvPicPr/>
                  </pic:nvPicPr>
                  <pic:blipFill rotWithShape="1">
                    <a:blip r:embed="rId26">
                      <a:extLst>
                        <a:ext uri="{28A0092B-C50C-407E-A947-70E740481C1C}">
                          <a14:useLocalDpi xmlns:a14="http://schemas.microsoft.com/office/drawing/2010/main" val="0"/>
                        </a:ext>
                      </a:extLst>
                    </a:blip>
                    <a:srcRect b="17365"/>
                    <a:stretch/>
                  </pic:blipFill>
                  <pic:spPr bwMode="auto">
                    <a:xfrm>
                      <a:off x="0" y="0"/>
                      <a:ext cx="5727700" cy="1781463"/>
                    </a:xfrm>
                    <a:prstGeom prst="rect">
                      <a:avLst/>
                    </a:prstGeom>
                    <a:ln>
                      <a:noFill/>
                    </a:ln>
                    <a:extLst>
                      <a:ext uri="{53640926-AAD7-44D8-BBD7-CCE9431645EC}">
                        <a14:shadowObscured xmlns:a14="http://schemas.microsoft.com/office/drawing/2010/main"/>
                      </a:ext>
                    </a:extLst>
                  </pic:spPr>
                </pic:pic>
              </a:graphicData>
            </a:graphic>
          </wp:inline>
        </w:drawing>
      </w:r>
    </w:p>
    <w:p w14:paraId="2C4D334A" w14:textId="6AB6C591" w:rsidR="00BD7F19" w:rsidRDefault="00000000">
      <w:pPr>
        <w:jc w:val="center"/>
        <w:rPr>
          <w:sz w:val="22"/>
          <w:szCs w:val="22"/>
        </w:rPr>
      </w:pPr>
      <w:r>
        <w:rPr>
          <w:sz w:val="22"/>
          <w:szCs w:val="22"/>
        </w:rPr>
        <w:t xml:space="preserve">Figure 4c. Greedy-Based ECI Improvement Results of </w:t>
      </w:r>
      <w:r w:rsidR="00063A8D">
        <w:rPr>
          <w:sz w:val="22"/>
          <w:szCs w:val="22"/>
        </w:rPr>
        <w:t>Colombia</w:t>
      </w:r>
      <w:r>
        <w:rPr>
          <w:sz w:val="22"/>
          <w:szCs w:val="22"/>
        </w:rPr>
        <w:t xml:space="preserve"> with Different Budgets (2021)</w:t>
      </w:r>
    </w:p>
    <w:p w14:paraId="28B55F4C" w14:textId="77777777" w:rsidR="00BD7F19" w:rsidRDefault="00BD7F19">
      <w:pPr>
        <w:rPr>
          <w:sz w:val="22"/>
          <w:szCs w:val="22"/>
        </w:rPr>
      </w:pPr>
    </w:p>
    <w:tbl>
      <w:tblPr>
        <w:tblW w:w="9216" w:type="dxa"/>
        <w:tblLook w:val="04A0" w:firstRow="1" w:lastRow="0" w:firstColumn="1" w:lastColumn="0" w:noHBand="0" w:noVBand="1"/>
      </w:tblPr>
      <w:tblGrid>
        <w:gridCol w:w="2430"/>
        <w:gridCol w:w="1696"/>
        <w:gridCol w:w="1697"/>
        <w:gridCol w:w="1696"/>
        <w:gridCol w:w="1697"/>
      </w:tblGrid>
      <w:tr w:rsidR="00755D22" w14:paraId="03F30418" w14:textId="77777777" w:rsidTr="00755D22">
        <w:trPr>
          <w:trHeight w:val="275"/>
        </w:trPr>
        <w:tc>
          <w:tcPr>
            <w:tcW w:w="9216" w:type="dxa"/>
            <w:gridSpan w:val="5"/>
            <w:tcBorders>
              <w:top w:val="nil"/>
              <w:left w:val="nil"/>
              <w:bottom w:val="nil"/>
              <w:right w:val="nil"/>
            </w:tcBorders>
            <w:shd w:val="clear" w:color="000000" w:fill="A5A5A5"/>
            <w:vAlign w:val="center"/>
            <w:hideMark/>
          </w:tcPr>
          <w:p w14:paraId="1973A0F8" w14:textId="77777777" w:rsidR="00755D22" w:rsidRDefault="00755D22">
            <w:pPr>
              <w:jc w:val="center"/>
              <w:rPr>
                <w:b/>
                <w:bCs/>
                <w:color w:val="000000"/>
                <w:sz w:val="20"/>
                <w:szCs w:val="20"/>
              </w:rPr>
            </w:pPr>
            <w:r>
              <w:rPr>
                <w:b/>
                <w:bCs/>
                <w:sz w:val="20"/>
                <w:szCs w:val="20"/>
              </w:rPr>
              <w:t>Colombia (2021)</w:t>
            </w:r>
          </w:p>
        </w:tc>
      </w:tr>
      <w:tr w:rsidR="00755D22" w14:paraId="5583FF4F" w14:textId="77777777" w:rsidTr="00755D22">
        <w:trPr>
          <w:trHeight w:val="297"/>
        </w:trPr>
        <w:tc>
          <w:tcPr>
            <w:tcW w:w="2430" w:type="dxa"/>
            <w:tcBorders>
              <w:top w:val="nil"/>
              <w:left w:val="nil"/>
              <w:bottom w:val="nil"/>
              <w:right w:val="nil"/>
            </w:tcBorders>
            <w:shd w:val="clear" w:color="000000" w:fill="EDEDED"/>
            <w:vAlign w:val="center"/>
            <w:hideMark/>
          </w:tcPr>
          <w:p w14:paraId="1CF0BBF7" w14:textId="77777777" w:rsidR="00755D22" w:rsidRDefault="00755D22">
            <w:pPr>
              <w:rPr>
                <w:b/>
                <w:bCs/>
                <w:color w:val="000000"/>
                <w:sz w:val="20"/>
                <w:szCs w:val="20"/>
              </w:rPr>
            </w:pPr>
            <w:r>
              <w:rPr>
                <w:b/>
                <w:bCs/>
                <w:sz w:val="20"/>
                <w:szCs w:val="20"/>
              </w:rPr>
              <w:t>Original ECI</w:t>
            </w:r>
          </w:p>
        </w:tc>
        <w:tc>
          <w:tcPr>
            <w:tcW w:w="6786" w:type="dxa"/>
            <w:gridSpan w:val="4"/>
            <w:tcBorders>
              <w:top w:val="nil"/>
              <w:left w:val="nil"/>
              <w:bottom w:val="nil"/>
              <w:right w:val="nil"/>
            </w:tcBorders>
            <w:shd w:val="clear" w:color="000000" w:fill="EDEDED"/>
            <w:vAlign w:val="center"/>
            <w:hideMark/>
          </w:tcPr>
          <w:p w14:paraId="5A67A724" w14:textId="31F58685" w:rsidR="00755D22" w:rsidRDefault="00EC473D">
            <w:pPr>
              <w:jc w:val="center"/>
              <w:rPr>
                <w:b/>
                <w:bCs/>
                <w:color w:val="000000"/>
                <w:sz w:val="20"/>
                <w:szCs w:val="20"/>
              </w:rPr>
            </w:pPr>
            <w:r w:rsidRPr="00EC473D">
              <w:rPr>
                <w:b/>
                <w:bCs/>
                <w:sz w:val="20"/>
                <w:szCs w:val="20"/>
              </w:rPr>
              <w:t>-1.69</w:t>
            </w:r>
          </w:p>
        </w:tc>
      </w:tr>
      <w:tr w:rsidR="00755D22" w14:paraId="66B23DBE" w14:textId="77777777" w:rsidTr="00755D22">
        <w:trPr>
          <w:trHeight w:val="297"/>
        </w:trPr>
        <w:tc>
          <w:tcPr>
            <w:tcW w:w="2430" w:type="dxa"/>
            <w:tcBorders>
              <w:top w:val="nil"/>
              <w:left w:val="nil"/>
              <w:bottom w:val="nil"/>
              <w:right w:val="nil"/>
            </w:tcBorders>
            <w:shd w:val="clear" w:color="000000" w:fill="FFFFFF"/>
            <w:vAlign w:val="center"/>
            <w:hideMark/>
          </w:tcPr>
          <w:p w14:paraId="43E65928" w14:textId="77777777" w:rsidR="00755D22" w:rsidRDefault="00755D22">
            <w:pPr>
              <w:rPr>
                <w:b/>
                <w:bCs/>
                <w:color w:val="000000"/>
                <w:sz w:val="20"/>
                <w:szCs w:val="20"/>
              </w:rPr>
            </w:pPr>
            <w:r>
              <w:rPr>
                <w:b/>
                <w:bCs/>
                <w:sz w:val="20"/>
                <w:szCs w:val="20"/>
              </w:rPr>
              <w:t>Heuristic Export Growth</w:t>
            </w:r>
          </w:p>
        </w:tc>
        <w:tc>
          <w:tcPr>
            <w:tcW w:w="1696" w:type="dxa"/>
            <w:tcBorders>
              <w:top w:val="nil"/>
              <w:left w:val="nil"/>
              <w:bottom w:val="nil"/>
              <w:right w:val="nil"/>
            </w:tcBorders>
            <w:shd w:val="clear" w:color="auto" w:fill="auto"/>
            <w:vAlign w:val="center"/>
            <w:hideMark/>
          </w:tcPr>
          <w:p w14:paraId="76F73D1A" w14:textId="77777777" w:rsidR="00755D22" w:rsidRDefault="00755D22">
            <w:pPr>
              <w:jc w:val="center"/>
              <w:rPr>
                <w:b/>
                <w:bCs/>
                <w:sz w:val="20"/>
                <w:szCs w:val="20"/>
              </w:rPr>
            </w:pPr>
            <w:r>
              <w:rPr>
                <w:b/>
                <w:bCs/>
                <w:sz w:val="20"/>
                <w:szCs w:val="20"/>
              </w:rPr>
              <w:t>5%</w:t>
            </w:r>
          </w:p>
        </w:tc>
        <w:tc>
          <w:tcPr>
            <w:tcW w:w="1697" w:type="dxa"/>
            <w:tcBorders>
              <w:top w:val="nil"/>
              <w:left w:val="nil"/>
              <w:bottom w:val="nil"/>
              <w:right w:val="nil"/>
            </w:tcBorders>
            <w:shd w:val="clear" w:color="auto" w:fill="auto"/>
            <w:vAlign w:val="center"/>
            <w:hideMark/>
          </w:tcPr>
          <w:p w14:paraId="05F00C07" w14:textId="77777777" w:rsidR="00755D22" w:rsidRDefault="00755D22">
            <w:pPr>
              <w:jc w:val="center"/>
              <w:rPr>
                <w:b/>
                <w:bCs/>
                <w:sz w:val="20"/>
                <w:szCs w:val="20"/>
              </w:rPr>
            </w:pPr>
            <w:r>
              <w:rPr>
                <w:b/>
                <w:bCs/>
                <w:sz w:val="20"/>
                <w:szCs w:val="20"/>
              </w:rPr>
              <w:t>10%</w:t>
            </w:r>
          </w:p>
        </w:tc>
        <w:tc>
          <w:tcPr>
            <w:tcW w:w="1696" w:type="dxa"/>
            <w:tcBorders>
              <w:top w:val="nil"/>
              <w:left w:val="nil"/>
              <w:bottom w:val="nil"/>
              <w:right w:val="nil"/>
            </w:tcBorders>
            <w:shd w:val="clear" w:color="auto" w:fill="auto"/>
            <w:vAlign w:val="center"/>
            <w:hideMark/>
          </w:tcPr>
          <w:p w14:paraId="650A2C80" w14:textId="77777777" w:rsidR="00755D22" w:rsidRDefault="00755D22">
            <w:pPr>
              <w:jc w:val="center"/>
              <w:rPr>
                <w:b/>
                <w:bCs/>
                <w:sz w:val="20"/>
                <w:szCs w:val="20"/>
              </w:rPr>
            </w:pPr>
            <w:r>
              <w:rPr>
                <w:b/>
                <w:bCs/>
                <w:sz w:val="20"/>
                <w:szCs w:val="20"/>
              </w:rPr>
              <w:t>15%</w:t>
            </w:r>
          </w:p>
        </w:tc>
        <w:tc>
          <w:tcPr>
            <w:tcW w:w="1697" w:type="dxa"/>
            <w:tcBorders>
              <w:top w:val="nil"/>
              <w:left w:val="nil"/>
              <w:bottom w:val="nil"/>
              <w:right w:val="nil"/>
            </w:tcBorders>
            <w:shd w:val="clear" w:color="auto" w:fill="auto"/>
            <w:vAlign w:val="center"/>
            <w:hideMark/>
          </w:tcPr>
          <w:p w14:paraId="525A2109" w14:textId="77777777" w:rsidR="00755D22" w:rsidRDefault="00755D22">
            <w:pPr>
              <w:jc w:val="center"/>
              <w:rPr>
                <w:b/>
                <w:bCs/>
                <w:sz w:val="20"/>
                <w:szCs w:val="20"/>
              </w:rPr>
            </w:pPr>
            <w:r>
              <w:rPr>
                <w:b/>
                <w:bCs/>
                <w:sz w:val="20"/>
                <w:szCs w:val="20"/>
              </w:rPr>
              <w:t>20%</w:t>
            </w:r>
          </w:p>
        </w:tc>
      </w:tr>
      <w:tr w:rsidR="00755D22" w14:paraId="499D1717" w14:textId="77777777" w:rsidTr="00755D22">
        <w:trPr>
          <w:trHeight w:val="297"/>
        </w:trPr>
        <w:tc>
          <w:tcPr>
            <w:tcW w:w="2430" w:type="dxa"/>
            <w:tcBorders>
              <w:top w:val="nil"/>
              <w:left w:val="nil"/>
              <w:bottom w:val="nil"/>
              <w:right w:val="nil"/>
            </w:tcBorders>
            <w:shd w:val="clear" w:color="000000" w:fill="EDEDED"/>
            <w:vAlign w:val="center"/>
            <w:hideMark/>
          </w:tcPr>
          <w:p w14:paraId="5EF79C4E" w14:textId="77777777" w:rsidR="00755D22" w:rsidRDefault="00755D22">
            <w:pPr>
              <w:rPr>
                <w:color w:val="000000"/>
                <w:sz w:val="20"/>
                <w:szCs w:val="20"/>
              </w:rPr>
            </w:pPr>
            <w:r>
              <w:rPr>
                <w:color w:val="000000"/>
                <w:sz w:val="20"/>
                <w:szCs w:val="20"/>
              </w:rPr>
              <w:t>Animals and By-products</w:t>
            </w:r>
          </w:p>
        </w:tc>
        <w:tc>
          <w:tcPr>
            <w:tcW w:w="1696" w:type="dxa"/>
            <w:tcBorders>
              <w:top w:val="nil"/>
              <w:left w:val="nil"/>
              <w:bottom w:val="nil"/>
              <w:right w:val="nil"/>
            </w:tcBorders>
            <w:shd w:val="clear" w:color="000000" w:fill="EDEDED"/>
            <w:vAlign w:val="center"/>
            <w:hideMark/>
          </w:tcPr>
          <w:p w14:paraId="5C3446F5" w14:textId="77777777" w:rsidR="00755D22" w:rsidRDefault="00755D22">
            <w:pPr>
              <w:jc w:val="right"/>
              <w:rPr>
                <w:color w:val="000000"/>
                <w:sz w:val="20"/>
                <w:szCs w:val="20"/>
              </w:rPr>
            </w:pPr>
            <w:r>
              <w:rPr>
                <w:color w:val="000000"/>
                <w:sz w:val="20"/>
                <w:szCs w:val="20"/>
              </w:rPr>
              <w:t>2.14E+09</w:t>
            </w:r>
          </w:p>
        </w:tc>
        <w:tc>
          <w:tcPr>
            <w:tcW w:w="1697" w:type="dxa"/>
            <w:tcBorders>
              <w:top w:val="nil"/>
              <w:left w:val="nil"/>
              <w:bottom w:val="nil"/>
              <w:right w:val="nil"/>
            </w:tcBorders>
            <w:shd w:val="clear" w:color="000000" w:fill="EDEDED"/>
            <w:vAlign w:val="center"/>
            <w:hideMark/>
          </w:tcPr>
          <w:p w14:paraId="5C93110D" w14:textId="77777777" w:rsidR="00755D22" w:rsidRDefault="00755D22">
            <w:pPr>
              <w:jc w:val="right"/>
              <w:rPr>
                <w:color w:val="000000"/>
                <w:sz w:val="20"/>
                <w:szCs w:val="20"/>
              </w:rPr>
            </w:pPr>
            <w:r>
              <w:rPr>
                <w:color w:val="000000"/>
                <w:sz w:val="20"/>
                <w:szCs w:val="20"/>
              </w:rPr>
              <w:t>4.28E+09</w:t>
            </w:r>
          </w:p>
        </w:tc>
        <w:tc>
          <w:tcPr>
            <w:tcW w:w="1696" w:type="dxa"/>
            <w:tcBorders>
              <w:top w:val="nil"/>
              <w:left w:val="nil"/>
              <w:bottom w:val="nil"/>
              <w:right w:val="nil"/>
            </w:tcBorders>
            <w:shd w:val="clear" w:color="000000" w:fill="EDEDED"/>
            <w:vAlign w:val="center"/>
            <w:hideMark/>
          </w:tcPr>
          <w:p w14:paraId="1101F6B8" w14:textId="77777777" w:rsidR="00755D22" w:rsidRDefault="00755D22">
            <w:pPr>
              <w:jc w:val="right"/>
              <w:rPr>
                <w:color w:val="000000"/>
                <w:sz w:val="20"/>
                <w:szCs w:val="20"/>
              </w:rPr>
            </w:pPr>
            <w:r>
              <w:rPr>
                <w:color w:val="000000"/>
                <w:sz w:val="20"/>
                <w:szCs w:val="20"/>
              </w:rPr>
              <w:t>8.56E+08</w:t>
            </w:r>
          </w:p>
        </w:tc>
        <w:tc>
          <w:tcPr>
            <w:tcW w:w="1697" w:type="dxa"/>
            <w:tcBorders>
              <w:top w:val="nil"/>
              <w:left w:val="nil"/>
              <w:bottom w:val="nil"/>
              <w:right w:val="nil"/>
            </w:tcBorders>
            <w:shd w:val="clear" w:color="000000" w:fill="EDEDED"/>
            <w:vAlign w:val="center"/>
            <w:hideMark/>
          </w:tcPr>
          <w:p w14:paraId="13629FE7" w14:textId="77777777" w:rsidR="00755D22" w:rsidRDefault="00755D22">
            <w:pPr>
              <w:jc w:val="right"/>
              <w:rPr>
                <w:color w:val="000000"/>
                <w:sz w:val="20"/>
                <w:szCs w:val="20"/>
              </w:rPr>
            </w:pPr>
            <w:r>
              <w:rPr>
                <w:color w:val="000000"/>
                <w:sz w:val="20"/>
                <w:szCs w:val="20"/>
              </w:rPr>
              <w:t>3.14E+09</w:t>
            </w:r>
          </w:p>
        </w:tc>
      </w:tr>
      <w:tr w:rsidR="00755D22" w14:paraId="60202A09" w14:textId="77777777" w:rsidTr="00755D22">
        <w:trPr>
          <w:trHeight w:val="297"/>
        </w:trPr>
        <w:tc>
          <w:tcPr>
            <w:tcW w:w="2430" w:type="dxa"/>
            <w:tcBorders>
              <w:top w:val="nil"/>
              <w:left w:val="nil"/>
              <w:bottom w:val="nil"/>
              <w:right w:val="nil"/>
            </w:tcBorders>
            <w:shd w:val="clear" w:color="auto" w:fill="auto"/>
            <w:vAlign w:val="center"/>
            <w:hideMark/>
          </w:tcPr>
          <w:p w14:paraId="2A8BB3B6" w14:textId="77777777" w:rsidR="00755D22" w:rsidRDefault="00755D22">
            <w:pPr>
              <w:rPr>
                <w:sz w:val="20"/>
                <w:szCs w:val="20"/>
              </w:rPr>
            </w:pPr>
            <w:r>
              <w:rPr>
                <w:sz w:val="20"/>
                <w:szCs w:val="20"/>
              </w:rPr>
              <w:t>Transportation</w:t>
            </w:r>
          </w:p>
        </w:tc>
        <w:tc>
          <w:tcPr>
            <w:tcW w:w="1696" w:type="dxa"/>
            <w:tcBorders>
              <w:top w:val="nil"/>
              <w:left w:val="nil"/>
              <w:bottom w:val="nil"/>
              <w:right w:val="nil"/>
            </w:tcBorders>
            <w:shd w:val="clear" w:color="auto" w:fill="auto"/>
            <w:vAlign w:val="center"/>
            <w:hideMark/>
          </w:tcPr>
          <w:p w14:paraId="4C7A053D" w14:textId="77777777" w:rsidR="00755D22" w:rsidRDefault="00755D22">
            <w:pPr>
              <w:jc w:val="right"/>
              <w:rPr>
                <w:sz w:val="20"/>
                <w:szCs w:val="20"/>
              </w:rPr>
            </w:pPr>
            <w:r>
              <w:rPr>
                <w:sz w:val="20"/>
                <w:szCs w:val="20"/>
              </w:rPr>
              <w:t>0.00E+00</w:t>
            </w:r>
          </w:p>
        </w:tc>
        <w:tc>
          <w:tcPr>
            <w:tcW w:w="1697" w:type="dxa"/>
            <w:tcBorders>
              <w:top w:val="nil"/>
              <w:left w:val="nil"/>
              <w:bottom w:val="nil"/>
              <w:right w:val="nil"/>
            </w:tcBorders>
            <w:shd w:val="clear" w:color="auto" w:fill="auto"/>
            <w:vAlign w:val="center"/>
            <w:hideMark/>
          </w:tcPr>
          <w:p w14:paraId="0027D0E0" w14:textId="77777777" w:rsidR="00755D22" w:rsidRDefault="00755D22">
            <w:pPr>
              <w:jc w:val="right"/>
              <w:rPr>
                <w:sz w:val="20"/>
                <w:szCs w:val="20"/>
              </w:rPr>
            </w:pPr>
            <w:r>
              <w:rPr>
                <w:sz w:val="20"/>
                <w:szCs w:val="20"/>
              </w:rPr>
              <w:t>0.00E+00</w:t>
            </w:r>
          </w:p>
        </w:tc>
        <w:tc>
          <w:tcPr>
            <w:tcW w:w="1696" w:type="dxa"/>
            <w:tcBorders>
              <w:top w:val="nil"/>
              <w:left w:val="nil"/>
              <w:bottom w:val="nil"/>
              <w:right w:val="nil"/>
            </w:tcBorders>
            <w:shd w:val="clear" w:color="auto" w:fill="auto"/>
            <w:vAlign w:val="center"/>
            <w:hideMark/>
          </w:tcPr>
          <w:p w14:paraId="1284E171" w14:textId="77777777" w:rsidR="00755D22" w:rsidRDefault="00755D22">
            <w:pPr>
              <w:jc w:val="right"/>
              <w:rPr>
                <w:sz w:val="20"/>
                <w:szCs w:val="20"/>
              </w:rPr>
            </w:pPr>
            <w:r>
              <w:rPr>
                <w:sz w:val="20"/>
                <w:szCs w:val="20"/>
              </w:rPr>
              <w:t>5.56E+09</w:t>
            </w:r>
          </w:p>
        </w:tc>
        <w:tc>
          <w:tcPr>
            <w:tcW w:w="1697" w:type="dxa"/>
            <w:tcBorders>
              <w:top w:val="nil"/>
              <w:left w:val="nil"/>
              <w:bottom w:val="nil"/>
              <w:right w:val="nil"/>
            </w:tcBorders>
            <w:shd w:val="clear" w:color="auto" w:fill="auto"/>
            <w:vAlign w:val="center"/>
            <w:hideMark/>
          </w:tcPr>
          <w:p w14:paraId="0EC96B25" w14:textId="77777777" w:rsidR="00755D22" w:rsidRDefault="00755D22">
            <w:pPr>
              <w:jc w:val="right"/>
              <w:rPr>
                <w:sz w:val="20"/>
                <w:szCs w:val="20"/>
              </w:rPr>
            </w:pPr>
            <w:r>
              <w:rPr>
                <w:sz w:val="20"/>
                <w:szCs w:val="20"/>
              </w:rPr>
              <w:t>5.42E+09</w:t>
            </w:r>
          </w:p>
        </w:tc>
      </w:tr>
      <w:tr w:rsidR="00755D22" w14:paraId="7C6362E3" w14:textId="77777777" w:rsidTr="00755D22">
        <w:trPr>
          <w:trHeight w:val="297"/>
        </w:trPr>
        <w:tc>
          <w:tcPr>
            <w:tcW w:w="2430" w:type="dxa"/>
            <w:tcBorders>
              <w:top w:val="nil"/>
              <w:left w:val="nil"/>
              <w:bottom w:val="nil"/>
              <w:right w:val="nil"/>
            </w:tcBorders>
            <w:shd w:val="clear" w:color="000000" w:fill="EDEDED"/>
            <w:vAlign w:val="center"/>
            <w:hideMark/>
          </w:tcPr>
          <w:p w14:paraId="4CF98520" w14:textId="77777777" w:rsidR="00755D22" w:rsidRDefault="00755D22">
            <w:pPr>
              <w:rPr>
                <w:b/>
                <w:bCs/>
                <w:color w:val="000000"/>
                <w:sz w:val="20"/>
                <w:szCs w:val="20"/>
              </w:rPr>
            </w:pPr>
            <w:r>
              <w:rPr>
                <w:b/>
                <w:bCs/>
                <w:color w:val="000000"/>
                <w:sz w:val="20"/>
                <w:szCs w:val="20"/>
              </w:rPr>
              <w:t>Increased ECI</w:t>
            </w:r>
          </w:p>
        </w:tc>
        <w:tc>
          <w:tcPr>
            <w:tcW w:w="1696" w:type="dxa"/>
            <w:tcBorders>
              <w:top w:val="nil"/>
              <w:left w:val="nil"/>
              <w:bottom w:val="nil"/>
              <w:right w:val="nil"/>
            </w:tcBorders>
            <w:shd w:val="clear" w:color="000000" w:fill="EDEDED"/>
            <w:vAlign w:val="center"/>
            <w:hideMark/>
          </w:tcPr>
          <w:p w14:paraId="1B74F139" w14:textId="77777777" w:rsidR="00755D22" w:rsidRDefault="00755D22">
            <w:pPr>
              <w:jc w:val="center"/>
              <w:rPr>
                <w:b/>
                <w:bCs/>
                <w:color w:val="000000"/>
                <w:sz w:val="20"/>
                <w:szCs w:val="20"/>
              </w:rPr>
            </w:pPr>
            <w:r>
              <w:rPr>
                <w:b/>
                <w:bCs/>
                <w:color w:val="000000"/>
                <w:sz w:val="20"/>
                <w:szCs w:val="20"/>
              </w:rPr>
              <w:t>1.06</w:t>
            </w:r>
          </w:p>
        </w:tc>
        <w:tc>
          <w:tcPr>
            <w:tcW w:w="1697" w:type="dxa"/>
            <w:tcBorders>
              <w:top w:val="nil"/>
              <w:left w:val="nil"/>
              <w:bottom w:val="nil"/>
              <w:right w:val="nil"/>
            </w:tcBorders>
            <w:shd w:val="clear" w:color="000000" w:fill="EDEDED"/>
            <w:vAlign w:val="center"/>
            <w:hideMark/>
          </w:tcPr>
          <w:p w14:paraId="7056CDF4" w14:textId="77777777" w:rsidR="00755D22" w:rsidRDefault="00755D22">
            <w:pPr>
              <w:jc w:val="center"/>
              <w:rPr>
                <w:b/>
                <w:bCs/>
                <w:color w:val="000000"/>
                <w:sz w:val="20"/>
                <w:szCs w:val="20"/>
              </w:rPr>
            </w:pPr>
            <w:r>
              <w:rPr>
                <w:b/>
                <w:bCs/>
                <w:color w:val="000000"/>
                <w:sz w:val="20"/>
                <w:szCs w:val="20"/>
              </w:rPr>
              <w:t>1.06</w:t>
            </w:r>
          </w:p>
        </w:tc>
        <w:tc>
          <w:tcPr>
            <w:tcW w:w="1696" w:type="dxa"/>
            <w:tcBorders>
              <w:top w:val="nil"/>
              <w:left w:val="nil"/>
              <w:bottom w:val="nil"/>
              <w:right w:val="nil"/>
            </w:tcBorders>
            <w:shd w:val="clear" w:color="000000" w:fill="EDEDED"/>
            <w:vAlign w:val="center"/>
            <w:hideMark/>
          </w:tcPr>
          <w:p w14:paraId="4D27F6F6" w14:textId="77777777" w:rsidR="00755D22" w:rsidRDefault="00755D22">
            <w:pPr>
              <w:jc w:val="center"/>
              <w:rPr>
                <w:b/>
                <w:bCs/>
                <w:color w:val="000000"/>
                <w:sz w:val="20"/>
                <w:szCs w:val="20"/>
              </w:rPr>
            </w:pPr>
            <w:r>
              <w:rPr>
                <w:b/>
                <w:bCs/>
                <w:color w:val="000000"/>
                <w:sz w:val="20"/>
                <w:szCs w:val="20"/>
              </w:rPr>
              <w:t>1.68</w:t>
            </w:r>
          </w:p>
        </w:tc>
        <w:tc>
          <w:tcPr>
            <w:tcW w:w="1697" w:type="dxa"/>
            <w:tcBorders>
              <w:top w:val="nil"/>
              <w:left w:val="nil"/>
              <w:bottom w:val="nil"/>
              <w:right w:val="nil"/>
            </w:tcBorders>
            <w:shd w:val="clear" w:color="000000" w:fill="EDEDED"/>
            <w:vAlign w:val="center"/>
            <w:hideMark/>
          </w:tcPr>
          <w:p w14:paraId="113A15CF" w14:textId="77777777" w:rsidR="00755D22" w:rsidRDefault="00755D22">
            <w:pPr>
              <w:jc w:val="center"/>
              <w:rPr>
                <w:b/>
                <w:bCs/>
                <w:color w:val="000000"/>
                <w:sz w:val="20"/>
                <w:szCs w:val="20"/>
              </w:rPr>
            </w:pPr>
            <w:r>
              <w:rPr>
                <w:b/>
                <w:bCs/>
                <w:color w:val="000000"/>
                <w:sz w:val="20"/>
                <w:szCs w:val="20"/>
              </w:rPr>
              <w:t>1.68</w:t>
            </w:r>
          </w:p>
        </w:tc>
      </w:tr>
    </w:tbl>
    <w:p w14:paraId="7868586F" w14:textId="3015DE2C" w:rsidR="00AD2B59" w:rsidRDefault="00AD2B59" w:rsidP="00AD2B59">
      <w:pPr>
        <w:jc w:val="center"/>
        <w:rPr>
          <w:sz w:val="22"/>
          <w:szCs w:val="22"/>
        </w:rPr>
      </w:pPr>
      <w:r>
        <w:rPr>
          <w:sz w:val="22"/>
          <w:szCs w:val="22"/>
        </w:rPr>
        <w:t xml:space="preserve">Table 8c. Portfolio of </w:t>
      </w:r>
      <w:r>
        <w:rPr>
          <w:sz w:val="22"/>
          <w:szCs w:val="22"/>
        </w:rPr>
        <w:t>Colombia</w:t>
      </w:r>
      <w:r>
        <w:rPr>
          <w:sz w:val="22"/>
          <w:szCs w:val="22"/>
        </w:rPr>
        <w:t xml:space="preserve"> (2021)</w:t>
      </w:r>
    </w:p>
    <w:p w14:paraId="639A458F" w14:textId="77777777" w:rsidR="00BD7F19" w:rsidRDefault="00BD7F19">
      <w:pPr>
        <w:jc w:val="center"/>
        <w:rPr>
          <w:sz w:val="22"/>
          <w:szCs w:val="22"/>
        </w:rPr>
      </w:pPr>
    </w:p>
    <w:p w14:paraId="306B5FC2" w14:textId="7116D40A" w:rsidR="00BD7F19" w:rsidRDefault="00000000" w:rsidP="00AD2B59">
      <w:pPr>
        <w:spacing w:line="276" w:lineRule="auto"/>
        <w:rPr>
          <w:b/>
        </w:rPr>
      </w:pPr>
      <w:r>
        <w:rPr>
          <w:b/>
        </w:rPr>
        <w:t>4.3 Sensitivity Analysis and Contingency Strategy</w:t>
      </w:r>
    </w:p>
    <w:p w14:paraId="22456308" w14:textId="7D8E1D0E" w:rsidR="00BD7F19" w:rsidRDefault="00000000" w:rsidP="00AD2B59">
      <w:pPr>
        <w:spacing w:line="276" w:lineRule="auto"/>
      </w:pPr>
      <w:r>
        <w:t xml:space="preserve">In the following section, our broad aim is to understand how sensitive </w:t>
      </w:r>
      <w:r w:rsidR="00063A8D">
        <w:t>Colombia</w:t>
      </w:r>
      <w: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14:paraId="35B95000" w14:textId="77777777" w:rsidR="00AD2B59" w:rsidRDefault="00AD2B59" w:rsidP="00AD2B59">
      <w:pPr>
        <w:spacing w:line="276" w:lineRule="auto"/>
      </w:pPr>
    </w:p>
    <w:p w14:paraId="5AF4DD4E" w14:textId="77777777" w:rsidR="00BD7F19" w:rsidRDefault="00000000" w:rsidP="00AD2B59">
      <w:pPr>
        <w:spacing w:line="276" w:lineRule="auto"/>
        <w:rPr>
          <w:b/>
        </w:rPr>
      </w:pPr>
      <w:r>
        <w:rPr>
          <w:b/>
        </w:rPr>
        <w:t>ECI Sensitivity Graph</w:t>
      </w:r>
    </w:p>
    <w:p w14:paraId="7EDAEA66" w14:textId="77777777" w:rsidR="00BD7F19" w:rsidRDefault="00000000" w:rsidP="00AD2B59">
      <w:pPr>
        <w:spacing w:line="276" w:lineRule="auto"/>
      </w:pPr>
      <w:r>
        <w:t xml:space="preserve">First, in order to assess the effect particular </w:t>
      </w:r>
      <w:proofErr w:type="gramStart"/>
      <w:r>
        <w:t>industries</w:t>
      </w:r>
      <w:proofErr w:type="gramEnd"/>
      <w:r>
        <w:t xml:space="preserve"> have on each respective country, we developed ECI Sensitivity graphs (Figure 5). We use the shocking methodology to increment or decrement an industry’s export level by a certain percentage and recalculate the ECI, all </w:t>
      </w:r>
      <w:r>
        <w:lastRenderedPageBreak/>
        <w:t>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14:paraId="2F5F4EEE" w14:textId="77777777" w:rsidR="00BD7F19" w:rsidRDefault="00000000" w:rsidP="00AD2B59">
      <w:pPr>
        <w:jc w:val="both"/>
        <w:rPr>
          <w:b/>
        </w:rPr>
      </w:pPr>
      <w:r>
        <w:rPr>
          <w:b/>
          <w:noProof/>
        </w:rPr>
        <w:drawing>
          <wp:inline distT="114300" distB="114300" distL="114300" distR="114300" wp14:anchorId="476A402F" wp14:editId="522D163A">
            <wp:extent cx="5310188" cy="2519630"/>
            <wp:effectExtent l="0" t="0" r="0" b="0"/>
            <wp:docPr id="1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7"/>
                    <a:srcRect t="9708"/>
                    <a:stretch>
                      <a:fillRect/>
                    </a:stretch>
                  </pic:blipFill>
                  <pic:spPr>
                    <a:xfrm>
                      <a:off x="0" y="0"/>
                      <a:ext cx="5310188" cy="2519630"/>
                    </a:xfrm>
                    <a:prstGeom prst="rect">
                      <a:avLst/>
                    </a:prstGeom>
                    <a:ln/>
                  </pic:spPr>
                </pic:pic>
              </a:graphicData>
            </a:graphic>
          </wp:inline>
        </w:drawing>
      </w:r>
    </w:p>
    <w:p w14:paraId="7663CE4F" w14:textId="77777777" w:rsidR="00BD7F19" w:rsidRDefault="00000000" w:rsidP="00AD2B59">
      <w:pPr>
        <w:jc w:val="center"/>
        <w:rPr>
          <w:sz w:val="22"/>
          <w:szCs w:val="22"/>
        </w:rPr>
      </w:pPr>
      <w:r>
        <w:rPr>
          <w:sz w:val="22"/>
          <w:szCs w:val="22"/>
        </w:rPr>
        <w:t>Figure 5. Sample ECI Sensitivity Graph (2018)</w:t>
      </w:r>
    </w:p>
    <w:p w14:paraId="625E1821" w14:textId="77777777" w:rsidR="00AD2B59" w:rsidRDefault="00AD2B59" w:rsidP="00AD2B59">
      <w:pPr>
        <w:jc w:val="center"/>
      </w:pPr>
    </w:p>
    <w:p w14:paraId="6DEEA256" w14:textId="77777777" w:rsidR="00BD7F19" w:rsidRDefault="00000000" w:rsidP="00AD2B59">
      <w:pPr>
        <w:spacing w:line="276" w:lineRule="auto"/>
      </w:pPr>
      <w:r>
        <w:t>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p>
    <w:p w14:paraId="779808AE" w14:textId="77777777" w:rsidR="00AD2B59" w:rsidRDefault="00AD2B59" w:rsidP="00AD2B59">
      <w:pPr>
        <w:spacing w:line="276" w:lineRule="auto"/>
        <w:rPr>
          <w:b/>
        </w:rPr>
      </w:pPr>
    </w:p>
    <w:p w14:paraId="76D69DF9" w14:textId="77777777" w:rsidR="00BD7F19" w:rsidRDefault="00000000" w:rsidP="00AD2B59">
      <w:pPr>
        <w:spacing w:line="276" w:lineRule="auto"/>
        <w:rPr>
          <w:b/>
        </w:rPr>
      </w:pPr>
      <w:r>
        <w:rPr>
          <w:b/>
        </w:rPr>
        <w:t>SDV Sensitivity</w:t>
      </w:r>
    </w:p>
    <w:p w14:paraId="2277467B" w14:textId="47CF643C" w:rsidR="00BD7F19" w:rsidRDefault="00000000" w:rsidP="00AD2B59">
      <w:pPr>
        <w:spacing w:line="276" w:lineRule="auto"/>
      </w:pPr>
      <w:r>
        <w:t xml:space="preserve">Secondly, we analyze the sensitivity of the SDV to changes in export levels. The goal is to understand how export level changes for a particular industry can affect the marginal opportunity gain for other industries. </w:t>
      </w:r>
      <w:r w:rsidR="00AD2B59">
        <w:t xml:space="preserve">We will </w:t>
      </w:r>
      <w:r w:rsidR="00AD2B59">
        <w:t>use</w:t>
      </w:r>
      <w:r w:rsidR="00AD2B59">
        <w:t xml:space="preserve"> High Complexity Products and Food and Preparations as our base industries.</w:t>
      </w:r>
      <w:r w:rsidR="00AD2B59">
        <w:t xml:space="preserve"> </w:t>
      </w:r>
      <w:r>
        <w:t xml:space="preserve">We will be increasing or decreasing the absolute export level in both of these industries and observing the effects on the SDV. </w:t>
      </w:r>
    </w:p>
    <w:p w14:paraId="042ADF77" w14:textId="77777777" w:rsidR="00AD2B59" w:rsidRDefault="00AD2B59" w:rsidP="00AD2B59">
      <w:pPr>
        <w:spacing w:line="276" w:lineRule="auto"/>
      </w:pPr>
    </w:p>
    <w:p w14:paraId="54D79B3F" w14:textId="77777777" w:rsidR="00BD7F19" w:rsidRDefault="00000000" w:rsidP="00AD2B59">
      <w:pPr>
        <w:spacing w:line="276" w:lineRule="auto"/>
      </w:pPr>
      <w: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w:t>
      </w:r>
      <w:r>
        <w:lastRenderedPageBreak/>
        <w:t>such an industry to 25% - 50% of its original value, a few other industries originally with negative opportunity gain could likely become profitable.</w:t>
      </w:r>
    </w:p>
    <w:p w14:paraId="1D468526" w14:textId="77777777" w:rsidR="00AD2B59" w:rsidRDefault="00AD2B59" w:rsidP="00AD2B59">
      <w:pPr>
        <w:spacing w:line="276" w:lineRule="auto"/>
      </w:pPr>
    </w:p>
    <w:p w14:paraId="6E6BB36C" w14:textId="3B323666" w:rsidR="00BD7F19" w:rsidRDefault="00AD2B59" w:rsidP="00AD2B59">
      <w:pPr>
        <w:spacing w:line="276" w:lineRule="auto"/>
      </w:pPr>
      <w:r>
        <w:t xml:space="preserve">Similar to the ECI sensitivity graphs above, we will be shocking </w:t>
      </w:r>
      <w:r>
        <w:t xml:space="preserve">the </w:t>
      </w:r>
      <w:r>
        <w:t xml:space="preserve">export of High Complexity Products and Food and Preparations in small percentage increments. </w:t>
      </w:r>
      <w:r w:rsidR="00000000">
        <w:t xml:space="preserve">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14:paraId="34CF39E2" w14:textId="77777777" w:rsidR="00BD7F19" w:rsidRDefault="00BD7F19" w:rsidP="00AD2B59">
      <w:pPr>
        <w:spacing w:line="276" w:lineRule="auto"/>
      </w:pPr>
    </w:p>
    <w:p w14:paraId="0CEC727D" w14:textId="77777777" w:rsidR="00BD7F19" w:rsidRDefault="00000000" w:rsidP="00AD2B59">
      <w:pPr>
        <w:jc w:val="both"/>
      </w:pPr>
      <w:r>
        <w:rPr>
          <w:noProof/>
        </w:rPr>
        <w:drawing>
          <wp:inline distT="114300" distB="114300" distL="114300" distR="114300" wp14:anchorId="26BA9008" wp14:editId="5E343807">
            <wp:extent cx="5734050" cy="1739900"/>
            <wp:effectExtent l="0" t="0" r="0" b="0"/>
            <wp:docPr id="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8"/>
                    <a:srcRect/>
                    <a:stretch>
                      <a:fillRect/>
                    </a:stretch>
                  </pic:blipFill>
                  <pic:spPr>
                    <a:xfrm>
                      <a:off x="0" y="0"/>
                      <a:ext cx="5734050" cy="1739900"/>
                    </a:xfrm>
                    <a:prstGeom prst="rect">
                      <a:avLst/>
                    </a:prstGeom>
                    <a:ln/>
                  </pic:spPr>
                </pic:pic>
              </a:graphicData>
            </a:graphic>
          </wp:inline>
        </w:drawing>
      </w:r>
    </w:p>
    <w:p w14:paraId="65F0E1A7" w14:textId="77777777" w:rsidR="00BD7F19" w:rsidRDefault="00000000" w:rsidP="00AD2B59">
      <w:pPr>
        <w:jc w:val="center"/>
        <w:rPr>
          <w:b/>
        </w:rPr>
      </w:pPr>
      <w:r>
        <w:rPr>
          <w:sz w:val="22"/>
          <w:szCs w:val="22"/>
        </w:rPr>
        <w:t>Table 9. Sample Incremental SDV Sensitivity for High-Complexity Products (2018)</w:t>
      </w:r>
    </w:p>
    <w:p w14:paraId="27CC96B6" w14:textId="77777777" w:rsidR="00AD2B59" w:rsidRDefault="00AD2B59" w:rsidP="00AD2B59">
      <w:pPr>
        <w:spacing w:line="276" w:lineRule="auto"/>
        <w:rPr>
          <w:b/>
        </w:rPr>
      </w:pPr>
    </w:p>
    <w:p w14:paraId="1A8AA6EB" w14:textId="543246A2" w:rsidR="00AD2B59" w:rsidRDefault="00000000" w:rsidP="00AD2B59">
      <w:pPr>
        <w:spacing w:line="276" w:lineRule="auto"/>
        <w:rPr>
          <w:b/>
        </w:rPr>
      </w:pPr>
      <w:r>
        <w:rPr>
          <w:b/>
        </w:rPr>
        <w:t>Contingency Plan</w:t>
      </w:r>
    </w:p>
    <w:p w14:paraId="5699D350" w14:textId="43226BB4" w:rsidR="00BD7F19" w:rsidRDefault="00000000" w:rsidP="00AD2B59">
      <w:pPr>
        <w:spacing w:line="276" w:lineRule="auto"/>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14:paraId="664C77C1" w14:textId="77777777" w:rsidR="00BD7F19" w:rsidRDefault="00BD7F19">
      <w:pPr>
        <w:spacing w:line="276" w:lineRule="auto"/>
      </w:pPr>
    </w:p>
    <w:tbl>
      <w:tblPr>
        <w:tblStyle w:val="af"/>
        <w:tblW w:w="9930" w:type="dxa"/>
        <w:jc w:val="center"/>
        <w:tblLayout w:type="fixed"/>
        <w:tblLook w:val="0600" w:firstRow="0" w:lastRow="0" w:firstColumn="0" w:lastColumn="0" w:noHBand="1" w:noVBand="1"/>
      </w:tblPr>
      <w:tblGrid>
        <w:gridCol w:w="2625"/>
        <w:gridCol w:w="2435"/>
        <w:gridCol w:w="2435"/>
        <w:gridCol w:w="2435"/>
      </w:tblGrid>
      <w:tr w:rsidR="00BD7F19" w14:paraId="47E2B988" w14:textId="77777777">
        <w:trPr>
          <w:trHeight w:val="126"/>
          <w:jc w:val="center"/>
        </w:trPr>
        <w:tc>
          <w:tcPr>
            <w:tcW w:w="2625" w:type="dxa"/>
            <w:tcBorders>
              <w:top w:val="nil"/>
              <w:bottom w:val="nil"/>
            </w:tcBorders>
            <w:shd w:val="clear" w:color="auto" w:fill="A5A5A5"/>
            <w:tcMar>
              <w:top w:w="-267" w:type="dxa"/>
              <w:left w:w="-267" w:type="dxa"/>
              <w:bottom w:w="-267" w:type="dxa"/>
              <w:right w:w="-267" w:type="dxa"/>
            </w:tcMar>
            <w:vAlign w:val="center"/>
          </w:tcPr>
          <w:p w14:paraId="1E9B2332" w14:textId="77777777" w:rsidR="00BD7F19" w:rsidRDefault="00000000">
            <w:pPr>
              <w:widowControl w:val="0"/>
              <w:spacing w:line="276" w:lineRule="auto"/>
              <w:ind w:left="90"/>
              <w:rPr>
                <w:b/>
                <w:sz w:val="20"/>
                <w:szCs w:val="20"/>
              </w:rPr>
            </w:pPr>
            <w:r>
              <w:rPr>
                <w:b/>
                <w:sz w:val="20"/>
                <w:szCs w:val="20"/>
              </w:rPr>
              <w:t>Product Names</w:t>
            </w:r>
          </w:p>
        </w:tc>
        <w:tc>
          <w:tcPr>
            <w:tcW w:w="2435" w:type="dxa"/>
            <w:tcBorders>
              <w:top w:val="nil"/>
              <w:bottom w:val="nil"/>
            </w:tcBorders>
            <w:shd w:val="clear" w:color="auto" w:fill="A5A5A5"/>
            <w:tcMar>
              <w:top w:w="-267" w:type="dxa"/>
              <w:left w:w="-267" w:type="dxa"/>
              <w:bottom w:w="-267" w:type="dxa"/>
              <w:right w:w="-267" w:type="dxa"/>
            </w:tcMar>
            <w:vAlign w:val="center"/>
          </w:tcPr>
          <w:p w14:paraId="40A20736" w14:textId="77777777" w:rsidR="00BD7F19" w:rsidRDefault="00000000">
            <w:pPr>
              <w:widowControl w:val="0"/>
              <w:spacing w:line="276" w:lineRule="auto"/>
              <w:jc w:val="center"/>
              <w:rPr>
                <w:b/>
                <w:sz w:val="20"/>
                <w:szCs w:val="20"/>
              </w:rPr>
            </w:pPr>
            <w:r>
              <w:rPr>
                <w:b/>
                <w:sz w:val="20"/>
                <w:szCs w:val="20"/>
              </w:rPr>
              <w:t>0</w:t>
            </w:r>
          </w:p>
        </w:tc>
        <w:tc>
          <w:tcPr>
            <w:tcW w:w="2435" w:type="dxa"/>
            <w:tcBorders>
              <w:top w:val="nil"/>
              <w:bottom w:val="nil"/>
            </w:tcBorders>
            <w:shd w:val="clear" w:color="auto" w:fill="A5A5A5"/>
            <w:tcMar>
              <w:top w:w="-267" w:type="dxa"/>
              <w:left w:w="-267" w:type="dxa"/>
              <w:bottom w:w="-267" w:type="dxa"/>
              <w:right w:w="-267" w:type="dxa"/>
            </w:tcMar>
            <w:vAlign w:val="center"/>
          </w:tcPr>
          <w:p w14:paraId="22FB787D" w14:textId="77777777" w:rsidR="00BD7F19" w:rsidRDefault="00000000">
            <w:pPr>
              <w:widowControl w:val="0"/>
              <w:spacing w:line="276" w:lineRule="auto"/>
              <w:jc w:val="center"/>
              <w:rPr>
                <w:b/>
                <w:sz w:val="20"/>
                <w:szCs w:val="20"/>
              </w:rPr>
            </w:pPr>
            <w:r>
              <w:rPr>
                <w:b/>
                <w:sz w:val="20"/>
                <w:szCs w:val="20"/>
              </w:rPr>
              <w:t>1</w:t>
            </w:r>
          </w:p>
        </w:tc>
        <w:tc>
          <w:tcPr>
            <w:tcW w:w="2435" w:type="dxa"/>
            <w:tcBorders>
              <w:top w:val="nil"/>
              <w:bottom w:val="nil"/>
              <w:right w:val="nil"/>
            </w:tcBorders>
            <w:shd w:val="clear" w:color="auto" w:fill="A5A5A5"/>
            <w:tcMar>
              <w:top w:w="-267" w:type="dxa"/>
              <w:left w:w="-267" w:type="dxa"/>
              <w:bottom w:w="-267" w:type="dxa"/>
              <w:right w:w="-267" w:type="dxa"/>
            </w:tcMar>
            <w:vAlign w:val="center"/>
          </w:tcPr>
          <w:p w14:paraId="244A0D08" w14:textId="77777777" w:rsidR="00BD7F19" w:rsidRDefault="00000000">
            <w:pPr>
              <w:widowControl w:val="0"/>
              <w:spacing w:line="276" w:lineRule="auto"/>
              <w:jc w:val="center"/>
              <w:rPr>
                <w:b/>
                <w:sz w:val="20"/>
                <w:szCs w:val="20"/>
              </w:rPr>
            </w:pPr>
            <w:r>
              <w:rPr>
                <w:b/>
                <w:sz w:val="20"/>
                <w:szCs w:val="20"/>
              </w:rPr>
              <w:t>2</w:t>
            </w:r>
          </w:p>
        </w:tc>
      </w:tr>
      <w:tr w:rsidR="00BD7F19" w14:paraId="413AB114"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5FF47723" w14:textId="77777777" w:rsidR="00BD7F19" w:rsidRDefault="00000000">
            <w:pPr>
              <w:widowControl w:val="0"/>
              <w:spacing w:line="276" w:lineRule="auto"/>
              <w:ind w:left="90"/>
              <w:rPr>
                <w:sz w:val="20"/>
                <w:szCs w:val="20"/>
              </w:rPr>
            </w:pPr>
            <w:r>
              <w:rPr>
                <w:color w:val="212121"/>
                <w:sz w:val="20"/>
                <w:szCs w:val="20"/>
              </w:rPr>
              <w:t>Animal and By-products</w:t>
            </w:r>
          </w:p>
        </w:tc>
        <w:tc>
          <w:tcPr>
            <w:tcW w:w="2435" w:type="dxa"/>
            <w:tcBorders>
              <w:top w:val="nil"/>
              <w:bottom w:val="nil"/>
            </w:tcBorders>
            <w:shd w:val="clear" w:color="auto" w:fill="EDEDED"/>
            <w:tcMar>
              <w:top w:w="-267" w:type="dxa"/>
              <w:left w:w="-267" w:type="dxa"/>
              <w:bottom w:w="-267" w:type="dxa"/>
              <w:right w:w="-267" w:type="dxa"/>
            </w:tcMar>
            <w:vAlign w:val="center"/>
          </w:tcPr>
          <w:p w14:paraId="408B66A9"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EEE3F48"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54FE777C" w14:textId="77777777" w:rsidR="00BD7F19" w:rsidRDefault="00000000">
            <w:pPr>
              <w:widowControl w:val="0"/>
              <w:spacing w:line="276" w:lineRule="auto"/>
              <w:rPr>
                <w:sz w:val="20"/>
                <w:szCs w:val="20"/>
              </w:rPr>
            </w:pPr>
            <w:r>
              <w:rPr>
                <w:color w:val="212121"/>
                <w:sz w:val="20"/>
                <w:szCs w:val="20"/>
              </w:rPr>
              <w:t>Weapons</w:t>
            </w:r>
          </w:p>
        </w:tc>
      </w:tr>
      <w:tr w:rsidR="00BD7F19" w14:paraId="1711072E"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03A82EBA" w14:textId="77777777" w:rsidR="00BD7F19" w:rsidRDefault="00000000">
            <w:pPr>
              <w:widowControl w:val="0"/>
              <w:spacing w:line="276" w:lineRule="auto"/>
              <w:ind w:left="90"/>
              <w:rPr>
                <w:sz w:val="20"/>
                <w:szCs w:val="20"/>
              </w:rPr>
            </w:pPr>
            <w:r>
              <w:rPr>
                <w:sz w:val="20"/>
                <w:szCs w:val="20"/>
              </w:rPr>
              <w:t>Vegetables, Fruits and Plants</w:t>
            </w:r>
          </w:p>
        </w:tc>
        <w:tc>
          <w:tcPr>
            <w:tcW w:w="2435" w:type="dxa"/>
            <w:tcBorders>
              <w:top w:val="nil"/>
              <w:bottom w:val="nil"/>
            </w:tcBorders>
            <w:tcMar>
              <w:top w:w="-267" w:type="dxa"/>
              <w:left w:w="-267" w:type="dxa"/>
              <w:bottom w:w="-267" w:type="dxa"/>
              <w:right w:w="-267" w:type="dxa"/>
            </w:tcMar>
            <w:vAlign w:val="center"/>
          </w:tcPr>
          <w:p w14:paraId="66153C9B"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57C2F880"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6DC41971" w14:textId="77777777" w:rsidR="00BD7F19" w:rsidRDefault="00000000">
            <w:pPr>
              <w:widowControl w:val="0"/>
              <w:spacing w:line="276" w:lineRule="auto"/>
              <w:rPr>
                <w:sz w:val="20"/>
                <w:szCs w:val="20"/>
              </w:rPr>
            </w:pPr>
            <w:r>
              <w:rPr>
                <w:color w:val="212121"/>
                <w:sz w:val="20"/>
                <w:szCs w:val="20"/>
              </w:rPr>
              <w:t>Weapons</w:t>
            </w:r>
          </w:p>
        </w:tc>
      </w:tr>
      <w:tr w:rsidR="00BD7F19" w14:paraId="34B2F9A4"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034D1E65" w14:textId="77777777" w:rsidR="00BD7F19" w:rsidRDefault="00000000">
            <w:pPr>
              <w:widowControl w:val="0"/>
              <w:spacing w:line="276" w:lineRule="auto"/>
              <w:ind w:left="90"/>
              <w:rPr>
                <w:sz w:val="20"/>
                <w:szCs w:val="20"/>
              </w:rPr>
            </w:pPr>
            <w:r>
              <w:rPr>
                <w:sz w:val="20"/>
                <w:szCs w:val="20"/>
              </w:rPr>
              <w:t>Food and Preparations</w:t>
            </w:r>
          </w:p>
        </w:tc>
        <w:tc>
          <w:tcPr>
            <w:tcW w:w="2435" w:type="dxa"/>
            <w:tcBorders>
              <w:top w:val="nil"/>
              <w:bottom w:val="nil"/>
            </w:tcBorders>
            <w:shd w:val="clear" w:color="auto" w:fill="EDEDED"/>
            <w:tcMar>
              <w:top w:w="-267" w:type="dxa"/>
              <w:left w:w="-267" w:type="dxa"/>
              <w:bottom w:w="-267" w:type="dxa"/>
              <w:right w:w="-267" w:type="dxa"/>
            </w:tcMar>
            <w:vAlign w:val="center"/>
          </w:tcPr>
          <w:p w14:paraId="4093C263"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7F95248F"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17A87591" w14:textId="77777777" w:rsidR="00BD7F19" w:rsidRDefault="00000000">
            <w:pPr>
              <w:widowControl w:val="0"/>
              <w:spacing w:line="276" w:lineRule="auto"/>
              <w:rPr>
                <w:sz w:val="20"/>
                <w:szCs w:val="20"/>
              </w:rPr>
            </w:pPr>
            <w:r>
              <w:rPr>
                <w:color w:val="212121"/>
                <w:sz w:val="20"/>
                <w:szCs w:val="20"/>
              </w:rPr>
              <w:t>Weapons</w:t>
            </w:r>
          </w:p>
        </w:tc>
      </w:tr>
      <w:tr w:rsidR="00BD7F19" w14:paraId="1A129704"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511FEABC" w14:textId="77777777" w:rsidR="00BD7F19" w:rsidRDefault="00000000">
            <w:pPr>
              <w:widowControl w:val="0"/>
              <w:spacing w:line="276" w:lineRule="auto"/>
              <w:ind w:left="90"/>
              <w:rPr>
                <w:sz w:val="20"/>
                <w:szCs w:val="20"/>
              </w:rPr>
            </w:pPr>
            <w:r>
              <w:rPr>
                <w:color w:val="212121"/>
                <w:sz w:val="20"/>
                <w:szCs w:val="20"/>
              </w:rPr>
              <w:t>Energy Drilling and Mining</w:t>
            </w:r>
          </w:p>
        </w:tc>
        <w:tc>
          <w:tcPr>
            <w:tcW w:w="2435" w:type="dxa"/>
            <w:tcBorders>
              <w:top w:val="nil"/>
              <w:bottom w:val="nil"/>
            </w:tcBorders>
            <w:tcMar>
              <w:top w:w="-267" w:type="dxa"/>
              <w:left w:w="-267" w:type="dxa"/>
              <w:bottom w:w="-267" w:type="dxa"/>
              <w:right w:w="-267" w:type="dxa"/>
            </w:tcMar>
            <w:vAlign w:val="center"/>
          </w:tcPr>
          <w:p w14:paraId="507D0630"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67633BBF"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64F80632" w14:textId="77777777" w:rsidR="00BD7F19" w:rsidRDefault="00000000">
            <w:pPr>
              <w:widowControl w:val="0"/>
              <w:spacing w:line="276" w:lineRule="auto"/>
              <w:rPr>
                <w:sz w:val="20"/>
                <w:szCs w:val="20"/>
              </w:rPr>
            </w:pPr>
            <w:r>
              <w:rPr>
                <w:color w:val="212121"/>
                <w:sz w:val="20"/>
                <w:szCs w:val="20"/>
              </w:rPr>
              <w:t>Weapons</w:t>
            </w:r>
          </w:p>
        </w:tc>
      </w:tr>
      <w:tr w:rsidR="00BD7F19" w14:paraId="234613B2"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563828AD" w14:textId="77777777" w:rsidR="00BD7F19" w:rsidRDefault="00000000">
            <w:pPr>
              <w:widowControl w:val="0"/>
              <w:spacing w:line="276" w:lineRule="auto"/>
              <w:ind w:left="90"/>
              <w:rPr>
                <w:sz w:val="20"/>
                <w:szCs w:val="20"/>
              </w:rPr>
            </w:pPr>
            <w:r>
              <w:rPr>
                <w:color w:val="212121"/>
                <w:sz w:val="20"/>
                <w:szCs w:val="20"/>
              </w:rPr>
              <w:t>Chemicals</w:t>
            </w:r>
          </w:p>
        </w:tc>
        <w:tc>
          <w:tcPr>
            <w:tcW w:w="2435" w:type="dxa"/>
            <w:tcBorders>
              <w:top w:val="nil"/>
              <w:bottom w:val="nil"/>
            </w:tcBorders>
            <w:shd w:val="clear" w:color="auto" w:fill="EDEDED"/>
            <w:tcMar>
              <w:top w:w="-267" w:type="dxa"/>
              <w:left w:w="-267" w:type="dxa"/>
              <w:bottom w:w="-267" w:type="dxa"/>
              <w:right w:w="-267" w:type="dxa"/>
            </w:tcMar>
            <w:vAlign w:val="center"/>
          </w:tcPr>
          <w:p w14:paraId="437D65D7"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CB8BFA6"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169D1547" w14:textId="77777777" w:rsidR="00BD7F19" w:rsidRDefault="00000000">
            <w:pPr>
              <w:widowControl w:val="0"/>
              <w:spacing w:line="276" w:lineRule="auto"/>
              <w:rPr>
                <w:sz w:val="20"/>
                <w:szCs w:val="20"/>
              </w:rPr>
            </w:pPr>
            <w:r>
              <w:rPr>
                <w:color w:val="212121"/>
                <w:sz w:val="20"/>
                <w:szCs w:val="20"/>
              </w:rPr>
              <w:t>Weapons</w:t>
            </w:r>
          </w:p>
        </w:tc>
      </w:tr>
      <w:tr w:rsidR="00BD7F19" w14:paraId="2D94E062"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526E5167" w14:textId="77777777" w:rsidR="00BD7F19" w:rsidRDefault="00000000">
            <w:pPr>
              <w:widowControl w:val="0"/>
              <w:spacing w:line="276" w:lineRule="auto"/>
              <w:ind w:left="90"/>
              <w:rPr>
                <w:sz w:val="20"/>
                <w:szCs w:val="20"/>
              </w:rPr>
            </w:pPr>
            <w:r>
              <w:rPr>
                <w:color w:val="212121"/>
                <w:sz w:val="20"/>
                <w:szCs w:val="20"/>
              </w:rPr>
              <w:t>Chemical Manufacturing</w:t>
            </w:r>
          </w:p>
        </w:tc>
        <w:tc>
          <w:tcPr>
            <w:tcW w:w="2435" w:type="dxa"/>
            <w:tcBorders>
              <w:top w:val="nil"/>
              <w:bottom w:val="nil"/>
            </w:tcBorders>
            <w:tcMar>
              <w:top w:w="-267" w:type="dxa"/>
              <w:left w:w="-267" w:type="dxa"/>
              <w:bottom w:w="-267" w:type="dxa"/>
              <w:right w:w="-267" w:type="dxa"/>
            </w:tcMar>
            <w:vAlign w:val="center"/>
          </w:tcPr>
          <w:p w14:paraId="6D35D008"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447AA729"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306BAB3C" w14:textId="77777777" w:rsidR="00BD7F19" w:rsidRDefault="00000000">
            <w:pPr>
              <w:widowControl w:val="0"/>
              <w:spacing w:line="276" w:lineRule="auto"/>
              <w:rPr>
                <w:sz w:val="20"/>
                <w:szCs w:val="20"/>
              </w:rPr>
            </w:pPr>
            <w:r>
              <w:rPr>
                <w:color w:val="212121"/>
                <w:sz w:val="20"/>
                <w:szCs w:val="20"/>
              </w:rPr>
              <w:t>Weapons</w:t>
            </w:r>
          </w:p>
        </w:tc>
      </w:tr>
      <w:tr w:rsidR="00BD7F19" w14:paraId="7C8A5EB1"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4370E34C" w14:textId="77777777" w:rsidR="00BD7F19" w:rsidRDefault="00000000">
            <w:pPr>
              <w:widowControl w:val="0"/>
              <w:spacing w:line="276" w:lineRule="auto"/>
              <w:ind w:left="90"/>
              <w:rPr>
                <w:sz w:val="20"/>
                <w:szCs w:val="20"/>
              </w:rPr>
            </w:pPr>
            <w:r>
              <w:rPr>
                <w:color w:val="212121"/>
                <w:sz w:val="20"/>
                <w:szCs w:val="20"/>
              </w:rPr>
              <w:t>Raw Manufacturing</w:t>
            </w:r>
          </w:p>
        </w:tc>
        <w:tc>
          <w:tcPr>
            <w:tcW w:w="2435" w:type="dxa"/>
            <w:tcBorders>
              <w:top w:val="nil"/>
              <w:bottom w:val="nil"/>
            </w:tcBorders>
            <w:shd w:val="clear" w:color="auto" w:fill="EDEDED"/>
            <w:tcMar>
              <w:top w:w="-267" w:type="dxa"/>
              <w:left w:w="-267" w:type="dxa"/>
              <w:bottom w:w="-267" w:type="dxa"/>
              <w:right w:w="-267" w:type="dxa"/>
            </w:tcMar>
            <w:vAlign w:val="center"/>
          </w:tcPr>
          <w:p w14:paraId="5CCCB053"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3955890"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0373622F" w14:textId="77777777" w:rsidR="00BD7F19" w:rsidRDefault="00000000">
            <w:pPr>
              <w:widowControl w:val="0"/>
              <w:spacing w:line="276" w:lineRule="auto"/>
              <w:rPr>
                <w:sz w:val="20"/>
                <w:szCs w:val="20"/>
              </w:rPr>
            </w:pPr>
            <w:r>
              <w:rPr>
                <w:color w:val="212121"/>
                <w:sz w:val="20"/>
                <w:szCs w:val="20"/>
              </w:rPr>
              <w:t>Weapons</w:t>
            </w:r>
          </w:p>
        </w:tc>
      </w:tr>
      <w:tr w:rsidR="00BD7F19" w14:paraId="700EE9DE"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635FA04A" w14:textId="77777777" w:rsidR="00BD7F19" w:rsidRDefault="00000000">
            <w:pPr>
              <w:widowControl w:val="0"/>
              <w:spacing w:line="276" w:lineRule="auto"/>
              <w:ind w:left="90"/>
              <w:rPr>
                <w:sz w:val="20"/>
                <w:szCs w:val="20"/>
              </w:rPr>
            </w:pPr>
            <w:r>
              <w:rPr>
                <w:color w:val="212121"/>
                <w:sz w:val="20"/>
                <w:szCs w:val="20"/>
              </w:rPr>
              <w:t>Wood Products</w:t>
            </w:r>
          </w:p>
        </w:tc>
        <w:tc>
          <w:tcPr>
            <w:tcW w:w="2435" w:type="dxa"/>
            <w:tcBorders>
              <w:top w:val="nil"/>
              <w:bottom w:val="nil"/>
            </w:tcBorders>
            <w:tcMar>
              <w:top w:w="-267" w:type="dxa"/>
              <w:left w:w="-267" w:type="dxa"/>
              <w:bottom w:w="-267" w:type="dxa"/>
              <w:right w:w="-267" w:type="dxa"/>
            </w:tcMar>
            <w:vAlign w:val="center"/>
          </w:tcPr>
          <w:p w14:paraId="6695179D"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00B7CEFC"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268C5112" w14:textId="77777777" w:rsidR="00BD7F19" w:rsidRDefault="00000000">
            <w:pPr>
              <w:widowControl w:val="0"/>
              <w:spacing w:line="276" w:lineRule="auto"/>
              <w:rPr>
                <w:sz w:val="20"/>
                <w:szCs w:val="20"/>
              </w:rPr>
            </w:pPr>
            <w:r>
              <w:rPr>
                <w:color w:val="212121"/>
                <w:sz w:val="20"/>
                <w:szCs w:val="20"/>
              </w:rPr>
              <w:t>Weapons</w:t>
            </w:r>
          </w:p>
        </w:tc>
      </w:tr>
      <w:tr w:rsidR="00BD7F19" w14:paraId="6EFD919D"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072ED630" w14:textId="77777777" w:rsidR="00BD7F19" w:rsidRDefault="00000000">
            <w:pPr>
              <w:widowControl w:val="0"/>
              <w:spacing w:line="276" w:lineRule="auto"/>
              <w:ind w:left="90"/>
              <w:rPr>
                <w:sz w:val="20"/>
                <w:szCs w:val="20"/>
              </w:rPr>
            </w:pPr>
            <w:r>
              <w:rPr>
                <w:color w:val="212121"/>
                <w:sz w:val="20"/>
                <w:szCs w:val="20"/>
              </w:rPr>
              <w:lastRenderedPageBreak/>
              <w:t>Clothing and Accessories</w:t>
            </w:r>
          </w:p>
        </w:tc>
        <w:tc>
          <w:tcPr>
            <w:tcW w:w="2435" w:type="dxa"/>
            <w:tcBorders>
              <w:top w:val="nil"/>
              <w:bottom w:val="nil"/>
            </w:tcBorders>
            <w:shd w:val="clear" w:color="auto" w:fill="EDEDED"/>
            <w:tcMar>
              <w:top w:w="-267" w:type="dxa"/>
              <w:left w:w="-267" w:type="dxa"/>
              <w:bottom w:w="-267" w:type="dxa"/>
              <w:right w:w="-267" w:type="dxa"/>
            </w:tcMar>
            <w:vAlign w:val="center"/>
          </w:tcPr>
          <w:p w14:paraId="2ADB93EE"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44C6D68B"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1B217E78" w14:textId="77777777" w:rsidR="00BD7F19" w:rsidRDefault="00000000">
            <w:pPr>
              <w:widowControl w:val="0"/>
              <w:spacing w:line="276" w:lineRule="auto"/>
              <w:rPr>
                <w:sz w:val="20"/>
                <w:szCs w:val="20"/>
              </w:rPr>
            </w:pPr>
            <w:r>
              <w:rPr>
                <w:color w:val="212121"/>
                <w:sz w:val="20"/>
                <w:szCs w:val="20"/>
              </w:rPr>
              <w:t>Weapons</w:t>
            </w:r>
          </w:p>
        </w:tc>
      </w:tr>
      <w:tr w:rsidR="00BD7F19" w14:paraId="27BA31F8"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10C833F1" w14:textId="77777777" w:rsidR="00BD7F19" w:rsidRDefault="00000000">
            <w:pPr>
              <w:widowControl w:val="0"/>
              <w:spacing w:line="276" w:lineRule="auto"/>
              <w:ind w:left="90"/>
              <w:rPr>
                <w:sz w:val="20"/>
                <w:szCs w:val="20"/>
              </w:rPr>
            </w:pPr>
            <w:r>
              <w:rPr>
                <w:color w:val="212121"/>
                <w:sz w:val="20"/>
                <w:szCs w:val="20"/>
              </w:rPr>
              <w:t>Textile</w:t>
            </w:r>
          </w:p>
        </w:tc>
        <w:tc>
          <w:tcPr>
            <w:tcW w:w="2435" w:type="dxa"/>
            <w:tcBorders>
              <w:top w:val="nil"/>
              <w:bottom w:val="nil"/>
            </w:tcBorders>
            <w:tcMar>
              <w:top w:w="-267" w:type="dxa"/>
              <w:left w:w="-267" w:type="dxa"/>
              <w:bottom w:w="-267" w:type="dxa"/>
              <w:right w:w="-267" w:type="dxa"/>
            </w:tcMar>
            <w:vAlign w:val="center"/>
          </w:tcPr>
          <w:p w14:paraId="6B7D5A6C"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4302D214"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5E421205" w14:textId="77777777" w:rsidR="00BD7F19" w:rsidRDefault="00000000">
            <w:pPr>
              <w:widowControl w:val="0"/>
              <w:spacing w:line="276" w:lineRule="auto"/>
              <w:rPr>
                <w:sz w:val="20"/>
                <w:szCs w:val="20"/>
              </w:rPr>
            </w:pPr>
            <w:r>
              <w:rPr>
                <w:color w:val="212121"/>
                <w:sz w:val="20"/>
                <w:szCs w:val="20"/>
              </w:rPr>
              <w:t>Weapons</w:t>
            </w:r>
          </w:p>
        </w:tc>
      </w:tr>
      <w:tr w:rsidR="00BD7F19" w14:paraId="3F5A42AB"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2D1BBD01" w14:textId="77777777" w:rsidR="00BD7F19" w:rsidRDefault="00000000">
            <w:pPr>
              <w:widowControl w:val="0"/>
              <w:spacing w:line="276" w:lineRule="auto"/>
              <w:ind w:left="90"/>
              <w:rPr>
                <w:sz w:val="20"/>
                <w:szCs w:val="20"/>
              </w:rPr>
            </w:pPr>
            <w:r>
              <w:rPr>
                <w:color w:val="212121"/>
                <w:sz w:val="20"/>
                <w:szCs w:val="20"/>
              </w:rPr>
              <w:t>Metals</w:t>
            </w:r>
          </w:p>
        </w:tc>
        <w:tc>
          <w:tcPr>
            <w:tcW w:w="2435" w:type="dxa"/>
            <w:tcBorders>
              <w:top w:val="nil"/>
              <w:bottom w:val="nil"/>
            </w:tcBorders>
            <w:shd w:val="clear" w:color="auto" w:fill="EDEDED"/>
            <w:tcMar>
              <w:top w:w="-267" w:type="dxa"/>
              <w:left w:w="-267" w:type="dxa"/>
              <w:bottom w:w="-267" w:type="dxa"/>
              <w:right w:w="-267" w:type="dxa"/>
            </w:tcMar>
            <w:vAlign w:val="center"/>
          </w:tcPr>
          <w:p w14:paraId="1C2E94E6"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4213049C"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6EA4B254" w14:textId="77777777" w:rsidR="00BD7F19" w:rsidRDefault="00000000">
            <w:pPr>
              <w:widowControl w:val="0"/>
              <w:spacing w:line="276" w:lineRule="auto"/>
              <w:rPr>
                <w:sz w:val="20"/>
                <w:szCs w:val="20"/>
              </w:rPr>
            </w:pPr>
            <w:r>
              <w:rPr>
                <w:color w:val="212121"/>
                <w:sz w:val="20"/>
                <w:szCs w:val="20"/>
              </w:rPr>
              <w:t>Weapons</w:t>
            </w:r>
          </w:p>
        </w:tc>
      </w:tr>
      <w:tr w:rsidR="00BD7F19" w14:paraId="6184A248"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04BC613B" w14:textId="77777777" w:rsidR="00BD7F19" w:rsidRDefault="00000000">
            <w:pPr>
              <w:widowControl w:val="0"/>
              <w:spacing w:line="276" w:lineRule="auto"/>
              <w:ind w:left="90"/>
              <w:rPr>
                <w:sz w:val="20"/>
                <w:szCs w:val="20"/>
              </w:rPr>
            </w:pPr>
            <w:r>
              <w:rPr>
                <w:color w:val="212121"/>
                <w:sz w:val="20"/>
                <w:szCs w:val="20"/>
              </w:rPr>
              <w:t>Machinery and Constructions</w:t>
            </w:r>
          </w:p>
        </w:tc>
        <w:tc>
          <w:tcPr>
            <w:tcW w:w="2435" w:type="dxa"/>
            <w:tcBorders>
              <w:top w:val="nil"/>
              <w:bottom w:val="nil"/>
            </w:tcBorders>
            <w:tcMar>
              <w:top w:w="-267" w:type="dxa"/>
              <w:left w:w="-267" w:type="dxa"/>
              <w:bottom w:w="-267" w:type="dxa"/>
              <w:right w:w="-267" w:type="dxa"/>
            </w:tcMar>
            <w:vAlign w:val="center"/>
          </w:tcPr>
          <w:p w14:paraId="49EAD65F"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512ECE5B"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0BAF5CB7" w14:textId="77777777" w:rsidR="00BD7F19" w:rsidRDefault="00000000">
            <w:pPr>
              <w:widowControl w:val="0"/>
              <w:spacing w:line="276" w:lineRule="auto"/>
              <w:rPr>
                <w:sz w:val="20"/>
                <w:szCs w:val="20"/>
              </w:rPr>
            </w:pPr>
            <w:r>
              <w:rPr>
                <w:color w:val="212121"/>
                <w:sz w:val="20"/>
                <w:szCs w:val="20"/>
              </w:rPr>
              <w:t>Weapons</w:t>
            </w:r>
          </w:p>
        </w:tc>
      </w:tr>
      <w:tr w:rsidR="00BD7F19" w14:paraId="18695505"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3852A123" w14:textId="77777777" w:rsidR="00BD7F19" w:rsidRDefault="00000000">
            <w:pPr>
              <w:widowControl w:val="0"/>
              <w:spacing w:line="276" w:lineRule="auto"/>
              <w:ind w:left="90"/>
              <w:rPr>
                <w:sz w:val="20"/>
                <w:szCs w:val="20"/>
              </w:rPr>
            </w:pPr>
            <w:r>
              <w:rPr>
                <w:color w:val="212121"/>
                <w:sz w:val="20"/>
                <w:szCs w:val="20"/>
              </w:rPr>
              <w:t>Transportation</w:t>
            </w:r>
          </w:p>
        </w:tc>
        <w:tc>
          <w:tcPr>
            <w:tcW w:w="2435" w:type="dxa"/>
            <w:tcBorders>
              <w:top w:val="nil"/>
              <w:bottom w:val="nil"/>
            </w:tcBorders>
            <w:shd w:val="clear" w:color="auto" w:fill="EDEDED"/>
            <w:tcMar>
              <w:top w:w="-267" w:type="dxa"/>
              <w:left w:w="-267" w:type="dxa"/>
              <w:bottom w:w="-267" w:type="dxa"/>
              <w:right w:w="-267" w:type="dxa"/>
            </w:tcMar>
            <w:vAlign w:val="center"/>
          </w:tcPr>
          <w:p w14:paraId="54FC94A7"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78DFBBCE" w14:textId="77777777" w:rsidR="00BD7F19" w:rsidRDefault="00000000">
            <w:pPr>
              <w:widowControl w:val="0"/>
              <w:spacing w:line="276" w:lineRule="auto"/>
              <w:rPr>
                <w:sz w:val="20"/>
                <w:szCs w:val="20"/>
              </w:rPr>
            </w:pPr>
            <w:r>
              <w:rPr>
                <w:color w:val="212121"/>
                <w:sz w:val="20"/>
                <w:szCs w:val="20"/>
              </w:rPr>
              <w:t>Raw Manufacturing</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3A34D8AE" w14:textId="77777777" w:rsidR="00BD7F19" w:rsidRDefault="00000000">
            <w:pPr>
              <w:widowControl w:val="0"/>
              <w:spacing w:line="276" w:lineRule="auto"/>
              <w:rPr>
                <w:sz w:val="20"/>
                <w:szCs w:val="20"/>
              </w:rPr>
            </w:pPr>
            <w:r>
              <w:rPr>
                <w:color w:val="212121"/>
                <w:sz w:val="20"/>
                <w:szCs w:val="20"/>
              </w:rPr>
              <w:t>Daily Instruments</w:t>
            </w:r>
          </w:p>
        </w:tc>
      </w:tr>
      <w:tr w:rsidR="00BD7F19" w14:paraId="537E2010"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1BEF5113" w14:textId="77777777" w:rsidR="00BD7F19" w:rsidRDefault="00000000">
            <w:pPr>
              <w:widowControl w:val="0"/>
              <w:spacing w:line="276" w:lineRule="auto"/>
              <w:ind w:left="90"/>
              <w:rPr>
                <w:sz w:val="20"/>
                <w:szCs w:val="20"/>
              </w:rPr>
            </w:pPr>
            <w:r>
              <w:rPr>
                <w:color w:val="212121"/>
                <w:sz w:val="20"/>
                <w:szCs w:val="20"/>
              </w:rPr>
              <w:t>Weapons</w:t>
            </w:r>
          </w:p>
        </w:tc>
        <w:tc>
          <w:tcPr>
            <w:tcW w:w="2435" w:type="dxa"/>
            <w:tcBorders>
              <w:top w:val="nil"/>
              <w:bottom w:val="nil"/>
            </w:tcBorders>
            <w:tcMar>
              <w:top w:w="-267" w:type="dxa"/>
              <w:left w:w="-267" w:type="dxa"/>
              <w:bottom w:w="-267" w:type="dxa"/>
              <w:right w:w="-267" w:type="dxa"/>
            </w:tcMar>
            <w:vAlign w:val="center"/>
          </w:tcPr>
          <w:p w14:paraId="4705F87B"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4B1A5176"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4BB40058" w14:textId="77777777" w:rsidR="00BD7F19" w:rsidRDefault="00000000">
            <w:pPr>
              <w:widowControl w:val="0"/>
              <w:spacing w:line="276" w:lineRule="auto"/>
              <w:rPr>
                <w:sz w:val="20"/>
                <w:szCs w:val="20"/>
              </w:rPr>
            </w:pPr>
            <w:r>
              <w:rPr>
                <w:color w:val="212121"/>
                <w:sz w:val="20"/>
                <w:szCs w:val="20"/>
              </w:rPr>
              <w:t>Transportation</w:t>
            </w:r>
          </w:p>
        </w:tc>
      </w:tr>
      <w:tr w:rsidR="00BD7F19" w14:paraId="7094ACDA"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28A0D577" w14:textId="77777777" w:rsidR="00BD7F19" w:rsidRDefault="00000000">
            <w:pPr>
              <w:widowControl w:val="0"/>
              <w:spacing w:line="276" w:lineRule="auto"/>
              <w:ind w:left="90"/>
              <w:rPr>
                <w:sz w:val="20"/>
                <w:szCs w:val="20"/>
              </w:rPr>
            </w:pPr>
            <w:r>
              <w:rPr>
                <w:color w:val="212121"/>
                <w:sz w:val="20"/>
                <w:szCs w:val="20"/>
              </w:rPr>
              <w:t>Daily Instruments</w:t>
            </w:r>
          </w:p>
        </w:tc>
        <w:tc>
          <w:tcPr>
            <w:tcW w:w="2435" w:type="dxa"/>
            <w:tcBorders>
              <w:top w:val="nil"/>
              <w:bottom w:val="nil"/>
            </w:tcBorders>
            <w:shd w:val="clear" w:color="auto" w:fill="EDEDED"/>
            <w:tcMar>
              <w:top w:w="-267" w:type="dxa"/>
              <w:left w:w="-267" w:type="dxa"/>
              <w:bottom w:w="-267" w:type="dxa"/>
              <w:right w:w="-267" w:type="dxa"/>
            </w:tcMar>
            <w:vAlign w:val="center"/>
          </w:tcPr>
          <w:p w14:paraId="3D29ECEE"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0C7330DE" w14:textId="77777777" w:rsidR="00BD7F19" w:rsidRDefault="00000000">
            <w:pPr>
              <w:widowControl w:val="0"/>
              <w:spacing w:line="276" w:lineRule="auto"/>
              <w:rPr>
                <w:sz w:val="20"/>
                <w:szCs w:val="20"/>
              </w:rPr>
            </w:pPr>
            <w:r>
              <w:rPr>
                <w:color w:val="212121"/>
                <w:sz w:val="20"/>
                <w:szCs w:val="20"/>
              </w:rPr>
              <w:t>Weapons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3A267649" w14:textId="77777777" w:rsidR="00BD7F19" w:rsidRDefault="00000000">
            <w:pPr>
              <w:widowControl w:val="0"/>
              <w:spacing w:line="276" w:lineRule="auto"/>
              <w:rPr>
                <w:sz w:val="20"/>
                <w:szCs w:val="20"/>
              </w:rPr>
            </w:pPr>
            <w:r>
              <w:rPr>
                <w:color w:val="212121"/>
                <w:sz w:val="20"/>
                <w:szCs w:val="20"/>
              </w:rPr>
              <w:t>Transportation</w:t>
            </w:r>
          </w:p>
        </w:tc>
      </w:tr>
      <w:tr w:rsidR="00BD7F19" w14:paraId="0BB7B0F9"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12B81B56" w14:textId="77777777" w:rsidR="00BD7F19" w:rsidRDefault="00000000">
            <w:pPr>
              <w:widowControl w:val="0"/>
              <w:spacing w:line="276" w:lineRule="auto"/>
              <w:ind w:left="90"/>
              <w:rPr>
                <w:sz w:val="20"/>
                <w:szCs w:val="20"/>
              </w:rPr>
            </w:pPr>
            <w:r>
              <w:rPr>
                <w:color w:val="212121"/>
                <w:sz w:val="20"/>
                <w:szCs w:val="20"/>
              </w:rPr>
              <w:t>Precious Stones</w:t>
            </w:r>
          </w:p>
        </w:tc>
        <w:tc>
          <w:tcPr>
            <w:tcW w:w="2435" w:type="dxa"/>
            <w:tcBorders>
              <w:top w:val="nil"/>
              <w:bottom w:val="nil"/>
            </w:tcBorders>
            <w:tcMar>
              <w:top w:w="-267" w:type="dxa"/>
              <w:left w:w="-267" w:type="dxa"/>
              <w:bottom w:w="-267" w:type="dxa"/>
              <w:right w:w="-267" w:type="dxa"/>
            </w:tcMar>
            <w:vAlign w:val="center"/>
          </w:tcPr>
          <w:p w14:paraId="3BFD7AB3"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0658F14F"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1D2E13BB" w14:textId="77777777" w:rsidR="00BD7F19" w:rsidRDefault="00000000">
            <w:pPr>
              <w:widowControl w:val="0"/>
              <w:spacing w:line="276" w:lineRule="auto"/>
              <w:rPr>
                <w:sz w:val="20"/>
                <w:szCs w:val="20"/>
              </w:rPr>
            </w:pPr>
            <w:r>
              <w:rPr>
                <w:color w:val="212121"/>
                <w:sz w:val="20"/>
                <w:szCs w:val="20"/>
              </w:rPr>
              <w:t>Weapons</w:t>
            </w:r>
          </w:p>
        </w:tc>
      </w:tr>
      <w:tr w:rsidR="00BD7F19" w14:paraId="40CE5489"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210CF13D" w14:textId="77777777" w:rsidR="00BD7F19" w:rsidRDefault="00000000">
            <w:pPr>
              <w:widowControl w:val="0"/>
              <w:spacing w:line="276" w:lineRule="auto"/>
              <w:ind w:left="90"/>
              <w:rPr>
                <w:sz w:val="20"/>
                <w:szCs w:val="20"/>
              </w:rPr>
            </w:pPr>
            <w:r>
              <w:rPr>
                <w:color w:val="212121"/>
                <w:sz w:val="20"/>
                <w:szCs w:val="20"/>
              </w:rPr>
              <w:t>Daily Instruments</w:t>
            </w:r>
          </w:p>
        </w:tc>
        <w:tc>
          <w:tcPr>
            <w:tcW w:w="2435" w:type="dxa"/>
            <w:tcBorders>
              <w:top w:val="nil"/>
              <w:bottom w:val="nil"/>
            </w:tcBorders>
            <w:shd w:val="clear" w:color="auto" w:fill="EDEDED"/>
            <w:tcMar>
              <w:top w:w="-267" w:type="dxa"/>
              <w:left w:w="-267" w:type="dxa"/>
              <w:bottom w:w="-267" w:type="dxa"/>
              <w:right w:w="-267" w:type="dxa"/>
            </w:tcMar>
            <w:vAlign w:val="center"/>
          </w:tcPr>
          <w:p w14:paraId="088F6E28" w14:textId="77777777" w:rsidR="00BD7F19"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0181A277"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65426FF7" w14:textId="77777777" w:rsidR="00BD7F19" w:rsidRDefault="00000000">
            <w:pPr>
              <w:widowControl w:val="0"/>
              <w:spacing w:line="276" w:lineRule="auto"/>
              <w:rPr>
                <w:sz w:val="20"/>
                <w:szCs w:val="20"/>
              </w:rPr>
            </w:pPr>
            <w:r>
              <w:rPr>
                <w:color w:val="212121"/>
                <w:sz w:val="20"/>
                <w:szCs w:val="20"/>
              </w:rPr>
              <w:t>Weapons</w:t>
            </w:r>
          </w:p>
        </w:tc>
      </w:tr>
      <w:tr w:rsidR="00BD7F19" w14:paraId="13044EB8"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468DF019" w14:textId="77777777" w:rsidR="00BD7F19" w:rsidRDefault="00000000">
            <w:pPr>
              <w:widowControl w:val="0"/>
              <w:spacing w:line="276" w:lineRule="auto"/>
              <w:ind w:left="90"/>
              <w:rPr>
                <w:sz w:val="20"/>
                <w:szCs w:val="20"/>
              </w:rPr>
            </w:pPr>
            <w:r>
              <w:rPr>
                <w:color w:val="212121"/>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4E40D13D" w14:textId="77777777" w:rsidR="00BD7F19" w:rsidRDefault="00000000">
            <w:pPr>
              <w:widowControl w:val="0"/>
              <w:spacing w:line="276" w:lineRule="auto"/>
              <w:rPr>
                <w:sz w:val="20"/>
                <w:szCs w:val="20"/>
              </w:rPr>
            </w:pPr>
            <w:r>
              <w:rPr>
                <w:color w:val="212121"/>
                <w:sz w:val="20"/>
                <w:szCs w:val="20"/>
              </w:rPr>
              <w:t>Daily Instruments</w:t>
            </w:r>
          </w:p>
        </w:tc>
        <w:tc>
          <w:tcPr>
            <w:tcW w:w="2435" w:type="dxa"/>
            <w:tcBorders>
              <w:top w:val="nil"/>
              <w:bottom w:val="nil"/>
            </w:tcBorders>
            <w:tcMar>
              <w:top w:w="-267" w:type="dxa"/>
              <w:left w:w="-267" w:type="dxa"/>
              <w:bottom w:w="-267" w:type="dxa"/>
              <w:right w:w="-267" w:type="dxa"/>
            </w:tcMar>
            <w:vAlign w:val="center"/>
          </w:tcPr>
          <w:p w14:paraId="27A7E90E" w14:textId="77777777" w:rsidR="00BD7F19" w:rsidRDefault="00000000">
            <w:pPr>
              <w:widowControl w:val="0"/>
              <w:spacing w:line="276" w:lineRule="auto"/>
              <w:rPr>
                <w:sz w:val="20"/>
                <w:szCs w:val="20"/>
              </w:rPr>
            </w:pPr>
            <w:r>
              <w:rPr>
                <w:color w:val="212121"/>
                <w:sz w:val="20"/>
                <w:szCs w:val="20"/>
              </w:rPr>
              <w:t>Weapons</w:t>
            </w:r>
          </w:p>
        </w:tc>
        <w:tc>
          <w:tcPr>
            <w:tcW w:w="2435" w:type="dxa"/>
            <w:tcBorders>
              <w:top w:val="nil"/>
              <w:bottom w:val="nil"/>
              <w:right w:val="nil"/>
            </w:tcBorders>
            <w:tcMar>
              <w:top w:w="-267" w:type="dxa"/>
              <w:left w:w="-267" w:type="dxa"/>
              <w:bottom w:w="-267" w:type="dxa"/>
              <w:right w:w="-267" w:type="dxa"/>
            </w:tcMar>
            <w:vAlign w:val="center"/>
          </w:tcPr>
          <w:p w14:paraId="6FA47408" w14:textId="77777777" w:rsidR="00BD7F19" w:rsidRDefault="00000000">
            <w:pPr>
              <w:widowControl w:val="0"/>
              <w:spacing w:line="276" w:lineRule="auto"/>
              <w:rPr>
                <w:sz w:val="20"/>
                <w:szCs w:val="20"/>
              </w:rPr>
            </w:pPr>
            <w:r>
              <w:rPr>
                <w:color w:val="212121"/>
                <w:sz w:val="20"/>
                <w:szCs w:val="20"/>
              </w:rPr>
              <w:t>Transportation</w:t>
            </w:r>
          </w:p>
        </w:tc>
      </w:tr>
    </w:tbl>
    <w:p w14:paraId="274CAD68" w14:textId="743A2B57" w:rsidR="00BD7F19" w:rsidRDefault="00000000">
      <w:pPr>
        <w:jc w:val="center"/>
        <w:rPr>
          <w:b/>
          <w:sz w:val="28"/>
          <w:szCs w:val="28"/>
        </w:rPr>
      </w:pPr>
      <w:r>
        <w:rPr>
          <w:sz w:val="22"/>
          <w:szCs w:val="22"/>
        </w:rPr>
        <w:t>Table 10. Sample Contingency Strategy (201</w:t>
      </w:r>
      <w:r w:rsidR="00AD2B59">
        <w:rPr>
          <w:sz w:val="22"/>
          <w:szCs w:val="22"/>
        </w:rPr>
        <w:t>8</w:t>
      </w:r>
      <w:r>
        <w:rPr>
          <w:sz w:val="22"/>
          <w:szCs w:val="22"/>
        </w:rPr>
        <w:t>)</w:t>
      </w:r>
    </w:p>
    <w:p w14:paraId="43A529FA" w14:textId="77777777" w:rsidR="00BD7F19" w:rsidRDefault="00BD7F19">
      <w:pPr>
        <w:jc w:val="both"/>
        <w:rPr>
          <w:b/>
          <w:sz w:val="28"/>
          <w:szCs w:val="28"/>
        </w:rPr>
      </w:pPr>
    </w:p>
    <w:p w14:paraId="32482254" w14:textId="77777777" w:rsidR="00BD7F19" w:rsidRDefault="00BD7F19">
      <w:pPr>
        <w:jc w:val="both"/>
        <w:rPr>
          <w:b/>
          <w:sz w:val="28"/>
          <w:szCs w:val="28"/>
        </w:rPr>
      </w:pPr>
    </w:p>
    <w:p w14:paraId="1459C76F" w14:textId="77777777" w:rsidR="00BD7F19" w:rsidRDefault="00000000">
      <w:pPr>
        <w:jc w:val="both"/>
        <w:rPr>
          <w:b/>
        </w:rPr>
      </w:pPr>
      <w:r>
        <w:rPr>
          <w:b/>
        </w:rPr>
        <w:t>4.3 Sensitivity Analysis Results and Interpretation</w:t>
      </w:r>
    </w:p>
    <w:p w14:paraId="0EE47B97" w14:textId="34DF4361" w:rsidR="00BD7F19" w:rsidRDefault="00000000">
      <w:pPr>
        <w:jc w:val="both"/>
      </w:pPr>
      <w:r>
        <w:t xml:space="preserve">We examine </w:t>
      </w:r>
      <w:r w:rsidR="00063A8D">
        <w:t>Colombia</w:t>
      </w:r>
      <w:r>
        <w:t xml:space="preserve">'s ECI Decremental and Incremental Sensitivity Charts for 2021. An increase in </w:t>
      </w:r>
      <w:r w:rsidR="00A56A25">
        <w:t xml:space="preserve">Chemical Manufacturing </w:t>
      </w:r>
      <w:r>
        <w:t xml:space="preserve">will lead to the highest change in ECI, followed by </w:t>
      </w:r>
      <w:r w:rsidR="00A56A25">
        <w:t>Vegetables, Fruits, and Plants</w:t>
      </w:r>
      <w:r w:rsidR="00A56A25">
        <w:t xml:space="preserve">. </w:t>
      </w:r>
      <w:r>
        <w:t xml:space="preserve">The strong sensitivity effect of manipulating the </w:t>
      </w:r>
      <w:r w:rsidR="00A56A25">
        <w:t>Chemical Manufacturing</w:t>
      </w:r>
      <w:r>
        <w:t xml:space="preserve"> category remains consistent with</w:t>
      </w:r>
      <w:r w:rsidR="00A56A25">
        <w:t xml:space="preserve"> </w:t>
      </w:r>
      <w:r>
        <w:t xml:space="preserve">previous years. For the negative shock cases, </w:t>
      </w:r>
      <w:r w:rsidR="00A56A25">
        <w:t>the</w:t>
      </w:r>
      <w:r w:rsidR="007034EC">
        <w:t xml:space="preserve"> Energy </w:t>
      </w:r>
      <w:r w:rsidR="007034EC">
        <w:t>and</w:t>
      </w:r>
      <w:r w:rsidR="007034EC">
        <w:t xml:space="preserve"> Drilling </w:t>
      </w:r>
      <w:r w:rsidR="00A56A25">
        <w:t>industry</w:t>
      </w:r>
      <w:r>
        <w:t xml:space="preserve"> becomes </w:t>
      </w:r>
      <w:r w:rsidR="00A56A25">
        <w:t xml:space="preserve">the </w:t>
      </w:r>
      <w:r>
        <w:t xml:space="preserve">most impactful, </w:t>
      </w:r>
      <w:r w:rsidR="00A56A25">
        <w:t xml:space="preserve">and it also </w:t>
      </w:r>
      <w:r>
        <w:t>remain</w:t>
      </w:r>
      <w:r w:rsidR="00A56A25">
        <w:t xml:space="preserve">s </w:t>
      </w:r>
      <w:r>
        <w:t>consistent with the previous years. The rest of the industries do not appear to have the same level of sensitivity.</w:t>
      </w:r>
    </w:p>
    <w:p w14:paraId="6E660F78" w14:textId="77777777" w:rsidR="00BD7F19" w:rsidRDefault="00BD7F19">
      <w:pPr>
        <w:jc w:val="both"/>
      </w:pPr>
    </w:p>
    <w:p w14:paraId="5C6C5099" w14:textId="67AE7A07" w:rsidR="00BD7F19" w:rsidRDefault="00180EEA">
      <w:pPr>
        <w:jc w:val="both"/>
      </w:pPr>
      <w:r>
        <w:rPr>
          <w:noProof/>
        </w:rPr>
        <w:softHyphen/>
      </w:r>
      <w:r w:rsidR="0004088C">
        <w:rPr>
          <w:noProof/>
        </w:rPr>
        <w:drawing>
          <wp:inline distT="0" distB="0" distL="0" distR="0" wp14:anchorId="2B8C5B73" wp14:editId="543F8468">
            <wp:extent cx="5727700" cy="2807970"/>
            <wp:effectExtent l="0" t="0" r="0" b="0"/>
            <wp:docPr id="1696847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7435" name="Picture 1696847435"/>
                    <pic:cNvPicPr/>
                  </pic:nvPicPr>
                  <pic:blipFill>
                    <a:blip r:embed="rId29">
                      <a:extLst>
                        <a:ext uri="{28A0092B-C50C-407E-A947-70E740481C1C}">
                          <a14:useLocalDpi xmlns:a14="http://schemas.microsoft.com/office/drawing/2010/main" val="0"/>
                        </a:ext>
                      </a:extLst>
                    </a:blip>
                    <a:stretch>
                      <a:fillRect/>
                    </a:stretch>
                  </pic:blipFill>
                  <pic:spPr>
                    <a:xfrm>
                      <a:off x="0" y="0"/>
                      <a:ext cx="5727700" cy="2807970"/>
                    </a:xfrm>
                    <a:prstGeom prst="rect">
                      <a:avLst/>
                    </a:prstGeom>
                  </pic:spPr>
                </pic:pic>
              </a:graphicData>
            </a:graphic>
          </wp:inline>
        </w:drawing>
      </w:r>
    </w:p>
    <w:p w14:paraId="425CEDE6" w14:textId="75A5055B" w:rsidR="00BD7F19" w:rsidRDefault="00000000">
      <w:pPr>
        <w:jc w:val="center"/>
        <w:rPr>
          <w:sz w:val="22"/>
          <w:szCs w:val="22"/>
        </w:rPr>
      </w:pPr>
      <w:r>
        <w:rPr>
          <w:sz w:val="22"/>
          <w:szCs w:val="22"/>
        </w:rPr>
        <w:t xml:space="preserve">Figure 6a. Incremental ECI Sensitivity for </w:t>
      </w:r>
      <w:r w:rsidR="00063A8D">
        <w:rPr>
          <w:sz w:val="22"/>
          <w:szCs w:val="22"/>
        </w:rPr>
        <w:t>Colombia</w:t>
      </w:r>
      <w:r>
        <w:rPr>
          <w:sz w:val="22"/>
          <w:szCs w:val="22"/>
        </w:rPr>
        <w:t xml:space="preserve"> (2021)</w:t>
      </w:r>
    </w:p>
    <w:p w14:paraId="37226FF2" w14:textId="77777777" w:rsidR="0004088C" w:rsidRDefault="0004088C">
      <w:pPr>
        <w:jc w:val="center"/>
        <w:rPr>
          <w:sz w:val="22"/>
          <w:szCs w:val="22"/>
        </w:rPr>
      </w:pPr>
    </w:p>
    <w:p w14:paraId="021F751D" w14:textId="062AF296" w:rsidR="00BD7F19" w:rsidRDefault="0004088C">
      <w:pPr>
        <w:jc w:val="center"/>
        <w:rPr>
          <w:sz w:val="22"/>
          <w:szCs w:val="22"/>
        </w:rPr>
      </w:pPr>
      <w:r>
        <w:rPr>
          <w:noProof/>
          <w:sz w:val="22"/>
          <w:szCs w:val="22"/>
        </w:rPr>
        <w:lastRenderedPageBreak/>
        <w:drawing>
          <wp:inline distT="0" distB="0" distL="0" distR="0" wp14:anchorId="196667F9" wp14:editId="38A91605">
            <wp:extent cx="5727700" cy="2807970"/>
            <wp:effectExtent l="0" t="0" r="0" b="0"/>
            <wp:docPr id="1685244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4290" name="Picture 1685244290"/>
                    <pic:cNvPicPr/>
                  </pic:nvPicPr>
                  <pic:blipFill>
                    <a:blip r:embed="rId30">
                      <a:extLst>
                        <a:ext uri="{28A0092B-C50C-407E-A947-70E740481C1C}">
                          <a14:useLocalDpi xmlns:a14="http://schemas.microsoft.com/office/drawing/2010/main" val="0"/>
                        </a:ext>
                      </a:extLst>
                    </a:blip>
                    <a:stretch>
                      <a:fillRect/>
                    </a:stretch>
                  </pic:blipFill>
                  <pic:spPr>
                    <a:xfrm>
                      <a:off x="0" y="0"/>
                      <a:ext cx="5727700" cy="2807970"/>
                    </a:xfrm>
                    <a:prstGeom prst="rect">
                      <a:avLst/>
                    </a:prstGeom>
                  </pic:spPr>
                </pic:pic>
              </a:graphicData>
            </a:graphic>
          </wp:inline>
        </w:drawing>
      </w:r>
    </w:p>
    <w:p w14:paraId="0BDC83E0" w14:textId="56F2D79B" w:rsidR="00BD7F19" w:rsidRDefault="00000000">
      <w:pPr>
        <w:jc w:val="center"/>
      </w:pPr>
      <w:r>
        <w:rPr>
          <w:sz w:val="22"/>
          <w:szCs w:val="22"/>
        </w:rPr>
        <w:t xml:space="preserve">Figure 6b. Decremental ECI Sensitivity for </w:t>
      </w:r>
      <w:r w:rsidR="00063A8D">
        <w:rPr>
          <w:sz w:val="22"/>
          <w:szCs w:val="22"/>
        </w:rPr>
        <w:t>Colombia</w:t>
      </w:r>
      <w:r>
        <w:rPr>
          <w:sz w:val="22"/>
          <w:szCs w:val="22"/>
        </w:rPr>
        <w:t xml:space="preserve"> (2021)</w:t>
      </w:r>
    </w:p>
    <w:p w14:paraId="25BBCD8B" w14:textId="77777777" w:rsidR="00BD7F19" w:rsidRDefault="00BD7F19">
      <w:pPr>
        <w:jc w:val="both"/>
      </w:pPr>
    </w:p>
    <w:p w14:paraId="52260B99" w14:textId="614237C7" w:rsidR="005C5D33" w:rsidRDefault="00000000" w:rsidP="005C5D33">
      <w:pPr>
        <w:jc w:val="both"/>
      </w:pPr>
      <w:r>
        <w:t xml:space="preserve">Below is </w:t>
      </w:r>
      <w:r w:rsidR="00063A8D">
        <w:t>Colombia</w:t>
      </w:r>
      <w:r>
        <w:t xml:space="preserve">'s 2018 ECI Sensitivity Charts. First, in the positive chart, </w:t>
      </w:r>
      <w:r w:rsidR="005C5D33">
        <w:t>we notice that only Chemical Manufacturing and Textile offer significant increases in ECI when exports are expanded. Even with these expansions, the ECI does not climb out of the negative territory. Quite a few industries</w:t>
      </w:r>
      <w:r w:rsidR="007034EC">
        <w:t>,</w:t>
      </w:r>
      <w:r w:rsidR="005C5D33">
        <w:t xml:space="preserve"> in fact</w:t>
      </w:r>
      <w:r w:rsidR="007034EC">
        <w:t>,</w:t>
      </w:r>
      <w:r w:rsidR="005C5D33">
        <w:t xml:space="preserve"> worsen the ECI score when exports are increased</w:t>
      </w:r>
      <w:r w:rsidR="007034EC">
        <w:t>,</w:t>
      </w:r>
      <w:r w:rsidR="005C5D33">
        <w:t xml:space="preserve"> as we can see below. </w:t>
      </w:r>
    </w:p>
    <w:p w14:paraId="1897CE71" w14:textId="77777777" w:rsidR="005C5D33" w:rsidRDefault="005C5D33" w:rsidP="005C5D33">
      <w:pPr>
        <w:jc w:val="both"/>
      </w:pPr>
    </w:p>
    <w:p w14:paraId="12D78112" w14:textId="55BFEDBE" w:rsidR="005C5D33" w:rsidRDefault="005C5D33" w:rsidP="005C5D33">
      <w:r>
        <w:t xml:space="preserve">In Figure </w:t>
      </w:r>
      <w:r w:rsidR="007034EC">
        <w:t>7b</w:t>
      </w:r>
      <w:r>
        <w:t>,</w:t>
      </w:r>
      <w:r>
        <w:t xml:space="preserve"> we consider Colombia’s 2018 Negative Shock chart. We can see that Colombia is fairly insensitive to the majority of its industries. Export decreases in Energy &amp; Drilling</w:t>
      </w:r>
      <w:r w:rsidR="007034EC">
        <w:t>,</w:t>
      </w:r>
      <w:r>
        <w:t xml:space="preserve"> as well as Precious </w:t>
      </w:r>
      <w:r w:rsidR="007034EC">
        <w:t>S</w:t>
      </w:r>
      <w:r>
        <w:t>tones</w:t>
      </w:r>
      <w:r w:rsidR="007034EC">
        <w:t>,</w:t>
      </w:r>
      <w:r>
        <w:t xml:space="preserve"> actually improve the ECI of the country. The only industry that Colombia is highly sensitive to is Raw Manufacturing. </w:t>
      </w:r>
    </w:p>
    <w:p w14:paraId="1C4A43A9" w14:textId="707F55F8" w:rsidR="00BD7F19" w:rsidRDefault="00A51A1F" w:rsidP="005C5D33">
      <w:pPr>
        <w:jc w:val="both"/>
        <w:rPr>
          <w:b/>
        </w:rPr>
      </w:pPr>
      <w:r>
        <w:rPr>
          <w:b/>
          <w:noProof/>
          <w:sz w:val="28"/>
          <w:szCs w:val="28"/>
        </w:rPr>
        <w:drawing>
          <wp:inline distT="114300" distB="114300" distL="114300" distR="114300" wp14:anchorId="231C997A" wp14:editId="1B38B1FE">
            <wp:extent cx="5272088" cy="2588803"/>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272088" cy="2588803"/>
                    </a:xfrm>
                    <a:prstGeom prst="rect">
                      <a:avLst/>
                    </a:prstGeom>
                    <a:ln/>
                  </pic:spPr>
                </pic:pic>
              </a:graphicData>
            </a:graphic>
          </wp:inline>
        </w:drawing>
      </w:r>
    </w:p>
    <w:p w14:paraId="6812601E" w14:textId="0C0DFC89" w:rsidR="00BD7F19" w:rsidRDefault="00000000">
      <w:pPr>
        <w:jc w:val="center"/>
        <w:rPr>
          <w:i/>
          <w:color w:val="444499"/>
          <w:sz w:val="18"/>
          <w:szCs w:val="18"/>
        </w:rPr>
      </w:pPr>
      <w:r>
        <w:rPr>
          <w:sz w:val="22"/>
          <w:szCs w:val="22"/>
        </w:rPr>
        <w:t xml:space="preserve">Figure 7a. Incremental ECI Sensitivity for </w:t>
      </w:r>
      <w:r w:rsidR="00063A8D">
        <w:rPr>
          <w:sz w:val="22"/>
          <w:szCs w:val="22"/>
        </w:rPr>
        <w:t>Colombia</w:t>
      </w:r>
      <w:r>
        <w:rPr>
          <w:sz w:val="22"/>
          <w:szCs w:val="22"/>
        </w:rPr>
        <w:t xml:space="preserve"> (2018)</w:t>
      </w:r>
    </w:p>
    <w:p w14:paraId="23FE41CE" w14:textId="77777777" w:rsidR="00BD7F19" w:rsidRDefault="00BD7F19">
      <w:pPr>
        <w:jc w:val="both"/>
        <w:rPr>
          <w:b/>
        </w:rPr>
      </w:pPr>
    </w:p>
    <w:p w14:paraId="6C2F4CAE" w14:textId="361D6853" w:rsidR="00BD7F19" w:rsidRDefault="00A51A1F" w:rsidP="00A51A1F">
      <w:pPr>
        <w:jc w:val="center"/>
        <w:rPr>
          <w:b/>
        </w:rPr>
      </w:pPr>
      <w:r>
        <w:rPr>
          <w:b/>
          <w:noProof/>
          <w:sz w:val="28"/>
          <w:szCs w:val="28"/>
        </w:rPr>
        <w:lastRenderedPageBreak/>
        <w:drawing>
          <wp:inline distT="114300" distB="114300" distL="114300" distR="114300" wp14:anchorId="43C7636D" wp14:editId="533E1F3E">
            <wp:extent cx="5088244" cy="2528888"/>
            <wp:effectExtent l="0" t="0" r="0" b="0"/>
            <wp:docPr id="3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2"/>
                    <a:srcRect/>
                    <a:stretch>
                      <a:fillRect/>
                    </a:stretch>
                  </pic:blipFill>
                  <pic:spPr>
                    <a:xfrm>
                      <a:off x="0" y="0"/>
                      <a:ext cx="5088244" cy="2528888"/>
                    </a:xfrm>
                    <a:prstGeom prst="rect">
                      <a:avLst/>
                    </a:prstGeom>
                    <a:ln/>
                  </pic:spPr>
                </pic:pic>
              </a:graphicData>
            </a:graphic>
          </wp:inline>
        </w:drawing>
      </w:r>
    </w:p>
    <w:p w14:paraId="6D9DAF09" w14:textId="321157A6" w:rsidR="00BD7F19" w:rsidRDefault="00000000">
      <w:pPr>
        <w:jc w:val="center"/>
        <w:rPr>
          <w:i/>
          <w:color w:val="444499"/>
          <w:sz w:val="20"/>
          <w:szCs w:val="20"/>
        </w:rPr>
      </w:pPr>
      <w:r>
        <w:rPr>
          <w:sz w:val="22"/>
          <w:szCs w:val="22"/>
        </w:rPr>
        <w:t xml:space="preserve">Figure 7b. Decremental ECI Sensitivity for </w:t>
      </w:r>
      <w:r w:rsidR="00063A8D">
        <w:rPr>
          <w:sz w:val="22"/>
          <w:szCs w:val="22"/>
        </w:rPr>
        <w:t>Colombia</w:t>
      </w:r>
      <w:r>
        <w:rPr>
          <w:sz w:val="22"/>
          <w:szCs w:val="22"/>
        </w:rPr>
        <w:t xml:space="preserve"> (2018)</w:t>
      </w:r>
    </w:p>
    <w:p w14:paraId="5550E7FA" w14:textId="77777777" w:rsidR="00BD7F19" w:rsidRDefault="00BD7F19">
      <w:pPr>
        <w:jc w:val="center"/>
      </w:pPr>
    </w:p>
    <w:p w14:paraId="2337ACCA" w14:textId="68CA31FC" w:rsidR="007034EC" w:rsidRDefault="00000000" w:rsidP="007034EC">
      <w:r>
        <w:t xml:space="preserve">Next, we consider the 2013 ECI Sensitivity graphs (Figures 8a and 8b). </w:t>
      </w:r>
      <w:r w:rsidR="007034EC">
        <w:t>We see that in the positive shocking case</w:t>
      </w:r>
      <w:r w:rsidR="007034EC">
        <w:t>,</w:t>
      </w:r>
      <w:r w:rsidR="007034EC">
        <w:t xml:space="preserve"> we have quite a few more industries that are attractive in terms of increasing ECI. Increases in </w:t>
      </w:r>
      <w:r w:rsidR="007034EC">
        <w:t xml:space="preserve">the </w:t>
      </w:r>
      <w:r w:rsidR="007034EC">
        <w:t>export of Chemicals, Raw Manufacturing, Textiles, Metals, Wood Products</w:t>
      </w:r>
      <w:r w:rsidR="007034EC">
        <w:t>,</w:t>
      </w:r>
      <w:r w:rsidR="007034EC">
        <w:t xml:space="preserve"> and a few others all lead to significant ECI gains. It must be considered</w:t>
      </w:r>
      <w:r w:rsidR="007034EC">
        <w:t>,</w:t>
      </w:r>
      <w:r w:rsidR="007034EC">
        <w:t xml:space="preserve"> however</w:t>
      </w:r>
      <w:r w:rsidR="007034EC">
        <w:t>,</w:t>
      </w:r>
      <w:r w:rsidR="007034EC">
        <w:t xml:space="preserve"> that in 2013 Colombia has a much lower ECI rank of -1.25 rather than -0.75 in 2018. </w:t>
      </w:r>
    </w:p>
    <w:p w14:paraId="29EC7CBA" w14:textId="77777777" w:rsidR="007034EC" w:rsidRDefault="007034EC" w:rsidP="007034EC">
      <w:r>
        <w:t xml:space="preserve"> </w:t>
      </w:r>
    </w:p>
    <w:p w14:paraId="7079C003" w14:textId="489A76BE" w:rsidR="007034EC" w:rsidRDefault="007034EC" w:rsidP="007034EC">
      <w:r>
        <w:t>In the 2013 negative shocking case, we see that Colombia is fairly insensitive to the majority of its industries. Again</w:t>
      </w:r>
      <w:r>
        <w:t>,</w:t>
      </w:r>
      <w:r>
        <w:t xml:space="preserve"> </w:t>
      </w:r>
      <w:r>
        <w:t xml:space="preserve">a </w:t>
      </w:r>
      <w:r>
        <w:t xml:space="preserve">decrease in </w:t>
      </w:r>
      <w:r>
        <w:t xml:space="preserve">the </w:t>
      </w:r>
      <w:r>
        <w:t xml:space="preserve">export of Energy and Drilling drastically improves the ECI score, while other industries have little effect on ECI gain. </w:t>
      </w:r>
    </w:p>
    <w:p w14:paraId="759EFFAF" w14:textId="09C82822" w:rsidR="00BD7F19" w:rsidRDefault="00A51A1F" w:rsidP="007034EC">
      <w:pPr>
        <w:rPr>
          <w:b/>
        </w:rPr>
      </w:pPr>
      <w:r>
        <w:rPr>
          <w:b/>
          <w:noProof/>
          <w:sz w:val="28"/>
          <w:szCs w:val="28"/>
        </w:rPr>
        <w:drawing>
          <wp:inline distT="114300" distB="114300" distL="114300" distR="114300" wp14:anchorId="20F3559E" wp14:editId="32284E64">
            <wp:extent cx="4824413" cy="2435401"/>
            <wp:effectExtent l="0" t="0" r="0" b="0"/>
            <wp:docPr id="209092352" name="Picture 209092352"/>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4824413" cy="2435401"/>
                    </a:xfrm>
                    <a:prstGeom prst="rect">
                      <a:avLst/>
                    </a:prstGeom>
                    <a:ln/>
                  </pic:spPr>
                </pic:pic>
              </a:graphicData>
            </a:graphic>
          </wp:inline>
        </w:drawing>
      </w:r>
    </w:p>
    <w:p w14:paraId="6FC3E28B" w14:textId="1572B95C" w:rsidR="00BD7F19" w:rsidRDefault="00000000">
      <w:pPr>
        <w:jc w:val="center"/>
      </w:pPr>
      <w:r>
        <w:rPr>
          <w:sz w:val="22"/>
          <w:szCs w:val="22"/>
        </w:rPr>
        <w:t xml:space="preserve">Figure 8a. Incremental ECI Sensitivity for </w:t>
      </w:r>
      <w:r w:rsidR="00063A8D">
        <w:rPr>
          <w:sz w:val="22"/>
          <w:szCs w:val="22"/>
        </w:rPr>
        <w:t>Colombia</w:t>
      </w:r>
      <w:r>
        <w:rPr>
          <w:sz w:val="22"/>
          <w:szCs w:val="22"/>
        </w:rPr>
        <w:t xml:space="preserve"> (2013)</w:t>
      </w:r>
    </w:p>
    <w:p w14:paraId="48D6E602" w14:textId="77777777" w:rsidR="00BD7F19" w:rsidRDefault="00BD7F19">
      <w:pPr>
        <w:jc w:val="center"/>
      </w:pPr>
    </w:p>
    <w:p w14:paraId="7742A9C6" w14:textId="55B443B3" w:rsidR="00BD7F19" w:rsidRDefault="00A51A1F" w:rsidP="00717CE1">
      <w:pPr>
        <w:jc w:val="center"/>
        <w:rPr>
          <w:b/>
        </w:rPr>
      </w:pPr>
      <w:r>
        <w:rPr>
          <w:b/>
          <w:noProof/>
          <w:sz w:val="28"/>
          <w:szCs w:val="28"/>
        </w:rPr>
        <w:lastRenderedPageBreak/>
        <w:drawing>
          <wp:inline distT="114300" distB="114300" distL="114300" distR="114300" wp14:anchorId="10CADCA1" wp14:editId="517ED7B7">
            <wp:extent cx="4881563" cy="2542480"/>
            <wp:effectExtent l="0" t="0" r="0" b="0"/>
            <wp:docPr id="484609416" name="Picture 484609416"/>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4"/>
                    <a:srcRect/>
                    <a:stretch>
                      <a:fillRect/>
                    </a:stretch>
                  </pic:blipFill>
                  <pic:spPr>
                    <a:xfrm>
                      <a:off x="0" y="0"/>
                      <a:ext cx="4881563" cy="2542480"/>
                    </a:xfrm>
                    <a:prstGeom prst="rect">
                      <a:avLst/>
                    </a:prstGeom>
                    <a:ln/>
                  </pic:spPr>
                </pic:pic>
              </a:graphicData>
            </a:graphic>
          </wp:inline>
        </w:drawing>
      </w:r>
    </w:p>
    <w:p w14:paraId="537802F8" w14:textId="72EA15B5" w:rsidR="00BD7F19" w:rsidRDefault="00000000">
      <w:pPr>
        <w:jc w:val="center"/>
      </w:pPr>
      <w:r>
        <w:rPr>
          <w:sz w:val="22"/>
          <w:szCs w:val="22"/>
        </w:rPr>
        <w:t xml:space="preserve">Figure 8b. Decremental ECI Sensitivity for </w:t>
      </w:r>
      <w:r w:rsidR="00063A8D">
        <w:rPr>
          <w:sz w:val="22"/>
          <w:szCs w:val="22"/>
        </w:rPr>
        <w:t>Colombia</w:t>
      </w:r>
      <w:r>
        <w:rPr>
          <w:sz w:val="22"/>
          <w:szCs w:val="22"/>
        </w:rPr>
        <w:t xml:space="preserve"> (2013)</w:t>
      </w:r>
    </w:p>
    <w:p w14:paraId="3E16CF9E" w14:textId="77777777" w:rsidR="00BD7F19" w:rsidRDefault="00BD7F19">
      <w:pPr>
        <w:jc w:val="both"/>
        <w:rPr>
          <w:b/>
        </w:rPr>
      </w:pPr>
    </w:p>
    <w:p w14:paraId="2BD06620" w14:textId="0C53A55E" w:rsidR="00525274" w:rsidRDefault="00525274" w:rsidP="00525274">
      <w:r>
        <w:t xml:space="preserve">Below we see the SDV sensitivity charts for High Complexity Products. We see that </w:t>
      </w:r>
      <w:r>
        <w:t>in both</w:t>
      </w:r>
      <w:r>
        <w:t xml:space="preserve"> positive and negative shocking scenarios, Colombia is fairly insensitive to changes in </w:t>
      </w:r>
      <w:r>
        <w:t xml:space="preserve">the </w:t>
      </w:r>
      <w:r>
        <w:t xml:space="preserve">export level of High Complexity Products. We can see that there are quite a few industries that offer positive opportunity gain and are unaffected by Colombia's export levels in High Complexity Products. </w:t>
      </w:r>
    </w:p>
    <w:p w14:paraId="6923BEB8" w14:textId="77777777" w:rsidR="00BD7F19" w:rsidRDefault="00BD7F19"/>
    <w:p w14:paraId="7C083B37" w14:textId="49F1833C" w:rsidR="00AD2B59" w:rsidRDefault="00AD2B59">
      <w:pPr>
        <w:jc w:val="center"/>
        <w:rPr>
          <w:sz w:val="22"/>
          <w:szCs w:val="22"/>
        </w:rPr>
      </w:pPr>
      <w:r>
        <w:rPr>
          <w:b/>
          <w:noProof/>
          <w:sz w:val="28"/>
          <w:szCs w:val="28"/>
        </w:rPr>
        <w:drawing>
          <wp:inline distT="114300" distB="114300" distL="114300" distR="114300" wp14:anchorId="181C6469" wp14:editId="1A4F6EA1">
            <wp:extent cx="2743200" cy="2743200"/>
            <wp:effectExtent l="0" t="0" r="0" b="0"/>
            <wp:docPr id="30"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2743200" cy="2743200"/>
                    </a:xfrm>
                    <a:prstGeom prst="rect">
                      <a:avLst/>
                    </a:prstGeom>
                    <a:ln/>
                  </pic:spPr>
                </pic:pic>
              </a:graphicData>
            </a:graphic>
          </wp:inline>
        </w:drawing>
      </w:r>
      <w:r w:rsidR="00525274">
        <w:rPr>
          <w:b/>
          <w:noProof/>
          <w:sz w:val="28"/>
          <w:szCs w:val="28"/>
        </w:rPr>
        <w:drawing>
          <wp:inline distT="114300" distB="114300" distL="114300" distR="114300" wp14:anchorId="51445E73" wp14:editId="75AD521C">
            <wp:extent cx="1773549" cy="2743200"/>
            <wp:effectExtent l="0" t="0" r="5080" b="0"/>
            <wp:docPr id="1148767731" name="Picture 114876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6"/>
                    <a:srcRect/>
                    <a:stretch>
                      <a:fillRect/>
                    </a:stretch>
                  </pic:blipFill>
                  <pic:spPr>
                    <a:xfrm>
                      <a:off x="0" y="0"/>
                      <a:ext cx="1773549" cy="2743200"/>
                    </a:xfrm>
                    <a:prstGeom prst="rect">
                      <a:avLst/>
                    </a:prstGeom>
                    <a:ln/>
                  </pic:spPr>
                </pic:pic>
              </a:graphicData>
            </a:graphic>
          </wp:inline>
        </w:drawing>
      </w:r>
    </w:p>
    <w:p w14:paraId="508B76F7" w14:textId="6703D008" w:rsidR="00AD2B59" w:rsidRPr="00AD2B59" w:rsidRDefault="00AD2B59">
      <w:pPr>
        <w:jc w:val="center"/>
        <w:rPr>
          <w:sz w:val="22"/>
          <w:szCs w:val="22"/>
        </w:rPr>
      </w:pPr>
      <w:r w:rsidRPr="00AD2B59">
        <w:rPr>
          <w:color w:val="000000"/>
          <w:sz w:val="22"/>
          <w:szCs w:val="22"/>
        </w:rPr>
        <w:t xml:space="preserve">Table 11. </w:t>
      </w:r>
      <w:r w:rsidRPr="00AD2B59">
        <w:rPr>
          <w:color w:val="000000"/>
          <w:sz w:val="22"/>
          <w:szCs w:val="22"/>
        </w:rPr>
        <w:t>Colombia</w:t>
      </w:r>
      <w:r w:rsidRPr="00AD2B59">
        <w:rPr>
          <w:color w:val="000000"/>
          <w:sz w:val="22"/>
          <w:szCs w:val="22"/>
        </w:rPr>
        <w:t>’s SDV</w:t>
      </w:r>
      <w:r w:rsidR="00525274">
        <w:rPr>
          <w:color w:val="000000"/>
          <w:sz w:val="22"/>
          <w:szCs w:val="22"/>
        </w:rPr>
        <w:t xml:space="preserve"> </w:t>
      </w:r>
      <w:r w:rsidRPr="00AD2B59">
        <w:rPr>
          <w:color w:val="000000"/>
          <w:sz w:val="22"/>
          <w:szCs w:val="22"/>
        </w:rPr>
        <w:t xml:space="preserve">Sensitivities for </w:t>
      </w:r>
      <w:r w:rsidRPr="00AD2B59">
        <w:rPr>
          <w:sz w:val="22"/>
          <w:szCs w:val="22"/>
        </w:rPr>
        <w:t>High-</w:t>
      </w:r>
      <w:r w:rsidRPr="00AD2B59">
        <w:rPr>
          <w:sz w:val="22"/>
          <w:szCs w:val="22"/>
        </w:rPr>
        <w:t>C</w:t>
      </w:r>
      <w:r w:rsidRPr="00AD2B59">
        <w:rPr>
          <w:sz w:val="22"/>
          <w:szCs w:val="22"/>
        </w:rPr>
        <w:t>omplexity</w:t>
      </w:r>
      <w:r w:rsidRPr="00AD2B59">
        <w:rPr>
          <w:color w:val="000000"/>
          <w:sz w:val="22"/>
          <w:szCs w:val="22"/>
        </w:rPr>
        <w:t xml:space="preserve"> Products </w:t>
      </w:r>
      <w:r w:rsidRPr="00AD2B59">
        <w:rPr>
          <w:color w:val="000000"/>
          <w:sz w:val="22"/>
          <w:szCs w:val="22"/>
        </w:rPr>
        <w:t>(2018)</w:t>
      </w:r>
    </w:p>
    <w:p w14:paraId="4E2E5838" w14:textId="77777777" w:rsidR="00525274" w:rsidRPr="00AD2B59" w:rsidRDefault="00525274" w:rsidP="00AD2B59">
      <w:pPr>
        <w:jc w:val="center"/>
        <w:rPr>
          <w:sz w:val="22"/>
          <w:szCs w:val="22"/>
        </w:rPr>
      </w:pPr>
    </w:p>
    <w:p w14:paraId="43BA5338" w14:textId="4A713C36" w:rsidR="00525274" w:rsidRDefault="00525274" w:rsidP="00525274">
      <w:r>
        <w:t>Table 12</w:t>
      </w:r>
      <w:r>
        <w:t xml:space="preserve"> </w:t>
      </w:r>
      <w:r>
        <w:t>show</w:t>
      </w:r>
      <w:r>
        <w:t xml:space="preserve"> SDV sensitivity charts for Food and Preparations. The same can be said about the Food and Preparations Industry.  In both the positive and negative shocking scenarios, Colombia is fairly insensitive to changes in </w:t>
      </w:r>
      <w:r>
        <w:t xml:space="preserve">the </w:t>
      </w:r>
      <w:r>
        <w:t xml:space="preserve">export level of Food and Preparations. We can see that there are quite a few industries that already offer positive opportunity </w:t>
      </w:r>
      <w:r>
        <w:t>gains</w:t>
      </w:r>
      <w:r>
        <w:t xml:space="preserve"> and are unaffected by Colombia's export levels in Food and Preparations.</w:t>
      </w:r>
    </w:p>
    <w:p w14:paraId="67D17EAD" w14:textId="77777777" w:rsidR="00525274" w:rsidRDefault="00525274" w:rsidP="00525274"/>
    <w:p w14:paraId="49FCB953" w14:textId="3B722172" w:rsidR="00525274" w:rsidRDefault="00525274" w:rsidP="00525274">
      <w:pPr>
        <w:jc w:val="center"/>
      </w:pPr>
      <w:r>
        <w:rPr>
          <w:b/>
          <w:noProof/>
          <w:sz w:val="28"/>
          <w:szCs w:val="28"/>
        </w:rPr>
        <w:lastRenderedPageBreak/>
        <w:drawing>
          <wp:inline distT="114300" distB="114300" distL="114300" distR="114300" wp14:anchorId="4149DC7D" wp14:editId="388D2E88">
            <wp:extent cx="2743200" cy="2651760"/>
            <wp:effectExtent l="0" t="0" r="0" b="2540"/>
            <wp:docPr id="11" name="image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7"/>
                    <a:srcRect/>
                    <a:stretch>
                      <a:fillRect/>
                    </a:stretch>
                  </pic:blipFill>
                  <pic:spPr>
                    <a:xfrm>
                      <a:off x="0" y="0"/>
                      <a:ext cx="2743200" cy="2651760"/>
                    </a:xfrm>
                    <a:prstGeom prst="rect">
                      <a:avLst/>
                    </a:prstGeom>
                    <a:ln/>
                  </pic:spPr>
                </pic:pic>
              </a:graphicData>
            </a:graphic>
          </wp:inline>
        </w:drawing>
      </w:r>
      <w:r>
        <w:rPr>
          <w:b/>
          <w:noProof/>
          <w:sz w:val="28"/>
          <w:szCs w:val="28"/>
        </w:rPr>
        <w:drawing>
          <wp:inline distT="114300" distB="114300" distL="114300" distR="114300" wp14:anchorId="2479E968" wp14:editId="3C7FF5BD">
            <wp:extent cx="2743200" cy="2652713"/>
            <wp:effectExtent l="0" t="0" r="0" b="1905"/>
            <wp:docPr id="2014880301" name="Picture 2014880301"/>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8"/>
                    <a:srcRect/>
                    <a:stretch>
                      <a:fillRect/>
                    </a:stretch>
                  </pic:blipFill>
                  <pic:spPr>
                    <a:xfrm>
                      <a:off x="0" y="0"/>
                      <a:ext cx="2743200" cy="2652713"/>
                    </a:xfrm>
                    <a:prstGeom prst="rect">
                      <a:avLst/>
                    </a:prstGeom>
                    <a:ln/>
                  </pic:spPr>
                </pic:pic>
              </a:graphicData>
            </a:graphic>
          </wp:inline>
        </w:drawing>
      </w:r>
    </w:p>
    <w:p w14:paraId="0DF324FF" w14:textId="57E07F11" w:rsidR="00525274" w:rsidRDefault="00525274" w:rsidP="00525274">
      <w:pPr>
        <w:jc w:val="center"/>
        <w:rPr>
          <w:sz w:val="22"/>
          <w:szCs w:val="22"/>
        </w:rPr>
      </w:pPr>
      <w:r>
        <w:rPr>
          <w:sz w:val="22"/>
          <w:szCs w:val="22"/>
        </w:rPr>
        <w:t xml:space="preserve">Table 12. </w:t>
      </w:r>
      <w:r>
        <w:rPr>
          <w:sz w:val="22"/>
          <w:szCs w:val="22"/>
        </w:rPr>
        <w:t xml:space="preserve">Colombia’s </w:t>
      </w:r>
      <w:r>
        <w:rPr>
          <w:sz w:val="22"/>
          <w:szCs w:val="22"/>
        </w:rPr>
        <w:t xml:space="preserve">SDV Sensitivities for </w:t>
      </w:r>
      <w:r>
        <w:t>Food and Preparations</w:t>
      </w:r>
      <w:r>
        <w:rPr>
          <w:sz w:val="22"/>
          <w:szCs w:val="22"/>
        </w:rPr>
        <w:t xml:space="preserve"> (2018)</w:t>
      </w:r>
    </w:p>
    <w:p w14:paraId="0514FCEC" w14:textId="77777777" w:rsidR="00525274" w:rsidRDefault="00525274" w:rsidP="00525274">
      <w:pPr>
        <w:jc w:val="center"/>
        <w:rPr>
          <w:sz w:val="22"/>
          <w:szCs w:val="22"/>
        </w:rPr>
      </w:pPr>
    </w:p>
    <w:p w14:paraId="6C297825" w14:textId="77777777" w:rsidR="00525274" w:rsidRDefault="00525274" w:rsidP="00525274"/>
    <w:p w14:paraId="6154A548" w14:textId="1F3C013A" w:rsidR="00525274" w:rsidRDefault="00525274" w:rsidP="00525274">
      <w:pPr>
        <w:rPr>
          <w:b/>
          <w:sz w:val="28"/>
          <w:szCs w:val="28"/>
        </w:rPr>
      </w:pPr>
    </w:p>
    <w:p w14:paraId="48DC095F" w14:textId="77777777" w:rsidR="00AD2B59" w:rsidRDefault="00AD2B59">
      <w:pPr>
        <w:jc w:val="center"/>
        <w:rPr>
          <w:sz w:val="22"/>
          <w:szCs w:val="22"/>
        </w:rPr>
      </w:pPr>
    </w:p>
    <w:p w14:paraId="176CCD50" w14:textId="77777777" w:rsidR="00BD7F19" w:rsidRDefault="00BD7F19">
      <w:pPr>
        <w:jc w:val="both"/>
      </w:pPr>
    </w:p>
    <w:p w14:paraId="6FAF9C54" w14:textId="77777777" w:rsidR="00BD7F19" w:rsidRDefault="00BD7F19"/>
    <w:p w14:paraId="3F0D4424" w14:textId="77777777" w:rsidR="00BD7F19" w:rsidRDefault="00BD7F19">
      <w:pPr>
        <w:jc w:val="center"/>
        <w:rPr>
          <w:sz w:val="28"/>
          <w:szCs w:val="28"/>
        </w:rPr>
      </w:pPr>
    </w:p>
    <w:p w14:paraId="7AFBFC34" w14:textId="77777777" w:rsidR="00BD7F19" w:rsidRDefault="00000000">
      <w:pPr>
        <w:jc w:val="both"/>
        <w:rPr>
          <w:b/>
        </w:rPr>
      </w:pPr>
      <w:r>
        <w:br w:type="page"/>
      </w:r>
    </w:p>
    <w:p w14:paraId="30076302" w14:textId="77777777" w:rsidR="00BD7F19" w:rsidRDefault="00000000">
      <w:pPr>
        <w:jc w:val="both"/>
        <w:rPr>
          <w:rFonts w:ascii="Times" w:eastAsia="Times" w:hAnsi="Times" w:cs="Times"/>
          <w:b/>
          <w:sz w:val="28"/>
          <w:szCs w:val="28"/>
        </w:rPr>
      </w:pPr>
      <w:r>
        <w:rPr>
          <w:rFonts w:ascii="Times" w:eastAsia="Times" w:hAnsi="Times" w:cs="Times"/>
          <w:b/>
          <w:sz w:val="28"/>
          <w:szCs w:val="28"/>
        </w:rPr>
        <w:lastRenderedPageBreak/>
        <w:t>5. Macro-level Predictions</w:t>
      </w:r>
    </w:p>
    <w:p w14:paraId="266E10FB" w14:textId="77777777" w:rsidR="00BD7F19" w:rsidRDefault="00BD7F19">
      <w:pPr>
        <w:jc w:val="both"/>
        <w:rPr>
          <w:b/>
        </w:rPr>
      </w:pPr>
    </w:p>
    <w:p w14:paraId="678E2B13" w14:textId="77777777" w:rsidR="00BD7F19" w:rsidRDefault="00000000">
      <w:pPr>
        <w:jc w:val="both"/>
        <w:rPr>
          <w:b/>
        </w:rPr>
      </w:pPr>
      <w:r>
        <w:rPr>
          <w:b/>
        </w:rPr>
        <w:t>5.1 Structural Optimality Index</w:t>
      </w:r>
    </w:p>
    <w:p w14:paraId="54175317" w14:textId="750E2C06" w:rsidR="00BD7F19" w:rsidRDefault="00000000">
      <w:pPr>
        <w:jc w:val="both"/>
      </w:pPr>
      <w:r>
        <w:t>ECI sensitivity</w:t>
      </w:r>
      <w:r w:rsidR="00525274">
        <w:t>,</w:t>
      </w:r>
      <w:r>
        <w:t xml:space="preserve"> described in the section before</w:t>
      </w:r>
      <w:r w:rsidR="00525274">
        <w:t xml:space="preserve">, </w:t>
      </w:r>
      <w:r>
        <w:t>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14:paraId="1DDB755F" w14:textId="77777777" w:rsidR="00BD7F19" w:rsidRDefault="00BD7F19">
      <w:pPr>
        <w:jc w:val="both"/>
      </w:pPr>
    </w:p>
    <w:p w14:paraId="07327317" w14:textId="360036C3" w:rsidR="00BD7F19" w:rsidRDefault="00000000">
      <w:pPr>
        <w:jc w:val="both"/>
      </w:pPr>
      <w: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R="00525274">
        <w:t>2</w:t>
      </w:r>
      <w:r>
        <w:t>% level and achieving an adjusted R</w:t>
      </w:r>
      <w:r>
        <w:rPr>
          <w:vertAlign w:val="superscript"/>
        </w:rPr>
        <w:t>2</w:t>
      </w:r>
      <w:r>
        <w:t xml:space="preserve"> of </w:t>
      </w:r>
      <w:r w:rsidR="00525274">
        <w:t>0.</w:t>
      </w:r>
      <w:r w:rsidR="009B127D">
        <w:t>0</w:t>
      </w:r>
      <w:r w:rsidR="00525274">
        <w:t>54</w:t>
      </w:r>
      <w:r>
        <w:t>. In other words, the more a country develops</w:t>
      </w:r>
      <w:r w:rsidR="00525274">
        <w:t>,</w:t>
      </w:r>
      <w:r>
        <w:t xml:space="preserve"> as suggested by calculations on a complexity level, the better economic outcomes it achieves. </w:t>
      </w:r>
    </w:p>
    <w:p w14:paraId="3575E7F6" w14:textId="77777777" w:rsidR="00BD7F19" w:rsidRDefault="00BD7F19">
      <w:pPr>
        <w:jc w:val="both"/>
      </w:pPr>
    </w:p>
    <w:tbl>
      <w:tblPr>
        <w:tblStyle w:val="af3"/>
        <w:tblW w:w="57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970"/>
      </w:tblGrid>
      <w:tr w:rsidR="00BD7F19" w14:paraId="3B4EDE38" w14:textId="77777777">
        <w:trPr>
          <w:trHeight w:val="335"/>
          <w:jc w:val="center"/>
        </w:trPr>
        <w:tc>
          <w:tcPr>
            <w:tcW w:w="5760" w:type="dxa"/>
            <w:gridSpan w:val="2"/>
            <w:shd w:val="clear" w:color="auto" w:fill="auto"/>
            <w:tcMar>
              <w:top w:w="-44" w:type="dxa"/>
              <w:left w:w="-44" w:type="dxa"/>
              <w:bottom w:w="-44" w:type="dxa"/>
              <w:right w:w="-44" w:type="dxa"/>
            </w:tcMar>
            <w:vAlign w:val="center"/>
          </w:tcPr>
          <w:p w14:paraId="0750A176" w14:textId="77777777" w:rsidR="00BD7F19" w:rsidRDefault="00000000">
            <w:pPr>
              <w:widowControl w:val="0"/>
              <w:ind w:left="90"/>
              <w:jc w:val="center"/>
              <w:rPr>
                <w:b/>
                <w:sz w:val="20"/>
                <w:szCs w:val="20"/>
              </w:rPr>
            </w:pPr>
            <w:r>
              <w:rPr>
                <w:b/>
                <w:sz w:val="20"/>
                <w:szCs w:val="20"/>
              </w:rPr>
              <w:t>Table 14: OLS Regression Results</w:t>
            </w:r>
          </w:p>
        </w:tc>
      </w:tr>
      <w:tr w:rsidR="00BD7F19" w14:paraId="2143A548" w14:textId="77777777">
        <w:trPr>
          <w:trHeight w:val="335"/>
          <w:jc w:val="center"/>
        </w:trPr>
        <w:tc>
          <w:tcPr>
            <w:tcW w:w="2790" w:type="dxa"/>
            <w:shd w:val="clear" w:color="auto" w:fill="auto"/>
            <w:tcMar>
              <w:top w:w="-44" w:type="dxa"/>
              <w:left w:w="-44" w:type="dxa"/>
              <w:bottom w:w="-44" w:type="dxa"/>
              <w:right w:w="-44" w:type="dxa"/>
            </w:tcMar>
            <w:vAlign w:val="center"/>
          </w:tcPr>
          <w:p w14:paraId="5BAFE694" w14:textId="77777777" w:rsidR="00BD7F19" w:rsidRDefault="00000000">
            <w:pPr>
              <w:widowControl w:val="0"/>
              <w:ind w:left="90"/>
              <w:rPr>
                <w:sz w:val="20"/>
                <w:szCs w:val="20"/>
              </w:rPr>
            </w:pPr>
            <w:r>
              <w:rPr>
                <w:b/>
                <w:sz w:val="20"/>
                <w:szCs w:val="20"/>
              </w:rPr>
              <w:t xml:space="preserve">Dep. Variable: </w:t>
            </w:r>
            <w:r>
              <w:rPr>
                <w:sz w:val="20"/>
                <w:szCs w:val="20"/>
              </w:rPr>
              <w:t>GDP</w:t>
            </w:r>
          </w:p>
        </w:tc>
        <w:tc>
          <w:tcPr>
            <w:tcW w:w="2970" w:type="dxa"/>
            <w:shd w:val="clear" w:color="auto" w:fill="auto"/>
            <w:tcMar>
              <w:top w:w="-44" w:type="dxa"/>
              <w:left w:w="-44" w:type="dxa"/>
              <w:bottom w:w="-44" w:type="dxa"/>
              <w:right w:w="-44" w:type="dxa"/>
            </w:tcMar>
            <w:vAlign w:val="center"/>
          </w:tcPr>
          <w:p w14:paraId="062DAC9D" w14:textId="77777777" w:rsidR="00BD7F19" w:rsidRDefault="00000000">
            <w:pPr>
              <w:widowControl w:val="0"/>
              <w:ind w:left="90"/>
              <w:rPr>
                <w:sz w:val="20"/>
                <w:szCs w:val="20"/>
              </w:rPr>
            </w:pPr>
            <w:r>
              <w:rPr>
                <w:b/>
                <w:sz w:val="20"/>
                <w:szCs w:val="20"/>
              </w:rPr>
              <w:t xml:space="preserve">F-Statistic: </w:t>
            </w:r>
            <w:r>
              <w:rPr>
                <w:sz w:val="20"/>
                <w:szCs w:val="20"/>
              </w:rPr>
              <w:t>5.963</w:t>
            </w:r>
          </w:p>
        </w:tc>
      </w:tr>
      <w:tr w:rsidR="00BD7F19" w14:paraId="7E7F1585" w14:textId="77777777">
        <w:trPr>
          <w:trHeight w:val="335"/>
          <w:jc w:val="center"/>
        </w:trPr>
        <w:tc>
          <w:tcPr>
            <w:tcW w:w="2790" w:type="dxa"/>
            <w:shd w:val="clear" w:color="auto" w:fill="auto"/>
            <w:tcMar>
              <w:top w:w="-44" w:type="dxa"/>
              <w:left w:w="-44" w:type="dxa"/>
              <w:bottom w:w="-44" w:type="dxa"/>
              <w:right w:w="-44" w:type="dxa"/>
            </w:tcMar>
            <w:vAlign w:val="center"/>
          </w:tcPr>
          <w:p w14:paraId="3B286F02" w14:textId="77777777" w:rsidR="00BD7F19" w:rsidRDefault="00000000">
            <w:pPr>
              <w:widowControl w:val="0"/>
              <w:ind w:left="90"/>
              <w:rPr>
                <w:sz w:val="20"/>
                <w:szCs w:val="20"/>
              </w:rPr>
            </w:pPr>
            <w:r>
              <w:rPr>
                <w:b/>
                <w:sz w:val="20"/>
                <w:szCs w:val="20"/>
              </w:rPr>
              <w:t>R</w:t>
            </w:r>
            <w:r>
              <w:rPr>
                <w:b/>
                <w:sz w:val="20"/>
                <w:szCs w:val="20"/>
                <w:vertAlign w:val="superscript"/>
              </w:rPr>
              <w:t>2</w:t>
            </w:r>
            <w:r>
              <w:rPr>
                <w:b/>
                <w:sz w:val="20"/>
                <w:szCs w:val="20"/>
              </w:rPr>
              <w:t xml:space="preserve">: </w:t>
            </w:r>
            <w:r>
              <w:rPr>
                <w:sz w:val="20"/>
                <w:szCs w:val="20"/>
              </w:rPr>
              <w:t>0.054</w:t>
            </w:r>
          </w:p>
        </w:tc>
        <w:tc>
          <w:tcPr>
            <w:tcW w:w="2970" w:type="dxa"/>
            <w:shd w:val="clear" w:color="auto" w:fill="auto"/>
            <w:tcMar>
              <w:top w:w="-44" w:type="dxa"/>
              <w:left w:w="-44" w:type="dxa"/>
              <w:bottom w:w="-44" w:type="dxa"/>
              <w:right w:w="-44" w:type="dxa"/>
            </w:tcMar>
            <w:vAlign w:val="center"/>
          </w:tcPr>
          <w:p w14:paraId="19376DE1" w14:textId="77777777" w:rsidR="00BD7F19" w:rsidRDefault="00000000">
            <w:pPr>
              <w:widowControl w:val="0"/>
              <w:ind w:left="90"/>
              <w:rPr>
                <w:sz w:val="20"/>
                <w:szCs w:val="20"/>
              </w:rPr>
            </w:pPr>
            <w:r>
              <w:rPr>
                <w:b/>
                <w:sz w:val="20"/>
                <w:szCs w:val="20"/>
              </w:rPr>
              <w:t>Prob (F-Stat):</w:t>
            </w:r>
            <w:r>
              <w:rPr>
                <w:sz w:val="20"/>
                <w:szCs w:val="20"/>
              </w:rPr>
              <w:t xml:space="preserve"> 0.0163</w:t>
            </w:r>
          </w:p>
        </w:tc>
      </w:tr>
      <w:tr w:rsidR="00BD7F19" w14:paraId="11278776" w14:textId="77777777">
        <w:trPr>
          <w:trHeight w:val="335"/>
          <w:jc w:val="center"/>
        </w:trPr>
        <w:tc>
          <w:tcPr>
            <w:tcW w:w="2790" w:type="dxa"/>
            <w:shd w:val="clear" w:color="auto" w:fill="auto"/>
            <w:tcMar>
              <w:top w:w="-44" w:type="dxa"/>
              <w:left w:w="-44" w:type="dxa"/>
              <w:bottom w:w="-44" w:type="dxa"/>
              <w:right w:w="-44" w:type="dxa"/>
            </w:tcMar>
            <w:vAlign w:val="center"/>
          </w:tcPr>
          <w:p w14:paraId="6C6985C7" w14:textId="77777777" w:rsidR="00BD7F19" w:rsidRDefault="00000000">
            <w:pPr>
              <w:widowControl w:val="0"/>
              <w:ind w:left="90"/>
              <w:rPr>
                <w:sz w:val="20"/>
                <w:szCs w:val="20"/>
              </w:rPr>
            </w:pPr>
            <w:r>
              <w:rPr>
                <w:b/>
                <w:sz w:val="20"/>
                <w:szCs w:val="20"/>
              </w:rPr>
              <w:t>Adj R</w:t>
            </w:r>
            <w:r>
              <w:rPr>
                <w:b/>
                <w:sz w:val="20"/>
                <w:szCs w:val="20"/>
                <w:vertAlign w:val="superscript"/>
              </w:rPr>
              <w:t>2</w:t>
            </w:r>
            <w:r>
              <w:rPr>
                <w:b/>
                <w:sz w:val="20"/>
                <w:szCs w:val="20"/>
              </w:rPr>
              <w:t xml:space="preserve">: </w:t>
            </w:r>
            <w:r>
              <w:rPr>
                <w:sz w:val="20"/>
                <w:szCs w:val="20"/>
              </w:rPr>
              <w:t>0.045</w:t>
            </w:r>
          </w:p>
        </w:tc>
        <w:tc>
          <w:tcPr>
            <w:tcW w:w="2970" w:type="dxa"/>
            <w:shd w:val="clear" w:color="auto" w:fill="auto"/>
            <w:tcMar>
              <w:top w:w="-44" w:type="dxa"/>
              <w:left w:w="-44" w:type="dxa"/>
              <w:bottom w:w="-44" w:type="dxa"/>
              <w:right w:w="-44" w:type="dxa"/>
            </w:tcMar>
            <w:vAlign w:val="center"/>
          </w:tcPr>
          <w:p w14:paraId="273E03E1" w14:textId="77777777" w:rsidR="00BD7F19" w:rsidRDefault="00000000">
            <w:pPr>
              <w:widowControl w:val="0"/>
              <w:ind w:left="90"/>
              <w:rPr>
                <w:sz w:val="20"/>
                <w:szCs w:val="20"/>
              </w:rPr>
            </w:pPr>
            <w:r>
              <w:rPr>
                <w:b/>
                <w:sz w:val="20"/>
                <w:szCs w:val="20"/>
              </w:rPr>
              <w:t xml:space="preserve">No. Observations: </w:t>
            </w:r>
            <w:r>
              <w:rPr>
                <w:sz w:val="20"/>
                <w:szCs w:val="20"/>
              </w:rPr>
              <w:t>106</w:t>
            </w:r>
          </w:p>
        </w:tc>
      </w:tr>
    </w:tbl>
    <w:p w14:paraId="3484809A" w14:textId="77777777" w:rsidR="00BD7F19" w:rsidRDefault="00BD7F19"/>
    <w:p w14:paraId="5A465967" w14:textId="77777777" w:rsidR="00BD7F19" w:rsidRDefault="00000000">
      <w:pPr>
        <w:jc w:val="center"/>
        <w:rPr>
          <w:sz w:val="22"/>
          <w:szCs w:val="22"/>
        </w:rPr>
      </w:pPr>
      <w:r>
        <w:rPr>
          <w:sz w:val="22"/>
          <w:szCs w:val="22"/>
        </w:rPr>
        <w:t>Figure 9. Regression of Five-Year GDP Growth over SOI (2013-2018)</w:t>
      </w:r>
      <w:r>
        <w:rPr>
          <w:noProof/>
        </w:rPr>
        <w:drawing>
          <wp:anchor distT="0" distB="0" distL="0" distR="0" simplePos="0" relativeHeight="251658240" behindDoc="0" locked="0" layoutInCell="1" hidden="0" allowOverlap="1" wp14:anchorId="46820038" wp14:editId="044F3BDD">
            <wp:simplePos x="0" y="0"/>
            <wp:positionH relativeFrom="column">
              <wp:posOffset>619125</wp:posOffset>
            </wp:positionH>
            <wp:positionV relativeFrom="paragraph">
              <wp:posOffset>38100</wp:posOffset>
            </wp:positionV>
            <wp:extent cx="4520925" cy="3005138"/>
            <wp:effectExtent l="0" t="0" r="0" b="0"/>
            <wp:wrapTopAndBottom distT="0" dist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4520925" cy="3005138"/>
                    </a:xfrm>
                    <a:prstGeom prst="rect">
                      <a:avLst/>
                    </a:prstGeom>
                    <a:ln/>
                  </pic:spPr>
                </pic:pic>
              </a:graphicData>
            </a:graphic>
          </wp:anchor>
        </w:drawing>
      </w:r>
    </w:p>
    <w:p w14:paraId="57E0ACDE" w14:textId="77777777" w:rsidR="00BD7F19" w:rsidRDefault="00BD7F19">
      <w:pPr>
        <w:jc w:val="both"/>
      </w:pPr>
    </w:p>
    <w:p w14:paraId="50880907" w14:textId="77777777" w:rsidR="00325555" w:rsidRDefault="00325555">
      <w:pPr>
        <w:jc w:val="both"/>
        <w:rPr>
          <w:b/>
        </w:rPr>
      </w:pPr>
    </w:p>
    <w:p w14:paraId="6154A26E" w14:textId="35C7E424" w:rsidR="00BD7F19" w:rsidRDefault="00000000">
      <w:pPr>
        <w:jc w:val="both"/>
        <w:rPr>
          <w:b/>
        </w:rPr>
      </w:pPr>
      <w:r>
        <w:rPr>
          <w:b/>
        </w:rPr>
        <w:lastRenderedPageBreak/>
        <w:t xml:space="preserve">5.2 SOI of </w:t>
      </w:r>
      <w:r w:rsidR="00063A8D">
        <w:rPr>
          <w:b/>
        </w:rPr>
        <w:t>Colombia</w:t>
      </w:r>
      <w:r>
        <w:rPr>
          <w:b/>
        </w:rPr>
        <w:t xml:space="preserve"> and Its Implications</w:t>
      </w:r>
    </w:p>
    <w:p w14:paraId="1827F12C" w14:textId="5AC4410B" w:rsidR="0079729C" w:rsidRDefault="00063A8D">
      <w:pPr>
        <w:jc w:val="both"/>
      </w:pPr>
      <w:r>
        <w:t>Colombia</w:t>
      </w:r>
      <w:r w:rsidR="00000000">
        <w:t xml:space="preserve">, for instance, has a </w:t>
      </w:r>
      <w:r w:rsidR="00525274">
        <w:t xml:space="preserve">low </w:t>
      </w:r>
      <w:r w:rsidR="00000000">
        <w:t xml:space="preserve">level of structural optimality as compared with its developed peers. As the regression in Figure 10a suggests (the red curve represents </w:t>
      </w:r>
      <w:r w:rsidR="00525274">
        <w:t xml:space="preserve">an </w:t>
      </w:r>
      <w:r w:rsidR="00000000">
        <w:t>export increase</w:t>
      </w:r>
      <w:r w:rsidR="00525274">
        <w:t>,</w:t>
      </w:r>
      <w:r w:rsidR="00000000">
        <w:t xml:space="preserve"> and the blue curve stands for opportunity gain of the corresponding industry), </w:t>
      </w:r>
      <w:r>
        <w:t>Colombia</w:t>
      </w:r>
      <w:r w:rsidR="00000000">
        <w:t xml:space="preserve"> demonstrates a </w:t>
      </w:r>
      <w:r w:rsidR="00525274">
        <w:t xml:space="preserve">low </w:t>
      </w:r>
      <w:r w:rsidR="00000000">
        <w:t xml:space="preserve">level of correlation with the suggested developmental path, having an adjusted R-square of </w:t>
      </w:r>
      <w:r w:rsidR="00000000" w:rsidRPr="00525274">
        <w:t xml:space="preserve">around </w:t>
      </w:r>
      <w:r w:rsidR="00525274" w:rsidRPr="00525274">
        <w:t>0.</w:t>
      </w:r>
      <w:r w:rsidR="009B127D">
        <w:t>0</w:t>
      </w:r>
      <w:r w:rsidR="00525274" w:rsidRPr="00525274">
        <w:t>23 in 2021</w:t>
      </w:r>
      <w:r w:rsidR="00525274" w:rsidRPr="00525274">
        <w:t xml:space="preserve">. </w:t>
      </w:r>
    </w:p>
    <w:p w14:paraId="14C2138E" w14:textId="77777777" w:rsidR="0079729C" w:rsidRDefault="0079729C">
      <w:pPr>
        <w:jc w:val="both"/>
      </w:pPr>
    </w:p>
    <w:p w14:paraId="79401C7F" w14:textId="4F5BEDE4" w:rsidR="0079729C" w:rsidRDefault="00063A8D">
      <w:pPr>
        <w:jc w:val="both"/>
      </w:pPr>
      <w:r w:rsidRPr="00525274">
        <w:t>Colombia</w:t>
      </w:r>
      <w:r w:rsidR="00000000">
        <w:t xml:space="preserve"> ranks in the </w:t>
      </w:r>
      <w:r w:rsidR="0079729C">
        <w:t xml:space="preserve">third </w:t>
      </w:r>
      <w:r w:rsidR="00000000">
        <w:t xml:space="preserve">quartile among all countries in terms of SOI and has made </w:t>
      </w:r>
      <w:r w:rsidR="0079729C">
        <w:t xml:space="preserve">slow </w:t>
      </w:r>
      <w:r w:rsidR="00000000">
        <w:t>economic progress among its emerging peers from 2013 to 2018 with a 5-year GDP growth rate of</w:t>
      </w:r>
      <w:r w:rsidR="0079729C">
        <w:t xml:space="preserve"> 2.1%</w:t>
      </w:r>
      <w:r w:rsidR="00000000">
        <w:t xml:space="preserve">, which is consistent with the regression result in Figure 4b. This is in direct contrast to </w:t>
      </w:r>
      <w:r w:rsidR="0079729C">
        <w:t xml:space="preserve">China, with </w:t>
      </w:r>
      <w:r w:rsidR="00000000">
        <w:t xml:space="preserve">corresponding GDP growth of </w:t>
      </w:r>
      <w:r w:rsidR="0079729C">
        <w:t>8.2</w:t>
      </w:r>
      <w:r w:rsidR="00000000">
        <w:t xml:space="preserve">% from 2013 to 2018, making it one of the </w:t>
      </w:r>
      <w:r w:rsidR="0079729C">
        <w:t>fastest-developing</w:t>
      </w:r>
      <w:r w:rsidR="00000000">
        <w:t xml:space="preserve"> economies during the period. </w:t>
      </w:r>
    </w:p>
    <w:p w14:paraId="2198AEAB" w14:textId="77777777" w:rsidR="0079729C" w:rsidRDefault="0079729C">
      <w:pPr>
        <w:jc w:val="both"/>
      </w:pPr>
    </w:p>
    <w:p w14:paraId="06E83161" w14:textId="76B0B800" w:rsidR="00BD7F19" w:rsidRDefault="0079729C">
      <w:pPr>
        <w:jc w:val="both"/>
      </w:pPr>
      <w:r>
        <w:rPr>
          <w:color w:val="000000"/>
        </w:rPr>
        <w:t>Specifically</w:t>
      </w:r>
      <w:r>
        <w:rPr>
          <w:color w:val="000000"/>
        </w:rPr>
        <w:t xml:space="preserve">, </w:t>
      </w:r>
      <w:r w:rsidR="00063A8D">
        <w:t>Colombia</w:t>
      </w:r>
      <w:r w:rsidR="00000000">
        <w:t xml:space="preserve">'s slow economic progress from 2013 to 2018 can be at least partially explained by a development strategy that demonstrates a considerable but not perfect level of matches with our suggested developmental path. In specific, </w:t>
      </w:r>
      <w:r w:rsidR="00063A8D">
        <w:t>Colombia</w:t>
      </w:r>
      <w:r w:rsidR="00000000">
        <w:t xml:space="preserve"> invested heavily in </w:t>
      </w:r>
      <w:r>
        <w:t>Food and Preparation and Textile,</w:t>
      </w:r>
      <w:r w:rsidR="00000000">
        <w:t xml:space="preserve"> while it should have focused more on industry groups such as </w:t>
      </w:r>
      <w:r>
        <w:t>Raw Manufacturing, Energy Drilling and Mining, and Metals</w:t>
      </w:r>
      <w:r>
        <w:t>.</w:t>
      </w:r>
    </w:p>
    <w:p w14:paraId="14BAFA6E" w14:textId="77777777" w:rsidR="00BD7F19" w:rsidRDefault="00BD7F19">
      <w:pPr>
        <w:jc w:val="both"/>
      </w:pPr>
    </w:p>
    <w:p w14:paraId="64261D88" w14:textId="4A7E4740" w:rsidR="00BD7F19" w:rsidRDefault="0079729C">
      <w:pPr>
        <w:jc w:val="both"/>
      </w:pPr>
      <w:r>
        <w:rPr>
          <w:noProof/>
        </w:rPr>
        <w:drawing>
          <wp:inline distT="114300" distB="114300" distL="114300" distR="114300" wp14:anchorId="5E2CC116" wp14:editId="3DE30D34">
            <wp:extent cx="5727700" cy="2288632"/>
            <wp:effectExtent l="0" t="0" r="0" b="0"/>
            <wp:docPr id="237739680" name="Picture 237739680"/>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727700" cy="2288632"/>
                    </a:xfrm>
                    <a:prstGeom prst="rect">
                      <a:avLst/>
                    </a:prstGeom>
                    <a:ln/>
                  </pic:spPr>
                </pic:pic>
              </a:graphicData>
            </a:graphic>
          </wp:inline>
        </w:drawing>
      </w:r>
    </w:p>
    <w:p w14:paraId="2547E6DD" w14:textId="65174848" w:rsidR="00BD7F19" w:rsidRDefault="00000000">
      <w:pPr>
        <w:jc w:val="center"/>
        <w:rPr>
          <w:sz w:val="22"/>
          <w:szCs w:val="22"/>
        </w:rPr>
      </w:pPr>
      <w:r>
        <w:rPr>
          <w:sz w:val="22"/>
          <w:szCs w:val="22"/>
        </w:rPr>
        <w:t xml:space="preserve">Figure 10a. SOI of </w:t>
      </w:r>
      <w:r w:rsidR="00063A8D">
        <w:rPr>
          <w:sz w:val="22"/>
          <w:szCs w:val="22"/>
        </w:rPr>
        <w:t>Colombia</w:t>
      </w:r>
      <w:r>
        <w:rPr>
          <w:sz w:val="22"/>
          <w:szCs w:val="22"/>
        </w:rPr>
        <w:t xml:space="preserve"> (2013-2018)</w:t>
      </w:r>
    </w:p>
    <w:p w14:paraId="52707ACF" w14:textId="77777777" w:rsidR="00BD7F19" w:rsidRDefault="00BD7F19">
      <w:pPr>
        <w:jc w:val="center"/>
        <w:rPr>
          <w:sz w:val="22"/>
          <w:szCs w:val="22"/>
        </w:rPr>
      </w:pPr>
    </w:p>
    <w:p w14:paraId="40243ED3" w14:textId="4BDBAA37" w:rsidR="00BD7F19" w:rsidRDefault="00000000">
      <w:r>
        <w:t xml:space="preserve">For the 2019-2021 years, </w:t>
      </w:r>
      <w:r w:rsidR="00063A8D">
        <w:t>Colombia</w:t>
      </w:r>
      <w:r>
        <w:t xml:space="preserve"> has a strong presence in </w:t>
      </w:r>
      <w:r w:rsidR="0079729C">
        <w:t>Machinery and Construction, High-Complexity Products</w:t>
      </w:r>
      <w:r>
        <w:t>,</w:t>
      </w:r>
      <w:r w:rsidR="0079729C">
        <w:t xml:space="preserve"> which seem to have depleted its </w:t>
      </w:r>
      <w:r w:rsidR="00E95724">
        <w:t xml:space="preserve">potential to boost RID. Energy Drilling and Mining, the highest industry by RID, also </w:t>
      </w:r>
      <w:r>
        <w:t xml:space="preserve">present </w:t>
      </w:r>
      <w:r w:rsidR="00E95724">
        <w:t xml:space="preserve">the best </w:t>
      </w:r>
      <w:r>
        <w:t xml:space="preserve">opportunity for further investment. It also could consider </w:t>
      </w:r>
      <w:r w:rsidR="00E95724">
        <w:t>Textiles (unlike in 2013-2018), Metals, and Clothing and Accessories</w:t>
      </w:r>
      <w:r>
        <w:t xml:space="preserve"> to improve its growth. </w:t>
      </w:r>
      <w:r w:rsidR="00063A8D">
        <w:t>Colombia</w:t>
      </w:r>
      <w:r>
        <w:t xml:space="preserve"> has seen a </w:t>
      </w:r>
      <w:r w:rsidR="00E95724">
        <w:t xml:space="preserve">slight average growth </w:t>
      </w:r>
      <w:r>
        <w:t xml:space="preserve">in GDP over those three years of </w:t>
      </w:r>
      <w:r w:rsidR="00E95724">
        <w:t>0.2</w:t>
      </w:r>
      <w:r>
        <w:t xml:space="preserve">%, compared to </w:t>
      </w:r>
      <w:r w:rsidR="00E95724">
        <w:t>2.1</w:t>
      </w:r>
      <w:r>
        <w:t xml:space="preserve">% for the average yearly growth for the five years prior. </w:t>
      </w:r>
      <w:r w:rsidR="00063A8D">
        <w:t>Colombia</w:t>
      </w:r>
      <w:r>
        <w:t xml:space="preserve"> also ranked in the </w:t>
      </w:r>
      <w:r w:rsidR="0079729C">
        <w:t>third</w:t>
      </w:r>
      <w:r>
        <w:t xml:space="preserve"> quartile among all countries in terms of SOI.</w:t>
      </w:r>
    </w:p>
    <w:p w14:paraId="498B0682" w14:textId="77777777" w:rsidR="00BD7F19" w:rsidRDefault="00BD7F19"/>
    <w:p w14:paraId="75858B9B" w14:textId="379ED42D" w:rsidR="00BD7F19" w:rsidRDefault="0079729C">
      <w:r>
        <w:t>Much lower</w:t>
      </w:r>
      <w:r w:rsidR="00000000">
        <w:t xml:space="preserve"> than before, its adjusted R-squared value of </w:t>
      </w:r>
      <w:r>
        <w:t xml:space="preserve">0.23 </w:t>
      </w:r>
      <w:r w:rsidR="00000000">
        <w:t xml:space="preserve">indicates a </w:t>
      </w:r>
      <w:r>
        <w:t xml:space="preserve">weaker </w:t>
      </w:r>
      <w:r w:rsidR="00000000">
        <w:t xml:space="preserve">correlation between GDP growth and the implemented development path. Progress is slow on a global scale during this period, </w:t>
      </w:r>
      <w:r>
        <w:t>and</w:t>
      </w:r>
      <w:r w:rsidR="00000000">
        <w:t xml:space="preserve"> </w:t>
      </w:r>
      <w:r w:rsidR="00063A8D">
        <w:t>Colombia</w:t>
      </w:r>
      <w:r w:rsidR="00000000">
        <w:t xml:space="preserve"> demonstrates a </w:t>
      </w:r>
      <w:r>
        <w:t>slower</w:t>
      </w:r>
      <w:r w:rsidR="00000000">
        <w:t xml:space="preserve"> ability to adjust to negative economic shocks by improving SOI and increasing GDP growth than it did between 2013 and 2018.</w:t>
      </w:r>
    </w:p>
    <w:p w14:paraId="1F49A61B" w14:textId="77777777" w:rsidR="00BD7F19" w:rsidRDefault="00BD7F19"/>
    <w:p w14:paraId="677629C1" w14:textId="2B073EA8" w:rsidR="00BD7F19" w:rsidRDefault="0079729C">
      <w:pPr>
        <w:jc w:val="center"/>
      </w:pPr>
      <w:r>
        <w:rPr>
          <w:noProof/>
        </w:rPr>
        <w:lastRenderedPageBreak/>
        <w:drawing>
          <wp:inline distT="0" distB="0" distL="0" distR="0" wp14:anchorId="4FFB8C92" wp14:editId="6EC0F325">
            <wp:extent cx="5727700" cy="2291080"/>
            <wp:effectExtent l="0" t="0" r="0" b="0"/>
            <wp:docPr id="1955181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81839" name="Picture 195518183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7700" cy="2291080"/>
                    </a:xfrm>
                    <a:prstGeom prst="rect">
                      <a:avLst/>
                    </a:prstGeom>
                  </pic:spPr>
                </pic:pic>
              </a:graphicData>
            </a:graphic>
          </wp:inline>
        </w:drawing>
      </w:r>
    </w:p>
    <w:p w14:paraId="3B2CCA0C" w14:textId="5C68936B" w:rsidR="00BD7F19" w:rsidRDefault="00000000">
      <w:pPr>
        <w:jc w:val="center"/>
        <w:rPr>
          <w:sz w:val="22"/>
          <w:szCs w:val="22"/>
        </w:rPr>
      </w:pPr>
      <w:r>
        <w:rPr>
          <w:sz w:val="22"/>
          <w:szCs w:val="22"/>
        </w:rPr>
        <w:t xml:space="preserve">Figure 10b. SOI of </w:t>
      </w:r>
      <w:r w:rsidR="00063A8D">
        <w:rPr>
          <w:sz w:val="22"/>
          <w:szCs w:val="22"/>
        </w:rPr>
        <w:t>Colombia</w:t>
      </w:r>
      <w:r>
        <w:rPr>
          <w:sz w:val="22"/>
          <w:szCs w:val="22"/>
        </w:rPr>
        <w:t xml:space="preserve"> (2019-2021)</w:t>
      </w:r>
    </w:p>
    <w:p w14:paraId="40500EA4" w14:textId="77777777" w:rsidR="00BD7F19" w:rsidRDefault="00BD7F19">
      <w:pPr>
        <w:jc w:val="both"/>
        <w:rPr>
          <w:b/>
        </w:rPr>
      </w:pPr>
    </w:p>
    <w:p w14:paraId="5A4E9313" w14:textId="77777777" w:rsidR="00BD7F19" w:rsidRDefault="00BD7F19">
      <w:pPr>
        <w:jc w:val="both"/>
        <w:rPr>
          <w:b/>
        </w:rPr>
      </w:pPr>
    </w:p>
    <w:p w14:paraId="136D3684" w14:textId="77777777" w:rsidR="00BD7F19" w:rsidRDefault="00000000">
      <w:pPr>
        <w:jc w:val="both"/>
        <w:rPr>
          <w:rFonts w:ascii="Times" w:eastAsia="Times" w:hAnsi="Times" w:cs="Times"/>
          <w:b/>
          <w:sz w:val="28"/>
          <w:szCs w:val="28"/>
        </w:rPr>
      </w:pPr>
      <w:r>
        <w:br w:type="page"/>
      </w:r>
    </w:p>
    <w:p w14:paraId="5FD12E08" w14:textId="77777777" w:rsidR="00BD7F19" w:rsidRDefault="00000000">
      <w:pPr>
        <w:jc w:val="both"/>
        <w:rPr>
          <w:rFonts w:ascii="Times" w:eastAsia="Times" w:hAnsi="Times" w:cs="Times"/>
          <w:b/>
          <w:sz w:val="28"/>
          <w:szCs w:val="28"/>
        </w:rPr>
      </w:pPr>
      <w:r>
        <w:rPr>
          <w:rFonts w:ascii="Times" w:eastAsia="Times" w:hAnsi="Times" w:cs="Times"/>
          <w:b/>
          <w:sz w:val="28"/>
          <w:szCs w:val="28"/>
        </w:rPr>
        <w:lastRenderedPageBreak/>
        <w:t>6. Concluding Remarks</w:t>
      </w:r>
    </w:p>
    <w:p w14:paraId="76DFDF11" w14:textId="77777777" w:rsidR="00BD7F19" w:rsidRDefault="00BD7F19">
      <w:pPr>
        <w:jc w:val="both"/>
      </w:pPr>
    </w:p>
    <w:p w14:paraId="057D7A2D" w14:textId="78F083BD" w:rsidR="00BD7F19" w:rsidRPr="009B127D" w:rsidRDefault="00000000">
      <w:pPr>
        <w:jc w:val="both"/>
      </w:pPr>
      <w:r w:rsidRPr="009B127D">
        <w:t xml:space="preserve">In conclusion, </w:t>
      </w:r>
      <w:r w:rsidR="00063A8D" w:rsidRPr="009B127D">
        <w:t>Colombia</w:t>
      </w:r>
      <w:r w:rsidRPr="009B127D">
        <w:t xml:space="preserve"> has demonstrated a </w:t>
      </w:r>
      <w:r w:rsidR="00E95724" w:rsidRPr="009B127D">
        <w:t>low</w:t>
      </w:r>
      <w:r w:rsidRPr="009B127D">
        <w:t xml:space="preserve"> level of economic growth in terms of </w:t>
      </w:r>
      <w:r w:rsidRPr="009B127D">
        <w:t>annual GDP increase during the period from 2013 to 2018, concurrent with an increase in economic complexity as compared with major developed economies. For 2019-2021, the growth in GDP ha</w:t>
      </w:r>
      <w:r w:rsidR="00E95724" w:rsidRPr="009B127D">
        <w:t xml:space="preserve">d an upward trend, </w:t>
      </w:r>
      <w:r w:rsidRPr="009B127D">
        <w:t xml:space="preserve">alongside a </w:t>
      </w:r>
      <w:r w:rsidR="00E95724" w:rsidRPr="009B127D">
        <w:t xml:space="preserve">large </w:t>
      </w:r>
      <w:r w:rsidRPr="009B127D">
        <w:t xml:space="preserve">boost in ECI, </w:t>
      </w:r>
      <w:r w:rsidR="00E95724" w:rsidRPr="009B127D">
        <w:t xml:space="preserve">higher than that of other </w:t>
      </w:r>
      <w:r w:rsidRPr="009B127D">
        <w:t xml:space="preserve">comparable </w:t>
      </w:r>
      <w:r w:rsidR="00E95724" w:rsidRPr="009B127D">
        <w:t>countries</w:t>
      </w:r>
      <w:r w:rsidRPr="009B127D">
        <w:t xml:space="preserve"> and </w:t>
      </w:r>
      <w:r w:rsidR="00E95724" w:rsidRPr="009B127D">
        <w:t xml:space="preserve">even </w:t>
      </w:r>
      <w:r w:rsidRPr="009B127D">
        <w:t xml:space="preserve">some of the leading </w:t>
      </w:r>
      <w:r w:rsidR="00E95724" w:rsidRPr="009B127D">
        <w:t>economies</w:t>
      </w:r>
      <w:r w:rsidRPr="009B127D">
        <w:t xml:space="preserve"> in the world.</w:t>
      </w:r>
    </w:p>
    <w:p w14:paraId="39C4D283" w14:textId="77777777" w:rsidR="00BD7F19" w:rsidRPr="009B127D" w:rsidRDefault="00BD7F19">
      <w:pPr>
        <w:jc w:val="both"/>
      </w:pPr>
    </w:p>
    <w:p w14:paraId="4ECCADFA" w14:textId="4B5B3677" w:rsidR="00BD7F19" w:rsidRPr="009B127D" w:rsidRDefault="00000000">
      <w:pPr>
        <w:jc w:val="both"/>
      </w:pPr>
      <w:r w:rsidRPr="009B127D">
        <w:t xml:space="preserve">We believe that the </w:t>
      </w:r>
      <w:r w:rsidR="00E95724" w:rsidRPr="009B127D">
        <w:t>mixed</w:t>
      </w:r>
      <w:r w:rsidRPr="009B127D">
        <w:t xml:space="preserve"> progress during the first period can be partially explained through the analysis of the economic and product complexity structure of </w:t>
      </w:r>
      <w:r w:rsidR="00063A8D" w:rsidRPr="009B127D">
        <w:t>Colombia</w:t>
      </w:r>
      <w:r w:rsidRPr="009B127D">
        <w:t xml:space="preserve"> on the industry group level. The product classification system we adopt allows us to measure the realized industry development for various industry groups and to observe that </w:t>
      </w:r>
      <w:r w:rsidR="00063A8D" w:rsidRPr="009B127D">
        <w:t>Colombia</w:t>
      </w:r>
      <w:r w:rsidRPr="009B127D">
        <w:t xml:space="preserve"> </w:t>
      </w:r>
      <w:r w:rsidR="00E95724" w:rsidRPr="009B127D">
        <w:t>progressed</w:t>
      </w:r>
      <w:r w:rsidRPr="009B127D">
        <w:t xml:space="preserve"> in developing </w:t>
      </w:r>
      <w:r w:rsidR="00E95724" w:rsidRPr="009B127D">
        <w:t>some</w:t>
      </w:r>
      <w:r w:rsidRPr="009B127D">
        <w:t xml:space="preserve"> of its industries during the period while </w:t>
      </w:r>
      <w:r w:rsidR="00E95724" w:rsidRPr="009B127D">
        <w:t>some of its</w:t>
      </w:r>
      <w:r w:rsidRPr="009B127D">
        <w:t xml:space="preserve"> developed counterparts and </w:t>
      </w:r>
      <w:r w:rsidRPr="009B127D">
        <w:t>emerging economies around the globe adopted much more complex and progressive paths.</w:t>
      </w:r>
    </w:p>
    <w:p w14:paraId="1D3B271D" w14:textId="77777777" w:rsidR="00BD7F19" w:rsidRPr="009B127D" w:rsidRDefault="00BD7F19">
      <w:pPr>
        <w:jc w:val="both"/>
      </w:pPr>
    </w:p>
    <w:p w14:paraId="01584E78" w14:textId="7E6F33BE" w:rsidR="00BD7F19" w:rsidRPr="009B127D" w:rsidRDefault="00000000">
      <w:pPr>
        <w:jc w:val="both"/>
      </w:pPr>
      <w:r w:rsidRPr="009B127D">
        <w:t xml:space="preserve">Based on our analysis of the opportunity gain and sensitivity analysis of major industry groups for 2013-2018, </w:t>
      </w:r>
      <w:r w:rsidR="00063A8D" w:rsidRPr="009B127D">
        <w:t>Colombia</w:t>
      </w:r>
      <w:r w:rsidRPr="009B127D">
        <w:t xml:space="preserve"> can further its gains by prioritizing </w:t>
      </w:r>
      <w:r w:rsidR="00E95724" w:rsidRPr="009B127D">
        <w:t>Machinery and Construction and Chemical Manufacturing</w:t>
      </w:r>
      <w:r w:rsidRPr="009B127D">
        <w:t xml:space="preserve">. We further note that </w:t>
      </w:r>
      <w:r w:rsidR="00063A8D" w:rsidRPr="009B127D">
        <w:t>Colombia</w:t>
      </w:r>
      <w:r w:rsidRPr="009B127D">
        <w:t xml:space="preserve"> has a </w:t>
      </w:r>
      <w:r w:rsidR="009B127D" w:rsidRPr="009B127D">
        <w:t>less efficient</w:t>
      </w:r>
      <w:r w:rsidRPr="009B127D">
        <w:t xml:space="preserve"> development strategy that indicates a </w:t>
      </w:r>
      <w:r w:rsidR="009B127D" w:rsidRPr="009B127D">
        <w:t xml:space="preserve">lower </w:t>
      </w:r>
      <w:r w:rsidRPr="009B127D">
        <w:t xml:space="preserve">level (compared to other developed countries) of structural optimality on the complexity level, having an adjusted R-square of around </w:t>
      </w:r>
      <w:r w:rsidR="009B127D" w:rsidRPr="009B127D">
        <w:t>0.054</w:t>
      </w:r>
      <w:r w:rsidRPr="009B127D">
        <w:t xml:space="preserve">. Since a </w:t>
      </w:r>
      <w:r w:rsidR="009B127D" w:rsidRPr="009B127D">
        <w:t>low</w:t>
      </w:r>
      <w:r w:rsidRPr="009B127D">
        <w:t xml:space="preserve"> positive correlation exists between five-year GDP growth and the structural optimality index of an economy as we define and calculate, </w:t>
      </w:r>
      <w:r w:rsidR="00063A8D" w:rsidRPr="009B127D">
        <w:t>Colombia</w:t>
      </w:r>
      <w:r w:rsidRPr="009B127D">
        <w:t xml:space="preserve"> indeed </w:t>
      </w:r>
      <w:r w:rsidR="009B127D" w:rsidRPr="009B127D">
        <w:t xml:space="preserve">has experienced suboptimal </w:t>
      </w:r>
      <w:r w:rsidRPr="009B127D">
        <w:t>growth as compared with fast-growing economies both on a regional scale and on a global scale and</w:t>
      </w:r>
      <w:r w:rsidR="00325555">
        <w:t xml:space="preserve"> </w:t>
      </w:r>
      <w:r w:rsidRPr="009B127D">
        <w:t>has the potential to further its economic gains through industrial structure optimization as suggested in the paper.</w:t>
      </w:r>
    </w:p>
    <w:p w14:paraId="33C6F749" w14:textId="77777777" w:rsidR="00BD7F19" w:rsidRPr="00167D04" w:rsidRDefault="00BD7F19">
      <w:pPr>
        <w:jc w:val="both"/>
        <w:rPr>
          <w:b/>
          <w:bCs/>
        </w:rPr>
      </w:pPr>
    </w:p>
    <w:p w14:paraId="73096D01" w14:textId="06810CF4" w:rsidR="00BD7F19" w:rsidRPr="00325555" w:rsidRDefault="00000000">
      <w:pPr>
        <w:jc w:val="both"/>
      </w:pPr>
      <w:r w:rsidRPr="00325555">
        <w:t>During the second examined period</w:t>
      </w:r>
      <w:r w:rsidR="009B127D" w:rsidRPr="00325555">
        <w:t>,</w:t>
      </w:r>
      <w:r w:rsidRPr="00325555">
        <w:t xml:space="preserve"> from 2019 to 2021, </w:t>
      </w:r>
      <w:r w:rsidR="00063A8D" w:rsidRPr="00325555">
        <w:t>Colombia</w:t>
      </w:r>
      <w:r w:rsidRPr="00325555">
        <w:t xml:space="preserve"> performed much </w:t>
      </w:r>
      <w:r w:rsidR="009B127D" w:rsidRPr="00325555">
        <w:t>weaker</w:t>
      </w:r>
      <w:r w:rsidRPr="00325555">
        <w:t xml:space="preserve"> than before and compared to other countries, particularly</w:t>
      </w:r>
      <w:r w:rsidR="009B127D" w:rsidRPr="00325555">
        <w:t xml:space="preserve"> Mexico and </w:t>
      </w:r>
      <w:r w:rsidR="00325555" w:rsidRPr="00325555">
        <w:t>Saudi</w:t>
      </w:r>
      <w:r w:rsidR="009B127D" w:rsidRPr="00325555">
        <w:t xml:space="preserve"> Arabia</w:t>
      </w:r>
      <w:r w:rsidRPr="00325555">
        <w:t xml:space="preserve">. We infer that during the COVID-19 period, </w:t>
      </w:r>
      <w:r w:rsidR="00063A8D" w:rsidRPr="00325555">
        <w:t>Colombia</w:t>
      </w:r>
      <w:r w:rsidRPr="00325555">
        <w:t xml:space="preserve"> focused on developing higher complexity industries despite a </w:t>
      </w:r>
      <w:r w:rsidR="00325555" w:rsidRPr="00325555">
        <w:t xml:space="preserve">downturn </w:t>
      </w:r>
      <w:r w:rsidRPr="00325555">
        <w:t>for these industries</w:t>
      </w:r>
      <w:r w:rsidR="00325555" w:rsidRPr="00325555">
        <w:t>,</w:t>
      </w:r>
      <w:r w:rsidRPr="00325555">
        <w:t xml:space="preserve"> given the global economic downturn</w:t>
      </w:r>
      <w:r w:rsidR="00325555" w:rsidRPr="00325555">
        <w:t>.</w:t>
      </w:r>
      <w:r w:rsidRPr="00325555">
        <w:t xml:space="preserve"> We also note that </w:t>
      </w:r>
      <w:r w:rsidR="00063A8D" w:rsidRPr="00325555">
        <w:t>Colombia</w:t>
      </w:r>
      <w:r w:rsidRPr="00325555">
        <w:t xml:space="preserve"> has increased its investment in the sectors identified earlier, leading to a boost from</w:t>
      </w:r>
      <w:r w:rsidR="00325555" w:rsidRPr="00325555">
        <w:t xml:space="preserve"> </w:t>
      </w:r>
      <w:r w:rsidR="00325555" w:rsidRPr="00325555">
        <w:t>Machinery and Construction High-Complexity Products</w:t>
      </w:r>
      <w:r w:rsidR="00325555" w:rsidRPr="00325555">
        <w:t xml:space="preserve"> </w:t>
      </w:r>
      <w:r w:rsidRPr="00325555">
        <w:t xml:space="preserve">industries, leaving some room for strategic improvement. It did invest in the industries which contributed the most to its advancements, such as </w:t>
      </w:r>
      <w:r w:rsidR="00325555" w:rsidRPr="00325555">
        <w:t xml:space="preserve">Energy and </w:t>
      </w:r>
      <w:r w:rsidR="00325555" w:rsidRPr="00325555">
        <w:t>Mining industries</w:t>
      </w:r>
      <w:r w:rsidRPr="00325555">
        <w:t xml:space="preserve">. The ECI suggests that greater growth could have been achieved through </w:t>
      </w:r>
      <w:r w:rsidR="00325555" w:rsidRPr="00325555">
        <w:t>Animals and By-products and Transportation</w:t>
      </w:r>
      <w:r w:rsidRPr="00325555">
        <w:t xml:space="preserve">. The </w:t>
      </w:r>
      <w:r w:rsidR="00325555" w:rsidRPr="00325555">
        <w:t>instability</w:t>
      </w:r>
      <w:r w:rsidRPr="00325555">
        <w:t xml:space="preserve"> also </w:t>
      </w:r>
      <w:r w:rsidR="00325555" w:rsidRPr="00325555">
        <w:t>decreased</w:t>
      </w:r>
      <w:r w:rsidRPr="00325555">
        <w:t xml:space="preserve"> the adjusted R-squared value to </w:t>
      </w:r>
      <w:r w:rsidR="009B127D" w:rsidRPr="00325555">
        <w:t>0.</w:t>
      </w:r>
      <w:r w:rsidR="00325555" w:rsidRPr="00325555">
        <w:t>0</w:t>
      </w:r>
      <w:r w:rsidR="009B127D" w:rsidRPr="00325555">
        <w:t>23</w:t>
      </w:r>
      <w:r w:rsidRPr="00325555">
        <w:t xml:space="preserve"> in 2021 from </w:t>
      </w:r>
      <w:r w:rsidR="00325555" w:rsidRPr="00325555">
        <w:t xml:space="preserve">0.054 </w:t>
      </w:r>
      <w:r w:rsidRPr="00325555">
        <w:t xml:space="preserve">in 2018, demonstrating </w:t>
      </w:r>
      <w:r w:rsidR="00325555" w:rsidRPr="00325555">
        <w:t xml:space="preserve">that </w:t>
      </w:r>
      <w:r w:rsidRPr="00325555">
        <w:t xml:space="preserve">the pursued strategies </w:t>
      </w:r>
      <w:r w:rsidR="00325555" w:rsidRPr="00325555">
        <w:t xml:space="preserve">did not </w:t>
      </w:r>
      <w:r w:rsidRPr="00325555">
        <w:t>contribut</w:t>
      </w:r>
      <w:r w:rsidR="00325555" w:rsidRPr="00325555">
        <w:t>e</w:t>
      </w:r>
      <w:r w:rsidRPr="00325555">
        <w:t xml:space="preserve"> to the GDP</w:t>
      </w:r>
      <w:r w:rsidR="00325555" w:rsidRPr="00325555">
        <w:t xml:space="preserve"> to the fullest</w:t>
      </w:r>
      <w:r w:rsidRPr="00325555">
        <w:t xml:space="preserve">. With the revised focus, </w:t>
      </w:r>
      <w:r w:rsidR="00063A8D" w:rsidRPr="00325555">
        <w:t>Colombia</w:t>
      </w:r>
      <w:r w:rsidRPr="00325555">
        <w:t xml:space="preserve"> has further potential to advance its economic growth to maintain its position among other countries to continue its post-pandemic recovery</w:t>
      </w:r>
      <w:r w:rsidR="00325555" w:rsidRPr="00325555">
        <w:t>.</w:t>
      </w:r>
    </w:p>
    <w:p w14:paraId="4BA7C1A0" w14:textId="77777777" w:rsidR="00BD7F19" w:rsidRDefault="00BD7F19">
      <w:pPr>
        <w:jc w:val="both"/>
      </w:pPr>
    </w:p>
    <w:p w14:paraId="7DBBFBE6" w14:textId="77777777" w:rsidR="00BD7F19" w:rsidRDefault="00BD7F19">
      <w:pPr>
        <w:jc w:val="both"/>
      </w:pPr>
    </w:p>
    <w:p w14:paraId="2FBBB286" w14:textId="77777777" w:rsidR="00BD7F19" w:rsidRDefault="00BD7F19">
      <w:pPr>
        <w:jc w:val="both"/>
      </w:pPr>
    </w:p>
    <w:p w14:paraId="4EBC7DD8" w14:textId="77777777" w:rsidR="00BD7F19" w:rsidRDefault="00BD7F19">
      <w:pPr>
        <w:jc w:val="both"/>
      </w:pPr>
    </w:p>
    <w:p w14:paraId="3034A608" w14:textId="77777777" w:rsidR="00BD7F19" w:rsidRDefault="00000000">
      <w:pPr>
        <w:jc w:val="both"/>
        <w:rPr>
          <w:b/>
          <w:sz w:val="28"/>
          <w:szCs w:val="28"/>
        </w:rPr>
      </w:pPr>
      <w:r>
        <w:br w:type="page"/>
      </w:r>
    </w:p>
    <w:p w14:paraId="6ED23D39" w14:textId="77777777" w:rsidR="00BD7F19" w:rsidRDefault="00000000">
      <w:pPr>
        <w:jc w:val="both"/>
        <w:rPr>
          <w:b/>
          <w:sz w:val="28"/>
          <w:szCs w:val="28"/>
        </w:rPr>
      </w:pPr>
      <w:r>
        <w:rPr>
          <w:b/>
          <w:sz w:val="28"/>
          <w:szCs w:val="28"/>
        </w:rPr>
        <w:lastRenderedPageBreak/>
        <w:t>References</w:t>
      </w:r>
    </w:p>
    <w:p w14:paraId="12839604" w14:textId="77777777" w:rsidR="00BD7F19" w:rsidRDefault="00BD7F19">
      <w:pPr>
        <w:jc w:val="both"/>
        <w:rPr>
          <w:b/>
          <w:sz w:val="28"/>
          <w:szCs w:val="28"/>
        </w:rPr>
      </w:pPr>
    </w:p>
    <w:p w14:paraId="5D1ED6EA" w14:textId="77777777" w:rsidR="00BD7F19" w:rsidRDefault="00000000">
      <w:pPr>
        <w:jc w:val="both"/>
        <w:rPr>
          <w:color w:val="000000"/>
          <w:highlight w:val="white"/>
        </w:rPr>
      </w:pPr>
      <w:r>
        <w:rPr>
          <w:color w:val="000000"/>
          <w:highlight w:val="white"/>
        </w:rPr>
        <w:t xml:space="preserve">Hausmann, R., Hidalgo, C., Bustos, S., </w:t>
      </w:r>
      <w:proofErr w:type="spellStart"/>
      <w:r>
        <w:rPr>
          <w:color w:val="000000"/>
          <w:highlight w:val="white"/>
        </w:rPr>
        <w:t>Coscia</w:t>
      </w:r>
      <w:proofErr w:type="spellEnd"/>
      <w:r>
        <w:rPr>
          <w:color w:val="000000"/>
          <w:highlight w:val="white"/>
        </w:rPr>
        <w:t xml:space="preserve">, M., Chung, S., Jimenez, J., </w:t>
      </w:r>
      <w:proofErr w:type="spellStart"/>
      <w:r>
        <w:rPr>
          <w:color w:val="000000"/>
          <w:highlight w:val="white"/>
        </w:rPr>
        <w:t>Simoes</w:t>
      </w:r>
      <w:proofErr w:type="spellEnd"/>
      <w:r>
        <w:rPr>
          <w:color w:val="000000"/>
          <w:highlight w:val="white"/>
        </w:rPr>
        <w:t xml:space="preserve">, A. and </w:t>
      </w:r>
      <w:proofErr w:type="spellStart"/>
      <w:r>
        <w:rPr>
          <w:color w:val="000000"/>
          <w:highlight w:val="white"/>
        </w:rPr>
        <w:t>Yıldırım</w:t>
      </w:r>
      <w:proofErr w:type="spellEnd"/>
      <w:r>
        <w:rPr>
          <w:color w:val="000000"/>
          <w:highlight w:val="white"/>
        </w:rPr>
        <w:t>, M. (2007). </w:t>
      </w:r>
      <w:r>
        <w:rPr>
          <w:i/>
          <w:color w:val="000000"/>
          <w:highlight w:val="white"/>
        </w:rPr>
        <w:t>The Atlas of Economic Complexity</w:t>
      </w:r>
      <w:r>
        <w:rPr>
          <w:color w:val="000000"/>
          <w:highlight w:val="white"/>
        </w:rPr>
        <w:t>. [online] Atlas.cid.harvard.edu. Available at: http://atlas.cid.harvard.edu/.</w:t>
      </w:r>
    </w:p>
    <w:p w14:paraId="0327C972" w14:textId="77777777" w:rsidR="00BD7F19" w:rsidRDefault="00BD7F19">
      <w:pPr>
        <w:jc w:val="both"/>
        <w:rPr>
          <w:color w:val="000000"/>
          <w:highlight w:val="white"/>
        </w:rPr>
      </w:pPr>
    </w:p>
    <w:p w14:paraId="2867C640" w14:textId="77777777" w:rsidR="00BD7F19" w:rsidRDefault="00000000">
      <w:pPr>
        <w:jc w:val="both"/>
        <w:rPr>
          <w:color w:val="000000"/>
          <w:highlight w:val="white"/>
        </w:rPr>
      </w:pPr>
      <w:r>
        <w:rPr>
          <w:color w:val="000000"/>
          <w:highlight w:val="white"/>
        </w:rPr>
        <w:t xml:space="preserve">Balassa, B., “The Purchasing Power Parity Doctrine - A </w:t>
      </w:r>
      <w:proofErr w:type="spellStart"/>
      <w:r>
        <w:rPr>
          <w:color w:val="000000"/>
          <w:highlight w:val="white"/>
        </w:rPr>
        <w:t>Reapprais</w:t>
      </w:r>
      <w:proofErr w:type="spellEnd"/>
      <w:r>
        <w:rPr>
          <w:color w:val="000000"/>
          <w:highlight w:val="white"/>
        </w:rPr>
        <w:t xml:space="preserve">- al,” </w:t>
      </w:r>
      <w:r>
        <w:rPr>
          <w:i/>
          <w:color w:val="000000"/>
          <w:highlight w:val="white"/>
        </w:rPr>
        <w:t xml:space="preserve">Journal of Political Economy </w:t>
      </w:r>
      <w:r>
        <w:rPr>
          <w:b/>
          <w:color w:val="000000"/>
          <w:highlight w:val="white"/>
        </w:rPr>
        <w:t>72</w:t>
      </w:r>
      <w:r>
        <w:rPr>
          <w:color w:val="000000"/>
          <w:highlight w:val="white"/>
        </w:rPr>
        <w:t xml:space="preserve">, 584-596 (1964). </w:t>
      </w:r>
    </w:p>
    <w:p w14:paraId="302D42B2" w14:textId="77777777" w:rsidR="00BD7F19" w:rsidRDefault="00BD7F19">
      <w:pPr>
        <w:jc w:val="both"/>
        <w:rPr>
          <w:color w:val="000000"/>
          <w:highlight w:val="white"/>
        </w:rPr>
      </w:pPr>
    </w:p>
    <w:p w14:paraId="53646F0B" w14:textId="77777777" w:rsidR="00BD7F19" w:rsidRDefault="00000000">
      <w:pPr>
        <w:jc w:val="both"/>
        <w:rPr>
          <w:color w:val="000000"/>
          <w:highlight w:val="white"/>
        </w:rPr>
      </w:pPr>
      <w:proofErr w:type="spellStart"/>
      <w:r>
        <w:rPr>
          <w:color w:val="000000"/>
          <w:highlight w:val="white"/>
        </w:rPr>
        <w:t>Feenstra</w:t>
      </w:r>
      <w:proofErr w:type="spellEnd"/>
      <w:r>
        <w:rPr>
          <w:color w:val="000000"/>
          <w:highlight w:val="white"/>
        </w:rPr>
        <w:t xml:space="preserve">, R.; Lipsey, R.; Deng, H.; Ma, A. &amp; Mo, H. “World Trade Flows: 1962-2000” NBER working paper 11040. National Bureau of Economic Research, Cambridge MA (2005). </w:t>
      </w:r>
    </w:p>
    <w:p w14:paraId="4F04E4AB" w14:textId="77777777" w:rsidR="00BD7F19" w:rsidRDefault="00BD7F19">
      <w:pPr>
        <w:jc w:val="both"/>
        <w:rPr>
          <w:color w:val="000000"/>
          <w:highlight w:val="white"/>
        </w:rPr>
      </w:pPr>
    </w:p>
    <w:p w14:paraId="09C54EA3" w14:textId="77777777" w:rsidR="00BD7F19" w:rsidRDefault="00000000">
      <w:pPr>
        <w:jc w:val="both"/>
        <w:rPr>
          <w:color w:val="000000"/>
          <w:highlight w:val="white"/>
        </w:rPr>
      </w:pPr>
      <w:r>
        <w:rPr>
          <w:color w:val="000000"/>
          <w:highlight w:val="white"/>
        </w:rPr>
        <w:t xml:space="preserve">United Nations Commodity Trade Statistics Database (http://comtrade.un.org/db/), accessed in August 2019. </w:t>
      </w:r>
    </w:p>
    <w:p w14:paraId="716686DF" w14:textId="77777777" w:rsidR="00BD7F19" w:rsidRDefault="00BD7F19">
      <w:pPr>
        <w:jc w:val="both"/>
        <w:rPr>
          <w:color w:val="000000"/>
          <w:highlight w:val="white"/>
        </w:rPr>
      </w:pPr>
    </w:p>
    <w:p w14:paraId="05511A0B" w14:textId="77777777" w:rsidR="00BD7F19" w:rsidRDefault="00000000">
      <w:pPr>
        <w:jc w:val="both"/>
        <w:rPr>
          <w:color w:val="000000"/>
          <w:highlight w:val="white"/>
        </w:rPr>
      </w:pPr>
      <w:r>
        <w:rPr>
          <w:color w:val="000000"/>
          <w:highlight w:val="white"/>
        </w:rPr>
        <w:t xml:space="preserve">The World Economic Forum, “The global competitiveness report,” (various years). </w:t>
      </w:r>
    </w:p>
    <w:p w14:paraId="1360C362" w14:textId="77777777" w:rsidR="00BD7F19" w:rsidRDefault="00BD7F19">
      <w:pPr>
        <w:jc w:val="both"/>
        <w:rPr>
          <w:color w:val="000000"/>
          <w:highlight w:val="white"/>
        </w:rPr>
      </w:pPr>
    </w:p>
    <w:p w14:paraId="0234409A" w14:textId="77777777" w:rsidR="00BD7F19" w:rsidRDefault="00000000">
      <w:pPr>
        <w:jc w:val="both"/>
        <w:rPr>
          <w:color w:val="000000"/>
          <w:highlight w:val="white"/>
        </w:rPr>
      </w:pPr>
      <w:r>
        <w:rPr>
          <w:color w:val="000000"/>
          <w:highlight w:val="white"/>
        </w:rPr>
        <w:t xml:space="preserve">Barro, R. &amp; Lee, J-W. “A New Data Set of Educational Attainment in the World, 1950-2010,” NBER Working Paper No. 1590 (2010). </w:t>
      </w:r>
    </w:p>
    <w:p w14:paraId="299EF7B0" w14:textId="77777777" w:rsidR="00BD7F19" w:rsidRDefault="00BD7F19">
      <w:pPr>
        <w:jc w:val="both"/>
        <w:rPr>
          <w:color w:val="000000"/>
          <w:highlight w:val="white"/>
        </w:rPr>
      </w:pPr>
    </w:p>
    <w:p w14:paraId="5290E711" w14:textId="77777777" w:rsidR="00BD7F19" w:rsidRDefault="00000000">
      <w:pPr>
        <w:jc w:val="both"/>
        <w:rPr>
          <w:color w:val="000000"/>
          <w:highlight w:val="white"/>
        </w:rPr>
      </w:pPr>
      <w:r>
        <w:rPr>
          <w:color w:val="000000"/>
          <w:highlight w:val="white"/>
        </w:rPr>
        <w:t xml:space="preserve">Kaufmann, D. &amp; </w:t>
      </w:r>
      <w:proofErr w:type="spellStart"/>
      <w:r>
        <w:rPr>
          <w:color w:val="000000"/>
          <w:highlight w:val="white"/>
        </w:rPr>
        <w:t>Kraay</w:t>
      </w:r>
      <w:proofErr w:type="spellEnd"/>
      <w:r>
        <w:rPr>
          <w:color w:val="000000"/>
          <w:highlight w:val="white"/>
        </w:rPr>
        <w:t xml:space="preserve">, A. “Governance Indicators: Where Are We, Where Should We Be Going?” Policy Research Working Paper 4370. Washington, DC: World Bank (2008). </w:t>
      </w:r>
    </w:p>
    <w:p w14:paraId="1BFD56A3" w14:textId="77777777" w:rsidR="00BD7F19" w:rsidRDefault="00BD7F19">
      <w:pPr>
        <w:jc w:val="both"/>
        <w:rPr>
          <w:color w:val="000000"/>
          <w:highlight w:val="white"/>
        </w:rPr>
      </w:pPr>
    </w:p>
    <w:p w14:paraId="60F16E6D" w14:textId="77777777" w:rsidR="00BD7F19" w:rsidRDefault="00000000">
      <w:pPr>
        <w:jc w:val="both"/>
        <w:rPr>
          <w:color w:val="000000"/>
          <w:highlight w:val="white"/>
        </w:rPr>
      </w:pPr>
      <w:r>
        <w:rPr>
          <w:color w:val="000000"/>
          <w:highlight w:val="white"/>
        </w:rPr>
        <w:t xml:space="preserve">Hanushek, E.A. &amp; </w:t>
      </w:r>
      <w:proofErr w:type="spellStart"/>
      <w:r>
        <w:rPr>
          <w:color w:val="000000"/>
          <w:highlight w:val="white"/>
        </w:rPr>
        <w:t>Woessmann</w:t>
      </w:r>
      <w:proofErr w:type="spellEnd"/>
      <w:r>
        <w:rPr>
          <w:color w:val="000000"/>
          <w:highlight w:val="white"/>
        </w:rPr>
        <w:t xml:space="preserve">, L. “The Role of Cognitive Skills in Economic Development,” Journal of Economic Literature 46(3), 607- 668 (2008). </w:t>
      </w:r>
    </w:p>
    <w:p w14:paraId="292622D1" w14:textId="77777777" w:rsidR="00BD7F19" w:rsidRDefault="00BD7F19">
      <w:pPr>
        <w:jc w:val="both"/>
      </w:pPr>
    </w:p>
    <w:sectPr w:rsidR="00BD7F19">
      <w:headerReference w:type="default" r:id="rId42"/>
      <w:footerReference w:type="even" r:id="rId43"/>
      <w:footerReference w:type="default" r:id="rId44"/>
      <w:footerReference w:type="first" r:id="rId45"/>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1F68E" w14:textId="77777777" w:rsidR="005678E5" w:rsidRDefault="005678E5">
      <w:r>
        <w:separator/>
      </w:r>
    </w:p>
  </w:endnote>
  <w:endnote w:type="continuationSeparator" w:id="0">
    <w:p w14:paraId="31FD90DA" w14:textId="77777777" w:rsidR="005678E5" w:rsidRDefault="00567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0000500000000020000"/>
    <w:charset w:val="00"/>
    <w:family w:val="auto"/>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5C843" w14:textId="77777777" w:rsidR="00BD7F19" w:rsidRDefault="00000000">
    <w:pPr>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color w:val="000000"/>
      </w:rPr>
      <w:fldChar w:fldCharType="end"/>
    </w:r>
  </w:p>
  <w:p w14:paraId="21D093F9" w14:textId="77777777" w:rsidR="00BD7F19" w:rsidRDefault="00BD7F19">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979F" w14:textId="77777777" w:rsidR="00BD7F19" w:rsidRDefault="00BD7F19">
    <w:pPr>
      <w:widowControl w:val="0"/>
      <w:pBdr>
        <w:top w:val="nil"/>
        <w:left w:val="nil"/>
        <w:bottom w:val="nil"/>
        <w:right w:val="nil"/>
        <w:between w:val="nil"/>
      </w:pBdr>
      <w:spacing w:line="276" w:lineRule="auto"/>
      <w:rPr>
        <w:rFonts w:ascii="Calibri" w:eastAsia="Calibri" w:hAnsi="Calibri" w:cs="Calibri"/>
        <w:color w:val="000000"/>
      </w:rPr>
    </w:pPr>
  </w:p>
  <w:p w14:paraId="75AE7D95" w14:textId="77777777" w:rsidR="00BD7F19" w:rsidRDefault="00BD7F19">
    <w:pPr>
      <w:pBdr>
        <w:top w:val="nil"/>
        <w:left w:val="nil"/>
        <w:bottom w:val="nil"/>
        <w:right w:val="nil"/>
        <w:between w:val="nil"/>
      </w:pBdr>
      <w:tabs>
        <w:tab w:val="center" w:pos="4680"/>
        <w:tab w:val="right" w:pos="9360"/>
      </w:tabs>
      <w:rPr>
        <w:rFonts w:ascii="Calibri" w:eastAsia="Calibri" w:hAnsi="Calibri" w:cs="Calibri"/>
      </w:rPr>
    </w:pPr>
  </w:p>
  <w:p w14:paraId="4214C0A1" w14:textId="77777777" w:rsidR="00BD7F19"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316CE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D08AB" w14:textId="77777777" w:rsidR="00BD7F19"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8FF2A" w14:textId="77777777" w:rsidR="005678E5" w:rsidRDefault="005678E5">
      <w:r>
        <w:separator/>
      </w:r>
    </w:p>
  </w:footnote>
  <w:footnote w:type="continuationSeparator" w:id="0">
    <w:p w14:paraId="57EF5AE5" w14:textId="77777777" w:rsidR="005678E5" w:rsidRDefault="00567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A746B" w14:textId="77777777" w:rsidR="00BD7F19" w:rsidRDefault="00BD7F19">
    <w:pPr>
      <w:pBdr>
        <w:top w:val="nil"/>
        <w:left w:val="nil"/>
        <w:bottom w:val="nil"/>
        <w:right w:val="nil"/>
        <w:between w:val="nil"/>
      </w:pBdr>
      <w:tabs>
        <w:tab w:val="center" w:pos="4680"/>
        <w:tab w:val="right" w:pos="9360"/>
      </w:tabs>
      <w:rPr>
        <w:rFonts w:ascii="Calibri" w:eastAsia="Calibri" w:hAnsi="Calibri" w:cs="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F19"/>
    <w:rsid w:val="0004088C"/>
    <w:rsid w:val="00051F48"/>
    <w:rsid w:val="00062985"/>
    <w:rsid w:val="00063A8D"/>
    <w:rsid w:val="000E1010"/>
    <w:rsid w:val="00101AC6"/>
    <w:rsid w:val="00167D04"/>
    <w:rsid w:val="00180EEA"/>
    <w:rsid w:val="00316CE7"/>
    <w:rsid w:val="00325555"/>
    <w:rsid w:val="00377E06"/>
    <w:rsid w:val="003D266D"/>
    <w:rsid w:val="0040340D"/>
    <w:rsid w:val="00525274"/>
    <w:rsid w:val="005678E5"/>
    <w:rsid w:val="005C5D33"/>
    <w:rsid w:val="00630961"/>
    <w:rsid w:val="006364BD"/>
    <w:rsid w:val="007034EC"/>
    <w:rsid w:val="00717CE1"/>
    <w:rsid w:val="00755D22"/>
    <w:rsid w:val="0079729C"/>
    <w:rsid w:val="00846FE5"/>
    <w:rsid w:val="00867B58"/>
    <w:rsid w:val="008C3920"/>
    <w:rsid w:val="0094675D"/>
    <w:rsid w:val="009B127D"/>
    <w:rsid w:val="00A51A1F"/>
    <w:rsid w:val="00A56A25"/>
    <w:rsid w:val="00AD2B59"/>
    <w:rsid w:val="00BD7F19"/>
    <w:rsid w:val="00D41B3E"/>
    <w:rsid w:val="00D45E64"/>
    <w:rsid w:val="00D87FAE"/>
    <w:rsid w:val="00E30742"/>
    <w:rsid w:val="00E34EA7"/>
    <w:rsid w:val="00E95724"/>
    <w:rsid w:val="00EC473D"/>
    <w:rsid w:val="00F3062F"/>
    <w:rsid w:val="00F3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DF41"/>
  <w15:docId w15:val="{00614AEF-49BF-2E41-96DB-24E8644E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4">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5">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6">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D2B59"/>
    <w:rPr>
      <w:b/>
      <w:bCs/>
    </w:rPr>
  </w:style>
  <w:style w:type="character" w:customStyle="1" w:styleId="CommentSubjectChar">
    <w:name w:val="Comment Subject Char"/>
    <w:basedOn w:val="CommentTextChar"/>
    <w:link w:val="CommentSubject"/>
    <w:uiPriority w:val="99"/>
    <w:semiHidden/>
    <w:rsid w:val="00AD2B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jp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508</TotalTime>
  <Pages>27</Pages>
  <Words>6810</Words>
  <Characters>38820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Margarita Demkina</cp:lastModifiedBy>
  <cp:revision>21</cp:revision>
  <dcterms:created xsi:type="dcterms:W3CDTF">2023-05-13T00:29:00Z</dcterms:created>
  <dcterms:modified xsi:type="dcterms:W3CDTF">2023-05-13T18:51:00Z</dcterms:modified>
</cp:coreProperties>
</file>