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7"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5" name="image31.png"/>
            <a:graphic>
              <a:graphicData uri="http://schemas.openxmlformats.org/drawingml/2006/picture">
                <pic:pic>
                  <pic:nvPicPr>
                    <pic:cNvPr id="0" name="image3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Denmark</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Denmark</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Denmark went through during the period from 2013 to 2021. Specifically, we dive into the topic through a macroeconomic overview of Denmark from the perspective of Gross Domestic Product (GDP) and Economic Complexity Index (ECI), which reflect countries’ production capability and production structure, respectively. We find that during the period of our interest, Denmark demonstrated a moderate level of economic growth with an average annual GDP growth rate of 3.57% between 2013 and 2018 and 4.66% between 2019 and 2021, concurrent with a decrease in economic complexity as compared with other major developed economies. </w:t>
      </w: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Denmark on the industry group level. The product classification system we adopt allows us to measure the realized industry development for various industry groups and to observe th</w:t>
      </w:r>
      <w:r w:rsidDel="00000000" w:rsidR="00000000" w:rsidRPr="00000000">
        <w:rPr>
          <w:rtl w:val="0"/>
        </w:rPr>
        <w:t xml:space="preserve">at Denmark consistently relied on developing the Food and Preparations, Wood Products, and Chemicals industries in 2013-2018</w:t>
      </w:r>
      <w:r w:rsidDel="00000000" w:rsidR="00000000" w:rsidRPr="00000000">
        <w:rPr>
          <w:rtl w:val="0"/>
        </w:rPr>
        <w:t xml:space="preserve"> and High-complexity products and Chemical Manufacturing in 2019-2021.</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a sensitivity analysis of major industry groups, Denmark could have furthered its gains by prioritizing High-Complexity Products and Transportation in 2018. Three years later, in 2021, its focus again should have been aligned to Transportation, which is consistently underdeveloped. We further note that Denmark has a slightly mismatched development strategy that indicates an average (compared to other developed economies) level of structural optimality on the complexity level, having an adjusted R-square of around 4.8% in 2018 and a lower score of 2.4% in 2021, demonstrating degradation in development. Since a significant positive correlation exists between five-year GDP growth and the structural optimality index of an economy as we define and calculate, Denmark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following showed a significant improvement in Denmark’s economic growth, boosting its position on the global scale. Although its GDP did not drop significantly during the pandemic, its ECI fell, similar to its peer countries. Its current strategy still has the viable potential, however, we recommend the following to increase its performance and optimize its structure further.</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Denmark went through during the period from 2019 to 2021, before and after the COVID pandemic, compared to its performance from 2013 to 2018, before and after the COVID-19 pandemic.</w:t>
      </w:r>
      <w:r w:rsidDel="00000000" w:rsidR="00000000" w:rsidRPr="00000000">
        <w:rPr>
          <w:rtl w:val="0"/>
        </w:rPr>
        <w:t xml:space="preserve"> Specifically, we dive into the topic through a macroeconomic overview of Denmark from the perspective of Gross Domestic Product (GDP) and Economic Complexity Index (ECI), which reflect countries’ production capability and production structure, respectively. We then analyze the industrial framework and changes of Denmark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Denmark,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b w:val="1"/>
          <w:bCs w:val="1"/>
          <w:rtl w:val="0"/>
        </w:rPr>
        <w:t xml:space="preserve">2.1 GDP Ranking and Changes</w:t>
      </w: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t xml:space="preserve">Figure 1a illustrates the time-series GDP results for Denmark and three of its peer countries (Norway, Sweden, Finland) from 2013-2018. Denmark displays consistent, upward growth over the period, which is similar to Finland and Sweden, but different from the volatile, up-and-down GDP growth of Norway. Denmark stands out as it leads in average annual GDP growth rate among its peers; its AAGR of 3.57% is clearly above that of Norway (0.54%), Sweden (3.44%), and Finland (2.84%). </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Figure 1b shows the GDP levels for Denmark and the same peer countries from 2019 to 2021. Similar to the other countries, Denmark’s GDP was largely unaffected by the pandemic in 2020 while experiencing growth in the aftermath. Over these three years, Denmark's average annual GDP growth rate (4.66%) is slightly lower than others, such as Norway (7.55%) and Sweden (5.77%) but higher than Finland (3.76%).</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drawing>
          <wp:inline distB="114300" distT="114300" distL="114300" distR="114300">
            <wp:extent cx="2565539" cy="1747838"/>
            <wp:effectExtent b="0" l="0" r="0" t="0"/>
            <wp:docPr id="31"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565539" cy="1747838"/>
                    </a:xfrm>
                    <a:prstGeom prst="rect"/>
                    <a:ln/>
                  </pic:spPr>
                </pic:pic>
              </a:graphicData>
            </a:graphic>
          </wp:inline>
        </w:drawing>
      </w:r>
      <w:r w:rsidDel="00000000" w:rsidR="00000000" w:rsidRPr="00000000">
        <w:rPr/>
        <w:drawing>
          <wp:inline distB="114300" distT="114300" distL="114300" distR="114300">
            <wp:extent cx="2625563" cy="1789709"/>
            <wp:effectExtent b="0" l="0" r="0" t="0"/>
            <wp:docPr id="35"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2625563" cy="17897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4">
      <w:pPr>
        <w:pageBreakBefore w:val="0"/>
        <w:jc w:val="both"/>
        <w:rPr>
          <w:b w:val="1"/>
          <w:bCs w:val="1"/>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8">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As shown, Denmark exhibits a small decrease in production capability from 2013 to 2018. However, this decrease (-9.25%) is noticeably lower than that of Norway (-351.33%), Sweden (-33.82%), and Finland (-15.68%). Denmark clearly shows strong economic fundamentals over the period, as it has the highest GDP growth rate and highest ECI percent change compared to its peers.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comparable countries maintained a small change in ECI level between 2019 and 2020, with a sharp change between 2020 and 2021. Denmark exhibits a large decline in production capability in 2021 to levels not seen prior, with disruptions due to the pandemic being the primary reason. Denmark has seen a -175% decrease in its ECI, which is a milder decrease than Sweden (-209%) and Finland (-267%) but smaller than Norway’s increase (153%).</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center"/>
        <w:rPr/>
      </w:pPr>
      <w:r w:rsidDel="00000000" w:rsidR="00000000" w:rsidRPr="00000000">
        <w:rPr/>
        <w:drawing>
          <wp:inline distB="114300" distT="114300" distL="114300" distR="114300">
            <wp:extent cx="2139788" cy="1436571"/>
            <wp:effectExtent b="0" l="0" r="0" t="0"/>
            <wp:docPr id="2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139788" cy="1436571"/>
                    </a:xfrm>
                    <a:prstGeom prst="rect"/>
                    <a:ln/>
                  </pic:spPr>
                </pic:pic>
              </a:graphicData>
            </a:graphic>
          </wp:inline>
        </w:drawing>
      </w:r>
      <w:r w:rsidDel="00000000" w:rsidR="00000000" w:rsidRPr="00000000">
        <w:rPr/>
        <w:drawing>
          <wp:inline distB="114300" distT="114300" distL="114300" distR="114300">
            <wp:extent cx="2105247" cy="1414463"/>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05247"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0">
      <w:pPr>
        <w:pageBreakBefore w:val="0"/>
        <w:jc w:val="center"/>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Figure 3a and 3b offers a further comparison of GDP Growth and ECI over the time span from 2013 to 2021 for Denmark. The steady increase in GDP growth during the period from 2013 to 2018 is accompanied by a volatile eventual decrease in ECI (though ECI seems to rebound near the end of the period). Similarly, between 2019-2021, the decrease in ECI is accompanied by steady increases in GDP. The results show that the economic growth experienced by Denmark during the period from 2013 to 2018 is not very consistent with the predictions by ECI (the most egregious contrast can be seen by the fact that 2016-17 had the highest GDP growth rate but had a sharp ECI decrease) and that Denmark had not yet effectively developed a competitive product space that helps to accumulate complicated knowledge and technology. In order to provide a more concrete answer to why this has happened, we will dive into an analysis of Denmark’s production structure and its product space designs in the next few chapters. </w:t>
      </w:r>
    </w:p>
    <w:p w:rsidR="00000000" w:rsidDel="00000000" w:rsidP="00000000" w:rsidRDefault="00000000" w:rsidRPr="00000000" w14:paraId="00000032">
      <w:pPr>
        <w:pageBreakBefore w:val="0"/>
        <w:jc w:val="center"/>
        <w:rPr/>
      </w:pPr>
      <w:r w:rsidDel="00000000" w:rsidR="00000000" w:rsidRPr="00000000">
        <w:rPr/>
        <w:drawing>
          <wp:inline distB="114300" distT="114300" distL="114300" distR="114300">
            <wp:extent cx="2139788" cy="1320650"/>
            <wp:effectExtent b="0" l="0" r="0" t="0"/>
            <wp:docPr id="42"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2139788" cy="1320650"/>
                    </a:xfrm>
                    <a:prstGeom prst="rect"/>
                    <a:ln/>
                  </pic:spPr>
                </pic:pic>
              </a:graphicData>
            </a:graphic>
          </wp:inline>
        </w:drawing>
      </w:r>
      <w:r w:rsidDel="00000000" w:rsidR="00000000" w:rsidRPr="00000000">
        <w:rPr/>
        <w:drawing>
          <wp:inline distB="114300" distT="114300" distL="114300" distR="114300">
            <wp:extent cx="2030250" cy="1193787"/>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030250" cy="119378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sz w:val="22"/>
          <w:szCs w:val="22"/>
          <w:rtl w:val="0"/>
        </w:rPr>
        <w:t xml:space="preserve">Figures 3a and 3b. GDP Growth and ECI for Denmark (left: 2013-2018; right: 2019-2021)</w:t>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5">
            <w:pPr>
              <w:pageBreakBefore w:val="0"/>
              <w:jc w:val="center"/>
              <w:rPr/>
            </w:pPr>
            <w:r w:rsidDel="00000000" w:rsidR="00000000" w:rsidRPr="00000000">
              <w:rPr>
                <w:rtl w:val="0"/>
              </w:rPr>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E">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F">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4">
            <w:pPr>
              <w:pageBreakBefore w:val="0"/>
              <w:jc w:val="center"/>
              <w:rPr/>
            </w:pPr>
            <w:r w:rsidDel="00000000" w:rsidR="00000000" w:rsidRPr="00000000">
              <w:rPr>
                <w:rtl w:val="0"/>
              </w:rPr>
              <w:t xml:space="preserve">107</w:t>
            </w:r>
          </w:p>
        </w:tc>
      </w:tr>
    </w:tbl>
    <w:p w:rsidR="00000000" w:rsidDel="00000000" w:rsidP="00000000" w:rsidRDefault="00000000" w:rsidRPr="00000000" w14:paraId="00000075">
      <w:pPr>
        <w:pageBreakBefore w:val="0"/>
        <w:jc w:val="center"/>
        <w:rPr/>
      </w:pP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7">
      <w:pPr>
        <w:pageBreakBefore w:val="0"/>
        <w:jc w:val="both"/>
        <w:rPr/>
      </w:pP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3">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8">
            <w:pPr>
              <w:pageBreakBefore w:val="0"/>
              <w:jc w:val="center"/>
              <w:rPr/>
            </w:pPr>
            <w:r w:rsidDel="00000000" w:rsidR="00000000" w:rsidRPr="00000000">
              <w:rPr>
                <w:rtl w:val="0"/>
              </w:rPr>
              <w:t xml:space="preserve">21</w:t>
            </w:r>
          </w:p>
        </w:tc>
      </w:tr>
    </w:tbl>
    <w:p w:rsidR="00000000" w:rsidDel="00000000" w:rsidP="00000000" w:rsidRDefault="00000000" w:rsidRPr="00000000" w14:paraId="00000089">
      <w:pPr>
        <w:pageBreakBefore w:val="0"/>
        <w:jc w:val="center"/>
        <w:rPr/>
      </w:pP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product categorization aforementioned, we aim to capture Denmark’s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2021 and 2018 through the difference, where a positive RID indicates a shortening of the distance (i.e., advancement of the industry), and a negative RID indicates the reverse. It is notable that the number of industries with positive RID has decreased from 18 to 3 between 2018 and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drawing>
          <wp:inline distB="114300" distT="114300" distL="114300" distR="114300">
            <wp:extent cx="1509573" cy="3148013"/>
            <wp:effectExtent b="0" l="0" r="0" t="0"/>
            <wp:docPr id="33" name="image30.jpg"/>
            <a:graphic>
              <a:graphicData uri="http://schemas.openxmlformats.org/drawingml/2006/picture">
                <pic:pic>
                  <pic:nvPicPr>
                    <pic:cNvPr id="0" name="image30.jpg"/>
                    <pic:cNvPicPr preferRelativeResize="0"/>
                  </pic:nvPicPr>
                  <pic:blipFill>
                    <a:blip r:embed="rId14"/>
                    <a:srcRect b="0" l="0" r="0" t="0"/>
                    <a:stretch>
                      <a:fillRect/>
                    </a:stretch>
                  </pic:blipFill>
                  <pic:spPr>
                    <a:xfrm>
                      <a:off x="0" y="0"/>
                      <a:ext cx="1509573" cy="3148013"/>
                    </a:xfrm>
                    <a:prstGeom prst="rect"/>
                    <a:ln/>
                  </pic:spPr>
                </pic:pic>
              </a:graphicData>
            </a:graphic>
          </wp:inline>
        </w:drawing>
      </w:r>
      <w:r w:rsidDel="00000000" w:rsidR="00000000" w:rsidRPr="00000000">
        <w:rPr/>
        <w:drawing>
          <wp:inline distB="114300" distT="114300" distL="114300" distR="114300">
            <wp:extent cx="1413393" cy="3148013"/>
            <wp:effectExtent b="0" l="0" r="0" t="0"/>
            <wp:docPr id="3" name="image6.png"/>
            <a:graphic>
              <a:graphicData uri="http://schemas.openxmlformats.org/drawingml/2006/picture">
                <pic:pic>
                  <pic:nvPicPr>
                    <pic:cNvPr id="0" name="image6.png"/>
                    <pic:cNvPicPr preferRelativeResize="0"/>
                  </pic:nvPicPr>
                  <pic:blipFill>
                    <a:blip r:embed="rId15"/>
                    <a:srcRect b="0" l="10916" r="0" t="0"/>
                    <a:stretch>
                      <a:fillRect/>
                    </a:stretch>
                  </pic:blipFill>
                  <pic:spPr>
                    <a:xfrm>
                      <a:off x="0" y="0"/>
                      <a:ext cx="1413393"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sz w:val="22"/>
          <w:szCs w:val="22"/>
          <w:rtl w:val="0"/>
        </w:rPr>
        <w:t xml:space="preserve">Table 3. Realized Industry Development (RID) of Denmark (2018 on left, 2021 on right)</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jc w:val="both"/>
        <w:rPr/>
      </w:pPr>
      <w:r w:rsidDel="00000000" w:rsidR="00000000" w:rsidRPr="00000000">
        <w:rPr>
          <w:rtl w:val="0"/>
        </w:rPr>
        <w:t xml:space="preserve">Tables 4a-4b below summarize how the production strategy adopted by Denmark compares with selected leading economies in the world across different years, as measured in RID. Leading economies such as France, the United States and Germany gave a considerable level of attention to more advanced product groups such as Weapons and High-Complexity Products in 2018 and Services and Utilities, Precious Stones, and High-Complexity Products in 2021.</w:t>
      </w:r>
    </w:p>
    <w:p w:rsidR="00000000" w:rsidDel="00000000" w:rsidP="00000000" w:rsidRDefault="00000000" w:rsidRPr="00000000" w14:paraId="00000093">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94">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95">
            <w:pPr>
              <w:jc w:val="both"/>
              <w:rPr/>
            </w:pPr>
            <w:r w:rsidDel="00000000" w:rsidR="00000000" w:rsidRPr="00000000">
              <w:rPr>
                <w:rtl w:val="0"/>
              </w:rPr>
              <w:t xml:space="preserve">France</w:t>
            </w:r>
          </w:p>
        </w:tc>
        <w:tc>
          <w:tcPr>
            <w:vAlign w:val="center"/>
          </w:tcPr>
          <w:p w:rsidR="00000000" w:rsidDel="00000000" w:rsidP="00000000" w:rsidRDefault="00000000" w:rsidRPr="00000000" w14:paraId="00000096">
            <w:pPr>
              <w:jc w:val="both"/>
              <w:rPr/>
            </w:pPr>
            <w:r w:rsidDel="00000000" w:rsidR="00000000" w:rsidRPr="00000000">
              <w:rPr>
                <w:rtl w:val="0"/>
              </w:rPr>
              <w:t xml:space="preserve">the UK</w:t>
            </w:r>
          </w:p>
        </w:tc>
        <w:tc>
          <w:tcPr>
            <w:vAlign w:val="center"/>
          </w:tcPr>
          <w:p w:rsidR="00000000" w:rsidDel="00000000" w:rsidP="00000000" w:rsidRDefault="00000000" w:rsidRPr="00000000" w14:paraId="00000097">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98">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9C">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0">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A4">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A8">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C">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AD">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Ranking</w:t>
            </w:r>
          </w:p>
        </w:tc>
        <w:tc>
          <w:tcPr/>
          <w:p w:rsidR="00000000" w:rsidDel="00000000" w:rsidP="00000000" w:rsidRDefault="00000000" w:rsidRPr="00000000" w14:paraId="000000AF">
            <w:pPr>
              <w:jc w:val="both"/>
              <w:rPr/>
            </w:pPr>
            <w:r w:rsidDel="00000000" w:rsidR="00000000" w:rsidRPr="00000000">
              <w:rPr>
                <w:rtl w:val="0"/>
              </w:rPr>
              <w:t xml:space="preserve">France</w:t>
            </w:r>
          </w:p>
        </w:tc>
        <w:tc>
          <w:tcPr/>
          <w:p w:rsidR="00000000" w:rsidDel="00000000" w:rsidP="00000000" w:rsidRDefault="00000000" w:rsidRPr="00000000" w14:paraId="000000B0">
            <w:pPr>
              <w:jc w:val="both"/>
              <w:rPr/>
            </w:pPr>
            <w:r w:rsidDel="00000000" w:rsidR="00000000" w:rsidRPr="00000000">
              <w:rPr>
                <w:rtl w:val="0"/>
              </w:rPr>
              <w:t xml:space="preserve">the UK</w:t>
            </w:r>
          </w:p>
        </w:tc>
        <w:tc>
          <w:tcPr/>
          <w:p w:rsidR="00000000" w:rsidDel="00000000" w:rsidP="00000000" w:rsidRDefault="00000000" w:rsidRPr="00000000" w14:paraId="000000B1">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2">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3">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B6">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7">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C6">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C7">
      <w:pPr>
        <w:jc w:val="center"/>
        <w:rPr>
          <w:sz w:val="22"/>
          <w:szCs w:val="22"/>
        </w:rPr>
      </w:pPr>
      <w:r w:rsidDel="00000000" w:rsidR="00000000" w:rsidRPr="00000000">
        <w:rPr>
          <w:rtl w:val="0"/>
        </w:rPr>
      </w:r>
    </w:p>
    <w:p w:rsidR="00000000" w:rsidDel="00000000" w:rsidP="00000000" w:rsidRDefault="00000000" w:rsidRPr="00000000" w14:paraId="000000C8">
      <w:pPr>
        <w:jc w:val="both"/>
        <w:rPr>
          <w:sz w:val="22"/>
          <w:szCs w:val="22"/>
        </w:rPr>
      </w:pPr>
      <w:r w:rsidDel="00000000" w:rsidR="00000000" w:rsidRPr="00000000">
        <w:rPr>
          <w:rtl w:val="0"/>
        </w:rPr>
        <w:t xml:space="preserve">Tables 4c-4d further examine Denmark’s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CA">
            <w:pPr>
              <w:jc w:val="both"/>
              <w:rPr/>
            </w:pPr>
            <w:r w:rsidDel="00000000" w:rsidR="00000000" w:rsidRPr="00000000">
              <w:rPr>
                <w:rtl w:val="0"/>
              </w:rPr>
              <w:t xml:space="preserve">Ranking</w:t>
            </w:r>
          </w:p>
        </w:tc>
        <w:tc>
          <w:tcPr/>
          <w:p w:rsidR="00000000" w:rsidDel="00000000" w:rsidP="00000000" w:rsidRDefault="00000000" w:rsidRPr="00000000" w14:paraId="000000CB">
            <w:pPr>
              <w:jc w:val="both"/>
              <w:rPr/>
            </w:pPr>
            <w:r w:rsidDel="00000000" w:rsidR="00000000" w:rsidRPr="00000000">
              <w:rPr>
                <w:rtl w:val="0"/>
              </w:rPr>
              <w:t xml:space="preserve">China</w:t>
            </w:r>
          </w:p>
        </w:tc>
        <w:tc>
          <w:tcPr/>
          <w:p w:rsidR="00000000" w:rsidDel="00000000" w:rsidP="00000000" w:rsidRDefault="00000000" w:rsidRPr="00000000" w14:paraId="000000CC">
            <w:pPr>
              <w:jc w:val="both"/>
              <w:rPr/>
            </w:pPr>
            <w:r w:rsidDel="00000000" w:rsidR="00000000" w:rsidRPr="00000000">
              <w:rPr>
                <w:rtl w:val="0"/>
              </w:rPr>
              <w:t xml:space="preserve">South Korea</w:t>
            </w:r>
          </w:p>
        </w:tc>
        <w:tc>
          <w:tcPr/>
          <w:p w:rsidR="00000000" w:rsidDel="00000000" w:rsidP="00000000" w:rsidRDefault="00000000" w:rsidRPr="00000000" w14:paraId="000000CD">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CE">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2">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2">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4">
            <w:pPr>
              <w:jc w:val="both"/>
              <w:rPr/>
            </w:pPr>
            <w:r w:rsidDel="00000000" w:rsidR="00000000" w:rsidRPr="00000000">
              <w:rPr>
                <w:rtl w:val="0"/>
              </w:rPr>
              <w:t xml:space="preserve">Ranking</w:t>
            </w:r>
          </w:p>
        </w:tc>
        <w:tc>
          <w:tcPr/>
          <w:p w:rsidR="00000000" w:rsidDel="00000000" w:rsidP="00000000" w:rsidRDefault="00000000" w:rsidRPr="00000000" w14:paraId="000000E5">
            <w:pPr>
              <w:jc w:val="both"/>
              <w:rPr/>
            </w:pPr>
            <w:r w:rsidDel="00000000" w:rsidR="00000000" w:rsidRPr="00000000">
              <w:rPr>
                <w:rtl w:val="0"/>
              </w:rPr>
              <w:t xml:space="preserve">China</w:t>
            </w:r>
          </w:p>
        </w:tc>
        <w:tc>
          <w:tcPr/>
          <w:p w:rsidR="00000000" w:rsidDel="00000000" w:rsidP="00000000" w:rsidRDefault="00000000" w:rsidRPr="00000000" w14:paraId="000000E6">
            <w:pPr>
              <w:jc w:val="both"/>
              <w:rPr/>
            </w:pPr>
            <w:r w:rsidDel="00000000" w:rsidR="00000000" w:rsidRPr="00000000">
              <w:rPr>
                <w:rtl w:val="0"/>
              </w:rPr>
              <w:t xml:space="preserve">South Korea</w:t>
            </w:r>
          </w:p>
        </w:tc>
        <w:tc>
          <w:tcPr/>
          <w:p w:rsidR="00000000" w:rsidDel="00000000" w:rsidP="00000000" w:rsidRDefault="00000000" w:rsidRPr="00000000" w14:paraId="000000E7">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E8">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9">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A">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EB">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EC">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ED">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EE">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EF">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0">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1">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2">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5">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6">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9">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A">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0FC">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0FD">
      <w:pPr>
        <w:pageBreakBefore w:val="0"/>
        <w:jc w:val="both"/>
        <w:rPr>
          <w:b w:val="1"/>
          <w:bCs w:val="1"/>
        </w:rPr>
      </w:pPr>
      <w:r w:rsidDel="00000000" w:rsidR="00000000" w:rsidRPr="00000000">
        <w:rPr>
          <w:rtl w:val="0"/>
        </w:rPr>
      </w:r>
    </w:p>
    <w:p w:rsidR="00000000" w:rsidDel="00000000" w:rsidP="00000000" w:rsidRDefault="00000000" w:rsidRPr="00000000" w14:paraId="000000F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F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1">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center"/>
        <w:rPr/>
      </w:pPr>
      <w:r w:rsidDel="00000000" w:rsidR="00000000" w:rsidRPr="00000000">
        <w:rPr/>
        <w:drawing>
          <wp:inline distB="114300" distT="114300" distL="114300" distR="114300">
            <wp:extent cx="5731200" cy="2260600"/>
            <wp:effectExtent b="0" l="0" r="0" t="0"/>
            <wp:docPr id="2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sz w:val="22"/>
          <w:szCs w:val="22"/>
          <w:rtl w:val="0"/>
        </w:rPr>
        <w:t xml:space="preserve">Table 5a. Opportunity Gain Ranking on a Comparable Scale (2013)</w:t>
      </w:r>
      <w:r w:rsidDel="00000000" w:rsidR="00000000" w:rsidRPr="00000000">
        <w:rPr>
          <w:rtl w:val="0"/>
        </w:rPr>
      </w:r>
    </w:p>
    <w:p w:rsidR="00000000" w:rsidDel="00000000" w:rsidP="00000000" w:rsidRDefault="00000000" w:rsidRPr="00000000" w14:paraId="00000105">
      <w:pPr>
        <w:pageBreakBefore w:val="0"/>
        <w:jc w:val="center"/>
        <w:rPr/>
      </w:pPr>
      <w:r w:rsidDel="00000000" w:rsidR="00000000" w:rsidRPr="00000000">
        <w:rPr>
          <w:rtl w:val="0"/>
        </w:rPr>
        <w:t xml:space="preserve">  </w:t>
      </w:r>
    </w:p>
    <w:p w:rsidR="00000000" w:rsidDel="00000000" w:rsidP="00000000" w:rsidRDefault="00000000" w:rsidRPr="00000000" w14:paraId="00000106">
      <w:pPr>
        <w:pageBreakBefore w:val="0"/>
        <w:jc w:val="center"/>
        <w:rPr/>
      </w:pPr>
      <w:r w:rsidDel="00000000" w:rsidR="00000000" w:rsidRPr="00000000">
        <w:rPr/>
        <w:drawing>
          <wp:inline distB="114300" distT="114300" distL="114300" distR="114300">
            <wp:extent cx="5731200" cy="2362200"/>
            <wp:effectExtent b="0" l="0" r="0" t="0"/>
            <wp:docPr id="29"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sz w:val="22"/>
          <w:szCs w:val="22"/>
          <w:rtl w:val="0"/>
        </w:rPr>
        <w:t xml:space="preserve">Table 5b. Opportunity Gain Ranking on a Comparable Scale (2018)</w:t>
      </w:r>
      <w:r w:rsidDel="00000000" w:rsidR="00000000" w:rsidRPr="00000000">
        <w:rPr>
          <w:rtl w:val="0"/>
        </w:rPr>
      </w:r>
    </w:p>
    <w:p w:rsidR="00000000" w:rsidDel="00000000" w:rsidP="00000000" w:rsidRDefault="00000000" w:rsidRPr="00000000" w14:paraId="00000108">
      <w:pPr>
        <w:pageBreakBefore w:val="0"/>
        <w:jc w:val="center"/>
        <w:rPr/>
      </w:pPr>
      <w:r w:rsidDel="00000000" w:rsidR="00000000" w:rsidRPr="00000000">
        <w:rPr/>
        <w:drawing>
          <wp:inline distB="114300" distT="114300" distL="114300" distR="114300">
            <wp:extent cx="5272088" cy="2075556"/>
            <wp:effectExtent b="0" l="0" r="0" t="0"/>
            <wp:docPr id="40"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272088" cy="207555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sz w:val="22"/>
          <w:szCs w:val="22"/>
        </w:rPr>
      </w:pPr>
      <w:r w:rsidDel="00000000" w:rsidR="00000000" w:rsidRPr="00000000">
        <w:rPr>
          <w:sz w:val="22"/>
          <w:szCs w:val="22"/>
          <w:rtl w:val="0"/>
        </w:rPr>
        <w:t xml:space="preserve">Table 5c. Opportunity Gain Ranking on a Comparable Scale (2021)</w:t>
      </w:r>
    </w:p>
    <w:p w:rsidR="00000000" w:rsidDel="00000000" w:rsidP="00000000" w:rsidRDefault="00000000" w:rsidRPr="00000000" w14:paraId="0000010A">
      <w:pPr>
        <w:pageBreakBefore w:val="0"/>
        <w:jc w:val="left"/>
        <w:rPr/>
      </w:pPr>
      <w:r w:rsidDel="00000000" w:rsidR="00000000" w:rsidRPr="00000000">
        <w:rPr>
          <w:rtl w:val="0"/>
        </w:rPr>
      </w:r>
    </w:p>
    <w:p w:rsidR="00000000" w:rsidDel="00000000" w:rsidP="00000000" w:rsidRDefault="00000000" w:rsidRPr="00000000" w14:paraId="0000010B">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Denmark compares with a selected group of regional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less developed countries have nearly half of industries with positive opportunity gain, and share common interests in industrial manufacturing and High-complexity Products industries. It can be concluded that Denmark shares the characters of a less developed country as compared with the world’s leading economies and other major economies in Europe, with a premature economics structure that leans towards basic to intermediate level industries. </w:t>
      </w:r>
    </w:p>
    <w:p w:rsidR="00000000" w:rsidDel="00000000" w:rsidP="00000000" w:rsidRDefault="00000000" w:rsidRPr="00000000" w14:paraId="0000010E">
      <w:pPr>
        <w:pageBreakBefore w:val="0"/>
        <w:jc w:val="both"/>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drawing>
          <wp:inline distB="114300" distT="114300" distL="114300" distR="114300">
            <wp:extent cx="5664605" cy="2290763"/>
            <wp:effectExtent b="0" l="0" r="0" t="0"/>
            <wp:docPr id="4" name="image8.jpg"/>
            <a:graphic>
              <a:graphicData uri="http://schemas.openxmlformats.org/drawingml/2006/picture">
                <pic:pic>
                  <pic:nvPicPr>
                    <pic:cNvPr id="0" name="image8.jpg"/>
                    <pic:cNvPicPr preferRelativeResize="0"/>
                  </pic:nvPicPr>
                  <pic:blipFill>
                    <a:blip r:embed="rId19"/>
                    <a:srcRect b="0" l="1827" r="0" t="0"/>
                    <a:stretch>
                      <a:fillRect/>
                    </a:stretch>
                  </pic:blipFill>
                  <pic:spPr>
                    <a:xfrm>
                      <a:off x="0" y="0"/>
                      <a:ext cx="566460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112">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drawing>
          <wp:inline distB="114300" distT="114300" distL="114300" distR="114300">
            <wp:extent cx="2528888" cy="1141284"/>
            <wp:effectExtent b="0" l="0" r="0" t="0"/>
            <wp:docPr id="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jc w:val="center"/>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19">
      <w:pPr>
        <w:pageBreakBefore w:val="0"/>
        <w:jc w:val="both"/>
        <w:rPr/>
      </w:pPr>
      <w:r w:rsidDel="00000000" w:rsidR="00000000" w:rsidRPr="00000000">
        <w:rPr>
          <w:rtl w:val="0"/>
        </w:rPr>
        <w:t xml:space="preserve"> </w:t>
      </w:r>
    </w:p>
    <w:p w:rsidR="00000000" w:rsidDel="00000000" w:rsidP="00000000" w:rsidRDefault="00000000" w:rsidRPr="00000000" w14:paraId="0000011A">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1B">
      <w:pPr>
        <w:pageBreakBefore w:val="0"/>
        <w:jc w:val="both"/>
        <w:rPr/>
      </w:pPr>
      <w:r w:rsidDel="00000000" w:rsidR="00000000" w:rsidRPr="00000000">
        <w:rPr>
          <w:rtl w:val="0"/>
        </w:rPr>
        <w:t xml:space="preserve"> </w:t>
      </w:r>
    </w:p>
    <w:p w:rsidR="00000000" w:rsidDel="00000000" w:rsidP="00000000" w:rsidRDefault="00000000" w:rsidRPr="00000000" w14:paraId="0000011C">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jc w:val="center"/>
        <w:rPr/>
      </w:pPr>
      <w:r w:rsidDel="00000000" w:rsidR="00000000" w:rsidRPr="00000000">
        <w:rPr/>
        <w:drawing>
          <wp:inline distB="114300" distT="114300" distL="114300" distR="114300">
            <wp:extent cx="2138363" cy="718630"/>
            <wp:effectExtent b="0" l="0" r="0" t="0"/>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22">
      <w:pPr>
        <w:pageBreakBefore w:val="0"/>
        <w:rPr/>
      </w:pPr>
      <w:r w:rsidDel="00000000" w:rsidR="00000000" w:rsidRPr="00000000">
        <w:rPr>
          <w:rtl w:val="0"/>
        </w:rPr>
        <w:t xml:space="preserve"> </w:t>
      </w:r>
    </w:p>
    <w:p w:rsidR="00000000" w:rsidDel="00000000" w:rsidP="00000000" w:rsidRDefault="00000000" w:rsidRPr="00000000" w14:paraId="00000123">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26">
      <w:pPr>
        <w:pageBreakBefore w:val="0"/>
        <w:jc w:val="both"/>
        <w:rPr>
          <w:b w:val="1"/>
          <w:bCs w:val="1"/>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28">
      <w:pPr>
        <w:pageBreakBefore w:val="0"/>
        <w:jc w:val="center"/>
        <w:rPr/>
      </w:pPr>
      <w:r w:rsidDel="00000000" w:rsidR="00000000" w:rsidRPr="00000000">
        <w:rPr>
          <w:b w:val="1"/>
          <w:bCs w:val="1"/>
          <w:rtl w:val="0"/>
        </w:rPr>
        <w:t xml:space="preserve"> </w:t>
      </w: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4F">
      <w:pPr>
        <w:jc w:val="center"/>
        <w:rPr>
          <w:b w:val="1"/>
          <w:bCs w:val="1"/>
        </w:rPr>
      </w:pPr>
      <w:r w:rsidDel="00000000" w:rsidR="00000000" w:rsidRPr="00000000">
        <w:rPr>
          <w:sz w:val="22"/>
          <w:szCs w:val="22"/>
          <w:rtl w:val="0"/>
        </w:rPr>
        <w:t xml:space="preserve">Table 7. Products Labeling</w:t>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Figures 4a-4c show an economic panel for Denmark in 2013, 2018, and 2021. We can see that for different percentages of heuristic total export growth, the ECIs of Denmark actually have different increments. </w:t>
      </w:r>
    </w:p>
    <w:p w:rsidR="00000000" w:rsidDel="00000000" w:rsidP="00000000" w:rsidRDefault="00000000" w:rsidRPr="00000000" w14:paraId="00000152">
      <w:pPr>
        <w:pageBreakBefore w:val="0"/>
        <w:jc w:val="both"/>
        <w:rPr/>
      </w:pPr>
      <w:r w:rsidDel="00000000" w:rsidR="00000000" w:rsidRPr="00000000">
        <w:rPr>
          <w:rtl w:val="0"/>
        </w:rPr>
      </w:r>
    </w:p>
    <w:p w:rsidR="00000000" w:rsidDel="00000000" w:rsidP="00000000" w:rsidRDefault="00000000" w:rsidRPr="00000000" w14:paraId="00000153">
      <w:pPr>
        <w:pageBreakBefore w:val="0"/>
        <w:jc w:val="both"/>
        <w:rPr/>
      </w:pPr>
      <w:r w:rsidDel="00000000" w:rsidR="00000000" w:rsidRPr="00000000">
        <w:rPr>
          <w:rtl w:val="0"/>
        </w:rPr>
        <w:t xml:space="preserve">For 2013, overall, with a 5 percent growth in export, the ECI of Denmark starts growing from around 0.77 and ends at around 1.04. However, with a much larger amount of budget, such as 10, 15, and 20 percent growth, Denmark’s ECI can actually achieve a much higher level, namely around 1.50. </w:t>
      </w:r>
    </w:p>
    <w:p w:rsidR="00000000" w:rsidDel="00000000" w:rsidP="00000000" w:rsidRDefault="00000000" w:rsidRPr="00000000" w14:paraId="00000154">
      <w:pPr>
        <w:pageBreakBefore w:val="0"/>
        <w:jc w:val="both"/>
        <w:rPr/>
      </w:pPr>
      <w:r w:rsidDel="00000000" w:rsidR="00000000" w:rsidRPr="00000000">
        <w:rPr>
          <w:rtl w:val="0"/>
        </w:rPr>
        <w:t xml:space="preserve"> </w:t>
      </w:r>
    </w:p>
    <w:p w:rsidR="00000000" w:rsidDel="00000000" w:rsidP="00000000" w:rsidRDefault="00000000" w:rsidRPr="00000000" w14:paraId="00000155">
      <w:pPr>
        <w:pageBreakBefore w:val="0"/>
        <w:jc w:val="both"/>
        <w:rPr/>
      </w:pPr>
      <w:r w:rsidDel="00000000" w:rsidR="00000000" w:rsidRPr="00000000">
        <w:rPr>
          <w:rtl w:val="0"/>
        </w:rPr>
        <w:t xml:space="preserve">For the case of 5 percent growth in export, services and utilities, chemicals are main components of the portfolio. For the case of 10, 15 and 20 percent increment budgets, we realize that the development trajectories are in a similar pattern, mainly consisting of vegetables, fruits, and plants and high-complexity products. Similar to other developed countries, Denmark also has a relatively sparse solution, which can be reasoned by its pretty well-rounded economic structure. However, from the ECI improvement trajectories, we observe that most of the increments are resulted by high-complexity products, meaning that increasing investment in the development of high-complexity products can help improve the economic complexity structure of the country to a great extent. Additionally, Denmark can also focus on the development of vegetables, fruits, and plants, which can be beneficial for the production of other industries.</w:t>
      </w:r>
    </w:p>
    <w:p w:rsidR="00000000" w:rsidDel="00000000" w:rsidP="00000000" w:rsidRDefault="00000000" w:rsidRPr="00000000" w14:paraId="00000156">
      <w:pPr>
        <w:pageBreakBefore w:val="0"/>
        <w:jc w:val="both"/>
        <w:rPr/>
      </w:pP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drawing>
          <wp:inline distB="114300" distT="114300" distL="114300" distR="114300">
            <wp:extent cx="5943832" cy="2024063"/>
            <wp:effectExtent b="0" l="0" r="0" t="0"/>
            <wp:docPr id="2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832" cy="2024063"/>
                    </a:xfrm>
                    <a:prstGeom prst="rect"/>
                    <a:ln/>
                  </pic:spPr>
                </pic:pic>
              </a:graphicData>
            </a:graphic>
          </wp:inline>
        </w:drawing>
      </w:r>
      <w:r w:rsidDel="00000000" w:rsidR="00000000" w:rsidRPr="00000000">
        <w:rPr/>
        <w:drawing>
          <wp:inline distB="114300" distT="114300" distL="114300" distR="114300">
            <wp:extent cx="5881789" cy="1824038"/>
            <wp:effectExtent b="0" l="0" r="0" t="0"/>
            <wp:docPr id="13" name="image3.png"/>
            <a:graphic>
              <a:graphicData uri="http://schemas.openxmlformats.org/drawingml/2006/picture">
                <pic:pic>
                  <pic:nvPicPr>
                    <pic:cNvPr id="0" name="image3.png"/>
                    <pic:cNvPicPr preferRelativeResize="0"/>
                  </pic:nvPicPr>
                  <pic:blipFill>
                    <a:blip r:embed="rId23"/>
                    <a:srcRect b="11220" l="2326" r="0" t="0"/>
                    <a:stretch>
                      <a:fillRect/>
                    </a:stretch>
                  </pic:blipFill>
                  <pic:spPr>
                    <a:xfrm>
                      <a:off x="0" y="0"/>
                      <a:ext cx="5881789"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sz w:val="22"/>
          <w:szCs w:val="22"/>
          <w:rtl w:val="0"/>
        </w:rPr>
        <w:t xml:space="preserve">Figure 8a. Greedy-Based ECI Improvement Results of Denmark with Different Budgets (2013)</w:t>
      </w: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rtl w:val="0"/>
        </w:rPr>
      </w:r>
    </w:p>
    <w:p w:rsidR="00000000" w:rsidDel="00000000" w:rsidP="00000000" w:rsidRDefault="00000000" w:rsidRPr="00000000" w14:paraId="0000015A">
      <w:pPr>
        <w:pageBreakBefore w:val="0"/>
        <w:jc w:val="both"/>
        <w:rPr/>
      </w:pPr>
      <w:r w:rsidDel="00000000" w:rsidR="00000000" w:rsidRPr="00000000">
        <w:rPr/>
        <w:drawing>
          <wp:inline distB="114300" distT="114300" distL="114300" distR="114300">
            <wp:extent cx="5731200" cy="914400"/>
            <wp:effectExtent b="0" l="0" r="0" t="0"/>
            <wp:docPr id="41"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pPr>
      <w:r w:rsidDel="00000000" w:rsidR="00000000" w:rsidRPr="00000000">
        <w:rPr>
          <w:sz w:val="22"/>
          <w:szCs w:val="22"/>
          <w:rtl w:val="0"/>
        </w:rPr>
        <w:t xml:space="preserve">Table 8a. Portfolio of Denmark (2013)</w:t>
      </w:r>
      <w:r w:rsidDel="00000000" w:rsidR="00000000" w:rsidRPr="00000000">
        <w:rPr>
          <w:rtl w:val="0"/>
        </w:rPr>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both"/>
        <w:rPr/>
      </w:pPr>
      <w:r w:rsidDel="00000000" w:rsidR="00000000" w:rsidRPr="00000000">
        <w:rPr>
          <w:rtl w:val="0"/>
        </w:rPr>
        <w:t xml:space="preserve">For further suggestions on Denmark’s development in the future. We also offer the optimization result based on export data in 2018. Below is the economic panel for Denmark in 2018. We can see that there is a similar pattern for the ECI improvement trajectories, which is that the improvements in 10, 15 and 20 percent export growth are similar, and all of them are greater than the one in 5 percent growth. Again, since Denmark is a pretty developed economic entity, the optimization result is very sparse and there are not so many suggestions for future development in terms of ECI improvement. With 5 percent growth in export, vegetables, fruits, and plants remains as the main component for ECI improvement, but as the budgets become larger, it becomes less important or even replaced by transportation and high-complexity products. A more detailed numerical representation of the portfolio is shown in Table 9. </w:t>
      </w:r>
    </w:p>
    <w:p w:rsidR="00000000" w:rsidDel="00000000" w:rsidP="00000000" w:rsidRDefault="00000000" w:rsidRPr="00000000" w14:paraId="0000015E">
      <w:pPr>
        <w:pageBreakBefore w:val="0"/>
        <w:jc w:val="both"/>
        <w:rPr/>
      </w:pPr>
      <w:r w:rsidDel="00000000" w:rsidR="00000000" w:rsidRPr="00000000">
        <w:rPr>
          <w:rtl w:val="0"/>
        </w:rPr>
      </w:r>
    </w:p>
    <w:p w:rsidR="00000000" w:rsidDel="00000000" w:rsidP="00000000" w:rsidRDefault="00000000" w:rsidRPr="00000000" w14:paraId="0000015F">
      <w:pPr>
        <w:pageBreakBefore w:val="0"/>
        <w:jc w:val="both"/>
        <w:rPr/>
      </w:pPr>
      <w:r w:rsidDel="00000000" w:rsidR="00000000" w:rsidRPr="00000000">
        <w:rPr/>
        <w:drawing>
          <wp:inline distB="114300" distT="114300" distL="114300" distR="114300">
            <wp:extent cx="5971803" cy="2033588"/>
            <wp:effectExtent b="0" l="0" r="0" t="0"/>
            <wp:docPr id="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71803" cy="2033588"/>
                    </a:xfrm>
                    <a:prstGeom prst="rect"/>
                    <a:ln/>
                  </pic:spPr>
                </pic:pic>
              </a:graphicData>
            </a:graphic>
          </wp:inline>
        </w:drawing>
      </w:r>
      <w:r w:rsidDel="00000000" w:rsidR="00000000" w:rsidRPr="00000000">
        <w:rPr/>
        <w:drawing>
          <wp:inline distB="114300" distT="114300" distL="114300" distR="114300">
            <wp:extent cx="5722681" cy="1785938"/>
            <wp:effectExtent b="0" l="0" r="0" t="0"/>
            <wp:docPr id="15" name="image28.png"/>
            <a:graphic>
              <a:graphicData uri="http://schemas.openxmlformats.org/drawingml/2006/picture">
                <pic:pic>
                  <pic:nvPicPr>
                    <pic:cNvPr id="0" name="image28.png"/>
                    <pic:cNvPicPr preferRelativeResize="0"/>
                  </pic:nvPicPr>
                  <pic:blipFill>
                    <a:blip r:embed="rId26"/>
                    <a:srcRect b="10732" l="2658" r="0" t="0"/>
                    <a:stretch>
                      <a:fillRect/>
                    </a:stretch>
                  </pic:blipFill>
                  <pic:spPr>
                    <a:xfrm>
                      <a:off x="0" y="0"/>
                      <a:ext cx="5722681"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sz w:val="22"/>
          <w:szCs w:val="22"/>
          <w:rtl w:val="0"/>
        </w:rPr>
        <w:t xml:space="preserve">Figure 4b. Greedy-Based ECI Improvement Results of Denmark with Different Budgets (2018)</w:t>
      </w:r>
      <w:r w:rsidDel="00000000" w:rsidR="00000000" w:rsidRPr="00000000">
        <w:rPr>
          <w:rtl w:val="0"/>
        </w:rPr>
      </w:r>
    </w:p>
    <w:p w:rsidR="00000000" w:rsidDel="00000000" w:rsidP="00000000" w:rsidRDefault="00000000" w:rsidRPr="00000000" w14:paraId="00000162">
      <w:pPr>
        <w:pageBreakBefore w:val="0"/>
        <w:jc w:val="center"/>
        <w:rPr/>
      </w:pPr>
      <w:r w:rsidDel="00000000" w:rsidR="00000000" w:rsidRPr="00000000">
        <w:rPr>
          <w:rtl w:val="0"/>
        </w:rPr>
      </w:r>
    </w:p>
    <w:p w:rsidR="00000000" w:rsidDel="00000000" w:rsidP="00000000" w:rsidRDefault="00000000" w:rsidRPr="00000000" w14:paraId="00000163">
      <w:pPr>
        <w:pageBreakBefore w:val="0"/>
        <w:jc w:val="both"/>
        <w:rPr/>
      </w:pPr>
      <w:r w:rsidDel="00000000" w:rsidR="00000000" w:rsidRPr="00000000">
        <w:rPr/>
        <w:drawing>
          <wp:inline distB="114300" distT="114300" distL="114300" distR="114300">
            <wp:extent cx="5731200" cy="914400"/>
            <wp:effectExtent b="0" l="0" r="0" t="0"/>
            <wp:docPr id="2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sz w:val="22"/>
          <w:szCs w:val="22"/>
        </w:rPr>
      </w:pPr>
      <w:r w:rsidDel="00000000" w:rsidR="00000000" w:rsidRPr="00000000">
        <w:rPr>
          <w:sz w:val="22"/>
          <w:szCs w:val="22"/>
          <w:rtl w:val="0"/>
        </w:rPr>
        <w:t xml:space="preserve">Table 8b. Portfolio of Denmark (2018)</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To compare with the performance in 2013 and 2018, we also re-examine suggested strategies for 2021. For 2021, a 5 percent increase in export would emphasize Precious Stones, followed by Transportation for 10% and 15% and Animal and By-products for 20% export growth. These strategies go in line with the suggested trajectories based on ECI. Interestingly, the recommended post-pandemic economic response is to invest heavily in lower complexity sectors. This can be interpreted as the need to reinforce the fundamental industries as a result of supply chain and global trade disruptions. A more detailed numerical representation of the portfolio for Denmark is shown in Table 8c.</w:t>
      </w:r>
    </w:p>
    <w:p w:rsidR="00000000" w:rsidDel="00000000" w:rsidP="00000000" w:rsidRDefault="00000000" w:rsidRPr="00000000" w14:paraId="00000167">
      <w:pPr>
        <w:jc w:val="left"/>
        <w:rPr>
          <w:sz w:val="22"/>
          <w:szCs w:val="22"/>
        </w:rPr>
      </w:pPr>
      <w:r w:rsidDel="00000000" w:rsidR="00000000" w:rsidRPr="00000000">
        <w:rPr>
          <w:rtl w:val="0"/>
        </w:rPr>
      </w:r>
    </w:p>
    <w:p w:rsidR="00000000" w:rsidDel="00000000" w:rsidP="00000000" w:rsidRDefault="00000000" w:rsidRPr="00000000" w14:paraId="00000168">
      <w:pPr>
        <w:pageBreakBefore w:val="0"/>
        <w:jc w:val="center"/>
        <w:rPr/>
      </w:pPr>
      <w:r w:rsidDel="00000000" w:rsidR="00000000" w:rsidRPr="00000000">
        <w:rPr>
          <w:rtl w:val="0"/>
        </w:rPr>
      </w:r>
    </w:p>
    <w:p w:rsidR="00000000" w:rsidDel="00000000" w:rsidP="00000000" w:rsidRDefault="00000000" w:rsidRPr="00000000" w14:paraId="00000169">
      <w:pPr>
        <w:pageBreakBefore w:val="0"/>
        <w:jc w:val="center"/>
        <w:rPr/>
      </w:pPr>
      <w:r w:rsidDel="00000000" w:rsidR="00000000" w:rsidRPr="00000000">
        <w:rPr>
          <w:rtl w:val="0"/>
        </w:rPr>
      </w:r>
    </w:p>
    <w:p w:rsidR="00000000" w:rsidDel="00000000" w:rsidP="00000000" w:rsidRDefault="00000000" w:rsidRPr="00000000" w14:paraId="0000016A">
      <w:pPr>
        <w:pageBreakBefore w:val="0"/>
        <w:jc w:val="cente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drawing>
          <wp:inline distB="114300" distT="114300" distL="114300" distR="114300">
            <wp:extent cx="5734050" cy="2066925"/>
            <wp:effectExtent b="0" l="0" r="0" t="0"/>
            <wp:docPr id="32" name="image26.png"/>
            <a:graphic>
              <a:graphicData uri="http://schemas.openxmlformats.org/drawingml/2006/picture">
                <pic:pic>
                  <pic:nvPicPr>
                    <pic:cNvPr id="0" name="image26.png"/>
                    <pic:cNvPicPr preferRelativeResize="0"/>
                  </pic:nvPicPr>
                  <pic:blipFill>
                    <a:blip r:embed="rId28"/>
                    <a:srcRect b="27907" l="0" r="0" t="0"/>
                    <a:stretch>
                      <a:fillRect/>
                    </a:stretch>
                  </pic:blipFill>
                  <pic:spPr>
                    <a:xfrm>
                      <a:off x="0" y="0"/>
                      <a:ext cx="57340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jc w:val="center"/>
        <w:rPr/>
      </w:pPr>
      <w:r w:rsidDel="00000000" w:rsidR="00000000" w:rsidRPr="00000000">
        <w:rPr/>
        <w:drawing>
          <wp:inline distB="114300" distT="114300" distL="114300" distR="114300">
            <wp:extent cx="5734050" cy="1924050"/>
            <wp:effectExtent b="0" l="0" r="0" t="0"/>
            <wp:docPr id="36" name="image39.png"/>
            <a:graphic>
              <a:graphicData uri="http://schemas.openxmlformats.org/drawingml/2006/picture">
                <pic:pic>
                  <pic:nvPicPr>
                    <pic:cNvPr id="0" name="image39.png"/>
                    <pic:cNvPicPr preferRelativeResize="0"/>
                  </pic:nvPicPr>
                  <pic:blipFill>
                    <a:blip r:embed="rId29"/>
                    <a:srcRect b="11013" l="0" r="0" t="0"/>
                    <a:stretch>
                      <a:fillRect/>
                    </a:stretch>
                  </pic:blipFill>
                  <pic:spPr>
                    <a:xfrm>
                      <a:off x="0" y="0"/>
                      <a:ext cx="57340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sz w:val="22"/>
          <w:szCs w:val="22"/>
        </w:rPr>
      </w:pPr>
      <w:r w:rsidDel="00000000" w:rsidR="00000000" w:rsidRPr="00000000">
        <w:rPr>
          <w:sz w:val="22"/>
          <w:szCs w:val="22"/>
          <w:rtl w:val="0"/>
        </w:rPr>
        <w:t xml:space="preserve">Figure 8c. Greedy-Based ECI Improvement Results of Denmark with Different Budgets (2021)</w:t>
      </w:r>
    </w:p>
    <w:p w:rsidR="00000000" w:rsidDel="00000000" w:rsidP="00000000" w:rsidRDefault="00000000" w:rsidRPr="00000000" w14:paraId="0000016E">
      <w:pPr>
        <w:pageBreakBefore w:val="0"/>
        <w:jc w:val="center"/>
        <w:rPr/>
      </w:pPr>
      <w:r w:rsidDel="00000000" w:rsidR="00000000" w:rsidRPr="00000000">
        <w:rPr>
          <w:rtl w:val="0"/>
        </w:rPr>
      </w:r>
    </w:p>
    <w:p w:rsidR="00000000" w:rsidDel="00000000" w:rsidP="00000000" w:rsidRDefault="00000000" w:rsidRPr="00000000" w14:paraId="0000016F">
      <w:pPr>
        <w:pageBreakBefore w:val="0"/>
        <w:jc w:val="center"/>
        <w:rPr/>
      </w:pPr>
      <w:r w:rsidDel="00000000" w:rsidR="00000000" w:rsidRPr="00000000">
        <w:rPr/>
        <w:drawing>
          <wp:inline distB="114300" distT="114300" distL="114300" distR="114300">
            <wp:extent cx="4547235" cy="1624013"/>
            <wp:effectExtent b="0" l="0" r="0" t="0"/>
            <wp:docPr id="30"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547235"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pPr>
      <w:r w:rsidDel="00000000" w:rsidR="00000000" w:rsidRPr="00000000">
        <w:rPr>
          <w:sz w:val="22"/>
          <w:szCs w:val="22"/>
          <w:rtl w:val="0"/>
        </w:rPr>
        <w:t xml:space="preserve">Table 8c. Portfolio of Denmark (2021)</w:t>
      </w:r>
      <w:r w:rsidDel="00000000" w:rsidR="00000000" w:rsidRPr="00000000">
        <w:rPr>
          <w:rtl w:val="0"/>
        </w:rPr>
      </w:r>
    </w:p>
    <w:p w:rsidR="00000000" w:rsidDel="00000000" w:rsidP="00000000" w:rsidRDefault="00000000" w:rsidRPr="00000000" w14:paraId="00000171">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72">
      <w:pPr>
        <w:pageBreakBefore w:val="0"/>
        <w:spacing w:after="240" w:before="240" w:line="276" w:lineRule="auto"/>
        <w:rPr/>
      </w:pPr>
      <w:r w:rsidDel="00000000" w:rsidR="00000000" w:rsidRPr="00000000">
        <w:rPr>
          <w:rtl w:val="0"/>
        </w:rPr>
        <w:t xml:space="preserve">In the following section our broad aim is to understand how sensitive Denmark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73">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74">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75">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76">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12.jpg"/>
            <a:graphic>
              <a:graphicData uri="http://schemas.openxmlformats.org/drawingml/2006/picture">
                <pic:pic>
                  <pic:nvPicPr>
                    <pic:cNvPr id="0" name="image12.jpg"/>
                    <pic:cNvPicPr preferRelativeResize="0"/>
                  </pic:nvPicPr>
                  <pic:blipFill>
                    <a:blip r:embed="rId3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78">
      <w:pPr>
        <w:pageBreakBefore w:val="0"/>
        <w:jc w:val="both"/>
        <w:rPr>
          <w:b w:val="1"/>
          <w:bCs w:val="1"/>
        </w:rPr>
      </w:pPr>
      <w:r w:rsidDel="00000000" w:rsidR="00000000" w:rsidRPr="00000000">
        <w:rPr>
          <w:rtl w:val="0"/>
        </w:rPr>
      </w:r>
    </w:p>
    <w:p w:rsidR="00000000" w:rsidDel="00000000" w:rsidP="00000000" w:rsidRDefault="00000000" w:rsidRPr="00000000" w14:paraId="00000179">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7A">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7B">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7C">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7D">
      <w:pPr>
        <w:pageBreakBefore w:val="0"/>
        <w:spacing w:line="276" w:lineRule="auto"/>
        <w:rPr/>
      </w:pP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drawing>
          <wp:inline distB="114300" distT="114300" distL="114300" distR="114300">
            <wp:extent cx="5734050" cy="1739900"/>
            <wp:effectExtent b="0" l="0" r="0" t="0"/>
            <wp:docPr id="9"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82">
      <w:pPr>
        <w:jc w:val="both"/>
        <w:rPr/>
      </w:pPr>
      <w:r w:rsidDel="00000000" w:rsidR="00000000" w:rsidRPr="00000000">
        <w:rPr>
          <w:rtl w:val="0"/>
        </w:rPr>
        <w:t xml:space="preserve">We examine Denmark’s ECI Decremental and Incremental Sensitivity Charts for 2021. An increase in High-Complexity Products will lead to the highest change in ECI, followed by Transportation and Chemicals. The strong sensitivity effect of manipulating the High-Complexity Products and Transportation category remains consistent with previous years. For the negative shock cases, Food and Preparations becomes most impactful, consistent with past years which suggest that decreases in the export would lead to an increase in ECI. </w:t>
      </w:r>
    </w:p>
    <w:p w:rsidR="00000000" w:rsidDel="00000000" w:rsidP="00000000" w:rsidRDefault="00000000" w:rsidRPr="00000000" w14:paraId="00000183">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4805363" cy="1781070"/>
            <wp:effectExtent b="0" l="0" r="0" t="0"/>
            <wp:docPr id="34" name="image17.png"/>
            <a:graphic>
              <a:graphicData uri="http://schemas.openxmlformats.org/drawingml/2006/picture">
                <pic:pic>
                  <pic:nvPicPr>
                    <pic:cNvPr id="0" name="image17.png"/>
                    <pic:cNvPicPr preferRelativeResize="0"/>
                  </pic:nvPicPr>
                  <pic:blipFill>
                    <a:blip r:embed="rId33"/>
                    <a:srcRect b="0" l="0" r="4817" t="0"/>
                    <a:stretch>
                      <a:fillRect/>
                    </a:stretch>
                  </pic:blipFill>
                  <pic:spPr>
                    <a:xfrm>
                      <a:off x="0" y="0"/>
                      <a:ext cx="4805363" cy="1781070"/>
                    </a:xfrm>
                    <a:prstGeom prst="rect"/>
                    <a:ln/>
                  </pic:spPr>
                </pic:pic>
              </a:graphicData>
            </a:graphic>
          </wp:inline>
        </w:drawing>
      </w:r>
      <w:r w:rsidDel="00000000" w:rsidR="00000000" w:rsidRPr="00000000">
        <w:rPr>
          <w:b w:val="1"/>
          <w:bCs w:val="1"/>
          <w:sz w:val="28"/>
          <w:szCs w:val="28"/>
        </w:rPr>
        <w:drawing>
          <wp:inline distB="114300" distT="114300" distL="114300" distR="114300">
            <wp:extent cx="741877" cy="1881188"/>
            <wp:effectExtent b="0" l="0" r="0" t="0"/>
            <wp:docPr id="21" name="image7.png"/>
            <a:graphic>
              <a:graphicData uri="http://schemas.openxmlformats.org/drawingml/2006/picture">
                <pic:pic>
                  <pic:nvPicPr>
                    <pic:cNvPr id="0" name="image7.png"/>
                    <pic:cNvPicPr preferRelativeResize="0"/>
                  </pic:nvPicPr>
                  <pic:blipFill>
                    <a:blip r:embed="rId34"/>
                    <a:srcRect b="0" l="86047" r="0" t="0"/>
                    <a:stretch>
                      <a:fillRect/>
                    </a:stretch>
                  </pic:blipFill>
                  <pic:spPr>
                    <a:xfrm>
                      <a:off x="0" y="0"/>
                      <a:ext cx="741877"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b w:val="1"/>
          <w:bCs w:val="1"/>
          <w:sz w:val="28"/>
          <w:szCs w:val="28"/>
        </w:rPr>
      </w:pPr>
      <w:r w:rsidDel="00000000" w:rsidR="00000000" w:rsidRPr="00000000">
        <w:rPr>
          <w:sz w:val="22"/>
          <w:szCs w:val="22"/>
          <w:rtl w:val="0"/>
        </w:rPr>
        <w:t xml:space="preserve">Figure 6a. Incremental ECI Sensitivity for Denmark (2021)</w:t>
      </w:r>
      <w:r w:rsidDel="00000000" w:rsidR="00000000" w:rsidRPr="00000000">
        <w:rPr>
          <w:rtl w:val="0"/>
        </w:rPr>
      </w:r>
    </w:p>
    <w:p w:rsidR="00000000" w:rsidDel="00000000" w:rsidP="00000000" w:rsidRDefault="00000000" w:rsidRPr="00000000" w14:paraId="00000185">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5731200" cy="2032000"/>
            <wp:effectExtent b="0" l="0" r="0" t="0"/>
            <wp:docPr id="3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pPr>
      <w:r w:rsidDel="00000000" w:rsidR="00000000" w:rsidRPr="00000000">
        <w:rPr>
          <w:sz w:val="22"/>
          <w:szCs w:val="22"/>
          <w:rtl w:val="0"/>
        </w:rPr>
        <w:t xml:space="preserve">Figure 6b. Decremental ECI Sensitivity for Denmark (2021)</w:t>
      </w:r>
      <w:r w:rsidDel="00000000" w:rsidR="00000000" w:rsidRPr="00000000">
        <w:rPr>
          <w:rtl w:val="0"/>
        </w:rPr>
      </w:r>
    </w:p>
    <w:p w:rsidR="00000000" w:rsidDel="00000000" w:rsidP="00000000" w:rsidRDefault="00000000" w:rsidRPr="00000000" w14:paraId="0000018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t xml:space="preserve">Below is Denmark’s 2018 ECI Sensitivity Charts. Firstly in the positive chart, we notice immediately that increases in High Complexity Product, Transportation lead to higher ECI scores. In general Denmark is slightly prone to small decreases in ECI with increases in all other industries. </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Next we consider Denmark’s 2018 Negative Shock chart. Immediately we see that decreases in the export of Food and Preparations, as well as Clothing and Accessories could be quite beneficial for Denmark’s ECI score. Also of note is that Denmark is very sensitive to drawdowns in Machinery, which can bring the ECI near zero with less than a 20% drawdown.</w:t>
      </w:r>
    </w:p>
    <w:p w:rsidR="00000000" w:rsidDel="00000000" w:rsidP="00000000" w:rsidRDefault="00000000" w:rsidRPr="00000000" w14:paraId="0000018B">
      <w:pPr>
        <w:pageBreakBefore w:val="0"/>
        <w:jc w:val="both"/>
        <w:rPr>
          <w:b w:val="1"/>
          <w:bCs w:val="1"/>
        </w:rPr>
      </w:pPr>
      <w:r w:rsidDel="00000000" w:rsidR="00000000" w:rsidRPr="00000000">
        <w:rPr>
          <w:b w:val="1"/>
          <w:bCs w:val="1"/>
        </w:rPr>
        <w:drawing>
          <wp:inline distB="114300" distT="114300" distL="114300" distR="114300">
            <wp:extent cx="5731200" cy="3060700"/>
            <wp:effectExtent b="0" l="0" r="0" t="0"/>
            <wp:docPr id="2"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jc w:val="center"/>
        <w:rPr>
          <w:b w:val="1"/>
          <w:bCs w:val="1"/>
        </w:rPr>
      </w:pPr>
      <w:r w:rsidDel="00000000" w:rsidR="00000000" w:rsidRPr="00000000">
        <w:rPr>
          <w:rtl w:val="0"/>
        </w:rPr>
        <w:t xml:space="preserve">Denmark 2018 (Incremental ECI Sensitivity)</w:t>
      </w:r>
      <w:r w:rsidDel="00000000" w:rsidR="00000000" w:rsidRPr="00000000">
        <w:rPr>
          <w:rtl w:val="0"/>
        </w:rPr>
      </w:r>
    </w:p>
    <w:p w:rsidR="00000000" w:rsidDel="00000000" w:rsidP="00000000" w:rsidRDefault="00000000" w:rsidRPr="00000000" w14:paraId="0000018D">
      <w:pPr>
        <w:pageBreakBefore w:val="0"/>
        <w:jc w:val="both"/>
        <w:rPr>
          <w:b w:val="1"/>
          <w:bCs w:val="1"/>
        </w:rPr>
      </w:pPr>
      <w:r w:rsidDel="00000000" w:rsidR="00000000" w:rsidRPr="00000000">
        <w:rPr>
          <w:rtl w:val="0"/>
        </w:rPr>
      </w:r>
    </w:p>
    <w:p w:rsidR="00000000" w:rsidDel="00000000" w:rsidP="00000000" w:rsidRDefault="00000000" w:rsidRPr="00000000" w14:paraId="0000018E">
      <w:pPr>
        <w:pageBreakBefore w:val="0"/>
        <w:jc w:val="both"/>
        <w:rPr>
          <w:b w:val="1"/>
          <w:bCs w:val="1"/>
        </w:rPr>
      </w:pPr>
      <w:r w:rsidDel="00000000" w:rsidR="00000000" w:rsidRPr="00000000">
        <w:rPr>
          <w:rtl w:val="0"/>
        </w:rPr>
      </w:r>
    </w:p>
    <w:p w:rsidR="00000000" w:rsidDel="00000000" w:rsidP="00000000" w:rsidRDefault="00000000" w:rsidRPr="00000000" w14:paraId="0000018F">
      <w:pPr>
        <w:pageBreakBefore w:val="0"/>
        <w:jc w:val="both"/>
        <w:rPr>
          <w:b w:val="1"/>
          <w:bCs w:val="1"/>
        </w:rPr>
      </w:pPr>
      <w:r w:rsidDel="00000000" w:rsidR="00000000" w:rsidRPr="00000000">
        <w:rPr>
          <w:b w:val="1"/>
          <w:bCs w:val="1"/>
        </w:rPr>
        <w:drawing>
          <wp:inline distB="114300" distT="114300" distL="114300" distR="114300">
            <wp:extent cx="5731200" cy="3060700"/>
            <wp:effectExtent b="0" l="0" r="0" t="0"/>
            <wp:docPr id="28" name="image25.jpg"/>
            <a:graphic>
              <a:graphicData uri="http://schemas.openxmlformats.org/drawingml/2006/picture">
                <pic:pic>
                  <pic:nvPicPr>
                    <pic:cNvPr id="0" name="image25.jpg"/>
                    <pic:cNvPicPr preferRelativeResize="0"/>
                  </pic:nvPicPr>
                  <pic:blipFill>
                    <a:blip r:embed="rId3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ageBreakBefore w:val="0"/>
        <w:jc w:val="center"/>
        <w:rPr/>
      </w:pPr>
      <w:r w:rsidDel="00000000" w:rsidR="00000000" w:rsidRPr="00000000">
        <w:rPr>
          <w:rtl w:val="0"/>
        </w:rPr>
        <w:t xml:space="preserve">Denmark 2018 (Decremental  ECI Sensitivity)</w:t>
      </w:r>
    </w:p>
    <w:p w:rsidR="00000000" w:rsidDel="00000000" w:rsidP="00000000" w:rsidRDefault="00000000" w:rsidRPr="00000000" w14:paraId="00000191">
      <w:pPr>
        <w:pageBreakBefore w:val="0"/>
        <w:jc w:val="center"/>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and Transportation seem to offer slight increases in ECI. Again, increases in export in all other industries lead to slight decreases in ECI score.</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In the 2013 negative shocking case, we see that again Denmark is very sensitive to drawdowns in Machinery. Additionally we see that decrease in exposure to Vegetables, Fruits and Plants seem to offer an immediate increase in ECI score. </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19" name="image10.jpg"/>
            <a:graphic>
              <a:graphicData uri="http://schemas.openxmlformats.org/drawingml/2006/picture">
                <pic:pic>
                  <pic:nvPicPr>
                    <pic:cNvPr id="0" name="image10.jpg"/>
                    <pic:cNvPicPr preferRelativeResize="0"/>
                  </pic:nvPicPr>
                  <pic:blipFill>
                    <a:blip r:embed="rId3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ageBreakBefore w:val="0"/>
        <w:jc w:val="center"/>
        <w:rPr/>
      </w:pPr>
      <w:r w:rsidDel="00000000" w:rsidR="00000000" w:rsidRPr="00000000">
        <w:rPr>
          <w:rtl w:val="0"/>
        </w:rPr>
        <w:t xml:space="preserve">Denmark 2013 (Incremental ECI Sensitivity)</w:t>
      </w:r>
    </w:p>
    <w:p w:rsidR="00000000" w:rsidDel="00000000" w:rsidP="00000000" w:rsidRDefault="00000000" w:rsidRPr="00000000" w14:paraId="00000198">
      <w:pPr>
        <w:pageBreakBefore w:val="0"/>
        <w:jc w:val="both"/>
        <w:rPr>
          <w:b w:val="1"/>
          <w:bCs w:val="1"/>
        </w:rPr>
      </w:pPr>
      <w:r w:rsidDel="00000000" w:rsidR="00000000" w:rsidRPr="00000000">
        <w:rPr>
          <w:rtl w:val="0"/>
        </w:rPr>
      </w:r>
    </w:p>
    <w:p w:rsidR="00000000" w:rsidDel="00000000" w:rsidP="00000000" w:rsidRDefault="00000000" w:rsidRPr="00000000" w14:paraId="00000199">
      <w:pPr>
        <w:pageBreakBefore w:val="0"/>
        <w:jc w:val="both"/>
        <w:rPr>
          <w:b w:val="1"/>
          <w:bCs w:val="1"/>
        </w:rPr>
      </w:pPr>
      <w:r w:rsidDel="00000000" w:rsidR="00000000" w:rsidRPr="00000000">
        <w:rPr>
          <w:b w:val="1"/>
          <w:bCs w:val="1"/>
        </w:rPr>
        <w:drawing>
          <wp:inline distB="114300" distT="114300" distL="114300" distR="114300">
            <wp:extent cx="5731200" cy="3009900"/>
            <wp:effectExtent b="0" l="0" r="0" t="0"/>
            <wp:docPr id="7" name="image22.jpg"/>
            <a:graphic>
              <a:graphicData uri="http://schemas.openxmlformats.org/drawingml/2006/picture">
                <pic:pic>
                  <pic:nvPicPr>
                    <pic:cNvPr id="0" name="image22.jpg"/>
                    <pic:cNvPicPr preferRelativeResize="0"/>
                  </pic:nvPicPr>
                  <pic:blipFill>
                    <a:blip r:embed="rId3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b w:val="1"/>
          <w:bCs w:val="1"/>
        </w:rPr>
      </w:pPr>
      <w:r w:rsidDel="00000000" w:rsidR="00000000" w:rsidRPr="00000000">
        <w:rPr>
          <w:rtl w:val="0"/>
        </w:rPr>
        <w:t xml:space="preserve">Denmark 2013 (Decremental  ECI Sensitivity)</w:t>
      </w: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Below we see the SDV sensitivity charts for High Complexity Products. Denmark’s SDV is quite sensitive to changes in High Complexity products and we see that a similar mix of industries have positive opportunity gain as we increase the export of High Complexity Products. Decreasing the export of High Complexity products leads to a very similar composition of positive opportunities for Denmark. </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Denmark’s SDV seems to be generally insensitive to changes in export of Food and Preparations suggesting that this is not a key industry for the country. </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center"/>
        <w:rPr>
          <w:b w:val="1"/>
          <w:bCs w:val="1"/>
        </w:rPr>
      </w:pPr>
      <w:r w:rsidDel="00000000" w:rsidR="00000000" w:rsidRPr="00000000">
        <w:rPr>
          <w:b w:val="1"/>
          <w:bCs w:val="1"/>
        </w:rPr>
        <w:drawing>
          <wp:inline distB="114300" distT="114300" distL="114300" distR="114300">
            <wp:extent cx="4224338" cy="2217426"/>
            <wp:effectExtent b="0" l="0" r="0" t="0"/>
            <wp:docPr id="11"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4224338" cy="221742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ind w:left="720" w:firstLine="720"/>
        <w:jc w:val="center"/>
        <w:rPr/>
      </w:pPr>
      <w:r w:rsidDel="00000000" w:rsidR="00000000" w:rsidRPr="00000000">
        <w:rPr>
          <w:rtl w:val="0"/>
        </w:rPr>
        <w:t xml:space="preserve">Denmark High-complexity Products 2018 (Incremental SDV Sensitivity)</w:t>
      </w:r>
    </w:p>
    <w:p w:rsidR="00000000" w:rsidDel="00000000" w:rsidP="00000000" w:rsidRDefault="00000000" w:rsidRPr="00000000" w14:paraId="000001A3">
      <w:pPr>
        <w:pageBreakBefore w:val="0"/>
        <w:jc w:val="both"/>
        <w:rPr>
          <w:b w:val="1"/>
          <w:bCs w:val="1"/>
        </w:rPr>
      </w:pPr>
      <w:r w:rsidDel="00000000" w:rsidR="00000000" w:rsidRPr="00000000">
        <w:rPr>
          <w:rtl w:val="0"/>
        </w:rPr>
      </w:r>
    </w:p>
    <w:p w:rsidR="00000000" w:rsidDel="00000000" w:rsidP="00000000" w:rsidRDefault="00000000" w:rsidRPr="00000000" w14:paraId="000001A4">
      <w:pPr>
        <w:pageBreakBefore w:val="0"/>
        <w:jc w:val="center"/>
        <w:rPr>
          <w:b w:val="1"/>
          <w:bCs w:val="1"/>
        </w:rPr>
      </w:pPr>
      <w:r w:rsidDel="00000000" w:rsidR="00000000" w:rsidRPr="00000000">
        <w:rPr>
          <w:b w:val="1"/>
          <w:bCs w:val="1"/>
        </w:rPr>
        <w:drawing>
          <wp:inline distB="114300" distT="114300" distL="114300" distR="114300">
            <wp:extent cx="4021163" cy="2090738"/>
            <wp:effectExtent b="0" l="0" r="0" t="0"/>
            <wp:docPr id="39" name="image32.jpg"/>
            <a:graphic>
              <a:graphicData uri="http://schemas.openxmlformats.org/drawingml/2006/picture">
                <pic:pic>
                  <pic:nvPicPr>
                    <pic:cNvPr id="0" name="image32.jpg"/>
                    <pic:cNvPicPr preferRelativeResize="0"/>
                  </pic:nvPicPr>
                  <pic:blipFill>
                    <a:blip r:embed="rId40"/>
                    <a:srcRect b="0" l="0" r="0" t="0"/>
                    <a:stretch>
                      <a:fillRect/>
                    </a:stretch>
                  </pic:blipFill>
                  <pic:spPr>
                    <a:xfrm>
                      <a:off x="0" y="0"/>
                      <a:ext cx="4021163"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ageBreakBefore w:val="0"/>
        <w:jc w:val="center"/>
        <w:rPr>
          <w:b w:val="1"/>
          <w:bCs w:val="1"/>
        </w:rPr>
      </w:pPr>
      <w:r w:rsidDel="00000000" w:rsidR="00000000" w:rsidRPr="00000000">
        <w:rPr>
          <w:rtl w:val="0"/>
        </w:rPr>
      </w:r>
    </w:p>
    <w:p w:rsidR="00000000" w:rsidDel="00000000" w:rsidP="00000000" w:rsidRDefault="00000000" w:rsidRPr="00000000" w14:paraId="000001A6">
      <w:pPr>
        <w:pageBreakBefore w:val="0"/>
        <w:ind w:left="720" w:firstLine="720"/>
        <w:jc w:val="center"/>
        <w:rPr/>
      </w:pPr>
      <w:r w:rsidDel="00000000" w:rsidR="00000000" w:rsidRPr="00000000">
        <w:rPr>
          <w:rtl w:val="0"/>
        </w:rPr>
        <w:t xml:space="preserve">Denmark</w:t>
      </w:r>
      <w:r w:rsidDel="00000000" w:rsidR="00000000" w:rsidRPr="00000000">
        <w:rPr>
          <w:rtl w:val="0"/>
        </w:rPr>
        <w:t xml:space="preserve"> High-complexity Products 2018 (Decremental SDV Sensitivity)</w:t>
      </w:r>
    </w:p>
    <w:p w:rsidR="00000000" w:rsidDel="00000000" w:rsidP="00000000" w:rsidRDefault="00000000" w:rsidRPr="00000000" w14:paraId="000001A7">
      <w:pPr>
        <w:pageBreakBefore w:val="0"/>
        <w:ind w:left="720" w:firstLine="720"/>
        <w:jc w:val="center"/>
        <w:rPr/>
      </w:pPr>
      <w:r w:rsidDel="00000000" w:rsidR="00000000" w:rsidRPr="00000000">
        <w:rPr>
          <w:rtl w:val="0"/>
        </w:rPr>
      </w:r>
    </w:p>
    <w:p w:rsidR="00000000" w:rsidDel="00000000" w:rsidP="00000000" w:rsidRDefault="00000000" w:rsidRPr="00000000" w14:paraId="000001A8">
      <w:pPr>
        <w:pageBreakBefore w:val="0"/>
        <w:ind w:left="720" w:firstLine="720"/>
        <w:jc w:val="center"/>
        <w:rPr/>
      </w:pPr>
      <w:r w:rsidDel="00000000" w:rsidR="00000000" w:rsidRPr="00000000">
        <w:rPr>
          <w:rtl w:val="0"/>
        </w:rPr>
      </w:r>
    </w:p>
    <w:p w:rsidR="00000000" w:rsidDel="00000000" w:rsidP="00000000" w:rsidRDefault="00000000" w:rsidRPr="00000000" w14:paraId="000001A9">
      <w:pPr>
        <w:pageBreakBefore w:val="0"/>
        <w:ind w:left="0" w:firstLine="0"/>
        <w:jc w:val="center"/>
        <w:rPr/>
      </w:pPr>
      <w:r w:rsidDel="00000000" w:rsidR="00000000" w:rsidRPr="00000000">
        <w:rPr/>
        <w:drawing>
          <wp:inline distB="114300" distT="114300" distL="114300" distR="114300">
            <wp:extent cx="1554000" cy="2920553"/>
            <wp:effectExtent b="0" l="0" r="0" t="0"/>
            <wp:docPr id="16" name="image35.jpg"/>
            <a:graphic>
              <a:graphicData uri="http://schemas.openxmlformats.org/drawingml/2006/picture">
                <pic:pic>
                  <pic:nvPicPr>
                    <pic:cNvPr id="0" name="image35.jpg"/>
                    <pic:cNvPicPr preferRelativeResize="0"/>
                  </pic:nvPicPr>
                  <pic:blipFill>
                    <a:blip r:embed="rId41"/>
                    <a:srcRect b="0" l="0" r="0" t="0"/>
                    <a:stretch>
                      <a:fillRect/>
                    </a:stretch>
                  </pic:blipFill>
                  <pic:spPr>
                    <a:xfrm>
                      <a:off x="0" y="0"/>
                      <a:ext cx="1554000" cy="292055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ageBreakBefore w:val="0"/>
        <w:ind w:left="720" w:firstLine="720"/>
        <w:jc w:val="center"/>
        <w:rPr/>
      </w:pPr>
      <w:r w:rsidDel="00000000" w:rsidR="00000000" w:rsidRPr="00000000">
        <w:rPr>
          <w:rtl w:val="0"/>
        </w:rPr>
        <w:t xml:space="preserve">Denmark Food and Preparations 2018 (Incremental SDV Sensitivity)</w:t>
      </w:r>
    </w:p>
    <w:p w:rsidR="00000000" w:rsidDel="00000000" w:rsidP="00000000" w:rsidRDefault="00000000" w:rsidRPr="00000000" w14:paraId="000001AB">
      <w:pPr>
        <w:pageBreakBefore w:val="0"/>
        <w:jc w:val="both"/>
        <w:rPr>
          <w:b w:val="1"/>
          <w:bCs w:val="1"/>
        </w:rPr>
      </w:pPr>
      <w:r w:rsidDel="00000000" w:rsidR="00000000" w:rsidRPr="00000000">
        <w:rPr>
          <w:rtl w:val="0"/>
        </w:rPr>
      </w:r>
    </w:p>
    <w:p w:rsidR="00000000" w:rsidDel="00000000" w:rsidP="00000000" w:rsidRDefault="00000000" w:rsidRPr="00000000" w14:paraId="000001AC">
      <w:pPr>
        <w:pageBreakBefore w:val="0"/>
        <w:jc w:val="both"/>
        <w:rPr>
          <w:b w:val="1"/>
          <w:bCs w:val="1"/>
        </w:rPr>
      </w:pPr>
      <w:r w:rsidDel="00000000" w:rsidR="00000000" w:rsidRPr="00000000">
        <w:rPr>
          <w:rtl w:val="0"/>
        </w:rPr>
      </w:r>
    </w:p>
    <w:p w:rsidR="00000000" w:rsidDel="00000000" w:rsidP="00000000" w:rsidRDefault="00000000" w:rsidRPr="00000000" w14:paraId="000001AD">
      <w:pPr>
        <w:pageBreakBefore w:val="0"/>
        <w:jc w:val="center"/>
        <w:rPr>
          <w:b w:val="1"/>
          <w:bCs w:val="1"/>
        </w:rPr>
      </w:pPr>
      <w:r w:rsidDel="00000000" w:rsidR="00000000" w:rsidRPr="00000000">
        <w:rPr>
          <w:b w:val="1"/>
          <w:bCs w:val="1"/>
        </w:rPr>
        <w:drawing>
          <wp:inline distB="114300" distT="114300" distL="114300" distR="114300">
            <wp:extent cx="2649375" cy="2677030"/>
            <wp:effectExtent b="0" l="0" r="0" t="0"/>
            <wp:docPr id="22" name="image24.jpg"/>
            <a:graphic>
              <a:graphicData uri="http://schemas.openxmlformats.org/drawingml/2006/picture">
                <pic:pic>
                  <pic:nvPicPr>
                    <pic:cNvPr id="0" name="image24.jpg"/>
                    <pic:cNvPicPr preferRelativeResize="0"/>
                  </pic:nvPicPr>
                  <pic:blipFill>
                    <a:blip r:embed="rId42"/>
                    <a:srcRect b="0" l="0" r="0" t="0"/>
                    <a:stretch>
                      <a:fillRect/>
                    </a:stretch>
                  </pic:blipFill>
                  <pic:spPr>
                    <a:xfrm>
                      <a:off x="0" y="0"/>
                      <a:ext cx="2649375" cy="267703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ageBreakBefore w:val="0"/>
        <w:ind w:left="720" w:firstLine="720"/>
        <w:jc w:val="center"/>
        <w:rPr>
          <w:b w:val="1"/>
          <w:bCs w:val="1"/>
          <w:sz w:val="28"/>
          <w:szCs w:val="28"/>
        </w:rPr>
      </w:pPr>
      <w:r w:rsidDel="00000000" w:rsidR="00000000" w:rsidRPr="00000000">
        <w:rPr>
          <w:rtl w:val="0"/>
        </w:rPr>
        <w:t xml:space="preserve">Denmark Food and Preparations 2018 (Decremental SDV Sensitivity)</w:t>
      </w:r>
      <w:r w:rsidDel="00000000" w:rsidR="00000000" w:rsidRPr="00000000">
        <w:rPr>
          <w:rtl w:val="0"/>
        </w:rPr>
      </w:r>
    </w:p>
    <w:p w:rsidR="00000000" w:rsidDel="00000000" w:rsidP="00000000" w:rsidRDefault="00000000" w:rsidRPr="00000000" w14:paraId="000001A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0">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B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2">
      <w:pPr>
        <w:pageBreakBefore w:val="0"/>
        <w:jc w:val="both"/>
        <w:rPr>
          <w:b w:val="1"/>
          <w:bCs w:val="1"/>
          <w:sz w:val="28"/>
          <w:szCs w:val="28"/>
        </w:rPr>
      </w:pPr>
      <w:r w:rsidDel="00000000" w:rsidR="00000000" w:rsidRPr="00000000">
        <w:rPr>
          <w:rtl w:val="0"/>
        </w:rPr>
        <w:t xml:space="preserve">Decreasing export of each industry in Denmark’s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B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5">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254705" cy="2767013"/>
            <wp:effectExtent b="0" l="0" r="0" t="0"/>
            <wp:docPr id="27" name="image27.jpg"/>
            <a:graphic>
              <a:graphicData uri="http://schemas.openxmlformats.org/drawingml/2006/picture">
                <pic:pic>
                  <pic:nvPicPr>
                    <pic:cNvPr id="0" name="image27.jpg"/>
                    <pic:cNvPicPr preferRelativeResize="0"/>
                  </pic:nvPicPr>
                  <pic:blipFill>
                    <a:blip r:embed="rId43"/>
                    <a:srcRect b="0" l="0" r="0" t="0"/>
                    <a:stretch>
                      <a:fillRect/>
                    </a:stretch>
                  </pic:blipFill>
                  <pic:spPr>
                    <a:xfrm>
                      <a:off x="0" y="0"/>
                      <a:ext cx="5254705"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ageBreakBefore w:val="0"/>
        <w:jc w:val="center"/>
        <w:rPr>
          <w:sz w:val="28"/>
          <w:szCs w:val="28"/>
        </w:rPr>
      </w:pPr>
      <w:r w:rsidDel="00000000" w:rsidR="00000000" w:rsidRPr="00000000">
        <w:rPr>
          <w:sz w:val="22"/>
          <w:szCs w:val="22"/>
          <w:rtl w:val="0"/>
        </w:rPr>
        <w:t xml:space="preserve">Denmark Contingency Strategy 2018</w:t>
      </w:r>
      <w:r w:rsidDel="00000000" w:rsidR="00000000" w:rsidRPr="00000000">
        <w:rPr>
          <w:rtl w:val="0"/>
        </w:rPr>
      </w:r>
    </w:p>
    <w:p w:rsidR="00000000" w:rsidDel="00000000" w:rsidP="00000000" w:rsidRDefault="00000000" w:rsidRPr="00000000" w14:paraId="000001B7">
      <w:pPr>
        <w:pageBreakBefore w:val="0"/>
        <w:jc w:val="both"/>
        <w:rPr>
          <w:b w:val="1"/>
          <w:bCs w:val="1"/>
        </w:rPr>
      </w:pPr>
      <w:r w:rsidDel="00000000" w:rsidR="00000000" w:rsidRPr="00000000">
        <w:rPr>
          <w:rtl w:val="0"/>
        </w:rPr>
      </w:r>
    </w:p>
    <w:p w:rsidR="00000000" w:rsidDel="00000000" w:rsidP="00000000" w:rsidRDefault="00000000" w:rsidRPr="00000000" w14:paraId="000001B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B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B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B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BC">
      <w:pPr>
        <w:pageBreakBefore w:val="0"/>
        <w:jc w:val="both"/>
        <w:rPr>
          <w:b w:val="1"/>
          <w:bCs w:val="1"/>
        </w:rPr>
      </w:pPr>
      <w:r w:rsidDel="00000000" w:rsidR="00000000" w:rsidRPr="00000000">
        <w:rPr>
          <w:rtl w:val="0"/>
        </w:rPr>
      </w:r>
    </w:p>
    <w:p w:rsidR="00000000" w:rsidDel="00000000" w:rsidP="00000000" w:rsidRDefault="00000000" w:rsidRPr="00000000" w14:paraId="000001BD">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BE">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C1">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CA">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8"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CB">
      <w:pPr>
        <w:jc w:val="center"/>
        <w:rPr/>
      </w:pPr>
      <w:r w:rsidDel="00000000" w:rsidR="00000000" w:rsidRPr="00000000">
        <w:rPr>
          <w:sz w:val="22"/>
          <w:szCs w:val="22"/>
          <w:rtl w:val="0"/>
        </w:rPr>
        <w:t xml:space="preserve">Figure 9. Regression of Five-Year GDP Growth over SOI (2013-2018)</w:t>
      </w:r>
      <w:r w:rsidDel="00000000" w:rsidR="00000000" w:rsidRPr="00000000">
        <w:rPr>
          <w:rtl w:val="0"/>
        </w:rPr>
      </w:r>
    </w:p>
    <w:p w:rsidR="00000000" w:rsidDel="00000000" w:rsidP="00000000" w:rsidRDefault="00000000" w:rsidRPr="00000000" w14:paraId="000001CC">
      <w:pPr>
        <w:pageBreakBefore w:val="0"/>
        <w:jc w:val="both"/>
        <w:rPr/>
      </w:pPr>
      <w:r w:rsidDel="00000000" w:rsidR="00000000" w:rsidRPr="00000000">
        <w:rPr>
          <w:rtl w:val="0"/>
        </w:rPr>
      </w:r>
    </w:p>
    <w:p w:rsidR="00000000" w:rsidDel="00000000" w:rsidP="00000000" w:rsidRDefault="00000000" w:rsidRPr="00000000" w14:paraId="000001CD">
      <w:pPr>
        <w:pageBreakBefore w:val="0"/>
        <w:jc w:val="both"/>
        <w:rPr>
          <w:b w:val="1"/>
          <w:bCs w:val="1"/>
        </w:rPr>
      </w:pPr>
      <w:r w:rsidDel="00000000" w:rsidR="00000000" w:rsidRPr="00000000">
        <w:rPr>
          <w:b w:val="1"/>
          <w:bCs w:val="1"/>
          <w:rtl w:val="0"/>
        </w:rPr>
        <w:t xml:space="preserve">5.2 SOI of Denmark and Its Implications</w:t>
      </w:r>
    </w:p>
    <w:p w:rsidR="00000000" w:rsidDel="00000000" w:rsidP="00000000" w:rsidRDefault="00000000" w:rsidRPr="00000000" w14:paraId="000001CE">
      <w:pPr>
        <w:pageBreakBefore w:val="0"/>
        <w:jc w:val="both"/>
        <w:rPr/>
      </w:pPr>
      <w:r w:rsidDel="00000000" w:rsidR="00000000" w:rsidRPr="00000000">
        <w:rPr>
          <w:rtl w:val="0"/>
        </w:rPr>
        <w:t xml:space="preserve">Denmark, for instance, has an average level of structural optimality as compared with its developed peers. As the regression in Figure 10a suggests (the orange curve represents export increase and the blue curve stands for opportunity gain of the corresponding industry), Denmark demonstrates a lower level of correlation with the suggested developmental path, having an adjusted R-square of around 4.8%. Denmark ranks in the second quartile among all countries in terms of SOI and has made an average rate of economic progress among its emerging peers from 2013 to 2018 with a 5-year GDP growth rate of 23.3%,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Denmark’s relatively slow economic progress from 2013 to 2018 can be at least partially explained by a development strategy that slightly deviated from our suggested developmental path. In specific, Denmark invested heavily in the Services and Utilities industry, while it should have focused more on industry groups such as Energy Drilling/Mining and Precious Stones.</w:t>
      </w:r>
    </w:p>
    <w:p w:rsidR="00000000" w:rsidDel="00000000" w:rsidP="00000000" w:rsidRDefault="00000000" w:rsidRPr="00000000" w14:paraId="000001CF">
      <w:pPr>
        <w:pageBreakBefore w:val="0"/>
        <w:jc w:val="both"/>
        <w:rPr/>
      </w:pPr>
      <w:r w:rsidDel="00000000" w:rsidR="00000000" w:rsidRPr="00000000">
        <w:rPr>
          <w:rtl w:val="0"/>
        </w:rPr>
      </w:r>
    </w:p>
    <w:p w:rsidR="00000000" w:rsidDel="00000000" w:rsidP="00000000" w:rsidRDefault="00000000" w:rsidRPr="00000000" w14:paraId="000001D0">
      <w:pPr>
        <w:pageBreakBefore w:val="0"/>
        <w:jc w:val="both"/>
        <w:rPr/>
      </w:pPr>
      <w:r w:rsidDel="00000000" w:rsidR="00000000" w:rsidRPr="00000000">
        <w:rPr/>
        <w:drawing>
          <wp:inline distB="114300" distT="114300" distL="114300" distR="114300">
            <wp:extent cx="6168113" cy="2466975"/>
            <wp:effectExtent b="0" l="0" r="0" t="0"/>
            <wp:docPr id="18"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6168113"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pPr>
      <w:r w:rsidDel="00000000" w:rsidR="00000000" w:rsidRPr="00000000">
        <w:rPr>
          <w:sz w:val="22"/>
          <w:szCs w:val="22"/>
          <w:rtl w:val="0"/>
        </w:rPr>
        <w:t xml:space="preserve">Figure 10a. SOI of Denmark (2013-2018)</w:t>
      </w:r>
      <w:r w:rsidDel="00000000" w:rsidR="00000000" w:rsidRPr="00000000">
        <w:rPr>
          <w:rtl w:val="0"/>
        </w:rPr>
      </w:r>
    </w:p>
    <w:p w:rsidR="00000000" w:rsidDel="00000000" w:rsidP="00000000" w:rsidRDefault="00000000" w:rsidRPr="00000000" w14:paraId="000001D2">
      <w:pPr>
        <w:pageBreakBefore w:val="0"/>
        <w:jc w:val="cente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For the 2019-2021 years, Denmark has a strong presence in the Chemical Manufacturing and High-Complexity Products industries, which they seem to be overdeveloped when considering their lower opportunity gain relative to RID. It also could consider Energy, Drilling, and Mining to improve its growth. Denmark has seen a slower growth in GDP over those three years at 4.66%, compared to 23.3% for the average yearly growth for the five years prior.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Lower than before, its adjusted R-squared value of 2.4% still indicates a low correlation between the GDP growth and the implemented development path. Progress is slow on a global scale during this period, but Denmark demonstrates a lower ability to adjust to negative economic shocks by improving SOI and increasing GDP growth than it did between 2013 and 2018.</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ageBreakBefore w:val="0"/>
        <w:jc w:val="both"/>
        <w:rPr>
          <w:b w:val="1"/>
          <w:bCs w:val="1"/>
        </w:rPr>
      </w:pPr>
      <w:r w:rsidDel="00000000" w:rsidR="00000000" w:rsidRPr="00000000">
        <w:rPr>
          <w:rtl w:val="0"/>
        </w:rPr>
      </w:r>
    </w:p>
    <w:p w:rsidR="00000000" w:rsidDel="00000000" w:rsidP="00000000" w:rsidRDefault="00000000" w:rsidRPr="00000000" w14:paraId="000001D8">
      <w:pPr>
        <w:pageBreakBefore w:val="0"/>
        <w:jc w:val="both"/>
        <w:rPr>
          <w:b w:val="1"/>
          <w:bCs w:val="1"/>
        </w:rPr>
      </w:pPr>
      <w:r w:rsidDel="00000000" w:rsidR="00000000" w:rsidRPr="00000000">
        <w:rPr>
          <w:b w:val="1"/>
          <w:bCs w:val="1"/>
        </w:rPr>
        <w:drawing>
          <wp:inline distB="114300" distT="114300" distL="114300" distR="114300">
            <wp:extent cx="5731200" cy="2298700"/>
            <wp:effectExtent b="0" l="0" r="0" t="0"/>
            <wp:docPr id="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b w:val="1"/>
          <w:bCs w:val="1"/>
        </w:rPr>
      </w:pPr>
      <w:r w:rsidDel="00000000" w:rsidR="00000000" w:rsidRPr="00000000">
        <w:rPr>
          <w:sz w:val="22"/>
          <w:szCs w:val="22"/>
          <w:rtl w:val="0"/>
        </w:rPr>
        <w:t xml:space="preserve">Figure 10b. SOI of Denmark (2019-2021)</w:t>
      </w:r>
      <w:r w:rsidDel="00000000" w:rsidR="00000000" w:rsidRPr="00000000">
        <w:rPr>
          <w:rtl w:val="0"/>
        </w:rPr>
      </w:r>
    </w:p>
    <w:p w:rsidR="00000000" w:rsidDel="00000000" w:rsidP="00000000" w:rsidRDefault="00000000" w:rsidRPr="00000000" w14:paraId="000001DA">
      <w:pPr>
        <w:pageBreakBefore w:val="0"/>
        <w:jc w:val="center"/>
        <w:rPr>
          <w:b w:val="1"/>
          <w:bCs w:val="1"/>
        </w:rPr>
      </w:pPr>
      <w:r w:rsidDel="00000000" w:rsidR="00000000" w:rsidRPr="00000000">
        <w:rPr>
          <w:rtl w:val="0"/>
        </w:rPr>
      </w:r>
    </w:p>
    <w:p w:rsidR="00000000" w:rsidDel="00000000" w:rsidP="00000000" w:rsidRDefault="00000000" w:rsidRPr="00000000" w14:paraId="000001D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t xml:space="preserve">In conclusion, Denmark has demonstrated a moderate level of economic growth in terms of annual GDP increase during the period from 2013 to 2018, concurrent with a decrease in economic complexity as compared with other developed economies. </w:t>
      </w:r>
      <w:r w:rsidDel="00000000" w:rsidR="00000000" w:rsidRPr="00000000">
        <w:rPr>
          <w:rtl w:val="0"/>
        </w:rPr>
        <w:t xml:space="preserve">For 2019-2021, the growth in GDP has slowed alongside a large decrease in ECI, in line with its comparable countries.</w:t>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Denmark on the industry group level. The product classification system we adopt allows us to measure the realized industry development for various industry groups and to observe th</w:t>
      </w:r>
      <w:r w:rsidDel="00000000" w:rsidR="00000000" w:rsidRPr="00000000">
        <w:rPr>
          <w:rtl w:val="0"/>
        </w:rPr>
        <w:t xml:space="preserve">at Denmark consistently relied on developing the Food and Preparations, Wood Products, and Chemicals industries in 2013-2018,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t xml:space="preserve">Based on our analysis of the opportunity gain and a sensitivity analysis of major industry groups, Denmark can further its gains by prioritizing High-Complexity Products and Transportation. We further note that Denmark has a slightly mismatched development strategy that indicates an average (compared to other developed economies) level of structural optimality on the complexity level, having an adjusted R-square of around 4.8%. Since a significant positive correlation exists between five-year GDP growth and the structural optimality index of an economy as we define and calculate, Denmark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During the second examined period from 2019 to 2021, Denmark performed similarly to its comparable countries, particularly Sweden. We infer that during the  COVID-19 period, Denmark focused on developing higher complexity industries despite a lower demand for these industries given the global economic downturn. We also note that Denmark has increased its investment in the sectors identified earlier, leading to a strong boost from High-Complexity Products industries, which remains an integral sector as demonstrated by the sensitivity analysis. The greedy approach suggests that greater growth could have been achieved through investments in Transportation, which is aligned to our recommendations from previous years. The slight decrease to the adjusted R-squared value to 2.4% in 2021 from 4.8% in 2018 demonstrates that Denmark has room for strategic improvement by investing in the industries mentioned above. With the revised focus, Denmark has further potential to advance its economic growth to maintain its position among other countries to continue its ongoing economic expansion.</w:t>
      </w:r>
    </w:p>
    <w:p w:rsidR="00000000" w:rsidDel="00000000" w:rsidP="00000000" w:rsidRDefault="00000000" w:rsidRPr="00000000" w14:paraId="000001E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E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E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E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E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E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E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6">
      <w:pPr>
        <w:pageBreakBefore w:val="0"/>
        <w:jc w:val="both"/>
        <w:rPr/>
      </w:pPr>
      <w:r w:rsidDel="00000000" w:rsidR="00000000" w:rsidRPr="00000000">
        <w:rPr>
          <w:rtl w:val="0"/>
        </w:rPr>
      </w:r>
    </w:p>
    <w:sectPr>
      <w:headerReference r:id="rId47" w:type="default"/>
      <w:footerReference r:id="rId48" w:type="default"/>
      <w:footerReference r:id="rId49" w:type="first"/>
      <w:footerReference r:id="rId5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jpg"/><Relationship Id="rId42" Type="http://schemas.openxmlformats.org/officeDocument/2006/relationships/image" Target="media/image24.jpg"/><Relationship Id="rId41" Type="http://schemas.openxmlformats.org/officeDocument/2006/relationships/image" Target="media/image35.jpg"/><Relationship Id="rId44" Type="http://schemas.openxmlformats.org/officeDocument/2006/relationships/image" Target="media/image21.png"/><Relationship Id="rId43" Type="http://schemas.openxmlformats.org/officeDocument/2006/relationships/image" Target="media/image27.jpg"/><Relationship Id="rId46" Type="http://schemas.openxmlformats.org/officeDocument/2006/relationships/image" Target="media/image5.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footer" Target="footer2.xml"/><Relationship Id="rId47" Type="http://schemas.openxmlformats.org/officeDocument/2006/relationships/header" Target="head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1.png"/><Relationship Id="rId8" Type="http://schemas.openxmlformats.org/officeDocument/2006/relationships/image" Target="media/image23.png"/><Relationship Id="rId31" Type="http://schemas.openxmlformats.org/officeDocument/2006/relationships/image" Target="media/image12.jpg"/><Relationship Id="rId30" Type="http://schemas.openxmlformats.org/officeDocument/2006/relationships/image" Target="media/image34.png"/><Relationship Id="rId33" Type="http://schemas.openxmlformats.org/officeDocument/2006/relationships/image" Target="media/image17.png"/><Relationship Id="rId32" Type="http://schemas.openxmlformats.org/officeDocument/2006/relationships/image" Target="media/image18.jpg"/><Relationship Id="rId35" Type="http://schemas.openxmlformats.org/officeDocument/2006/relationships/image" Target="media/image20.jpg"/><Relationship Id="rId34" Type="http://schemas.openxmlformats.org/officeDocument/2006/relationships/image" Target="media/image7.png"/><Relationship Id="rId37" Type="http://schemas.openxmlformats.org/officeDocument/2006/relationships/image" Target="media/image10.jpg"/><Relationship Id="rId36" Type="http://schemas.openxmlformats.org/officeDocument/2006/relationships/image" Target="media/image25.jpg"/><Relationship Id="rId39" Type="http://schemas.openxmlformats.org/officeDocument/2006/relationships/image" Target="media/image13.jpg"/><Relationship Id="rId38" Type="http://schemas.openxmlformats.org/officeDocument/2006/relationships/image" Target="media/image22.jpg"/><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2.png"/><Relationship Id="rId24" Type="http://schemas.openxmlformats.org/officeDocument/2006/relationships/image" Target="media/image41.png"/><Relationship Id="rId23" Type="http://schemas.openxmlformats.org/officeDocument/2006/relationships/image" Target="media/image3.png"/><Relationship Id="rId26" Type="http://schemas.openxmlformats.org/officeDocument/2006/relationships/image" Target="media/image28.png"/><Relationship Id="rId25" Type="http://schemas.openxmlformats.org/officeDocument/2006/relationships/image" Target="media/image14.png"/><Relationship Id="rId28" Type="http://schemas.openxmlformats.org/officeDocument/2006/relationships/image" Target="media/image26.png"/><Relationship Id="rId27" Type="http://schemas.openxmlformats.org/officeDocument/2006/relationships/image" Target="media/image16.png"/><Relationship Id="rId29" Type="http://schemas.openxmlformats.org/officeDocument/2006/relationships/image" Target="media/image39.png"/><Relationship Id="rId5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40.png"/><Relationship Id="rId15" Type="http://schemas.openxmlformats.org/officeDocument/2006/relationships/image" Target="media/image6.png"/><Relationship Id="rId14" Type="http://schemas.openxmlformats.org/officeDocument/2006/relationships/image" Target="media/image30.jpg"/><Relationship Id="rId17" Type="http://schemas.openxmlformats.org/officeDocument/2006/relationships/image" Target="media/image36.png"/><Relationship Id="rId16" Type="http://schemas.openxmlformats.org/officeDocument/2006/relationships/image" Target="media/image33.png"/><Relationship Id="rId19" Type="http://schemas.openxmlformats.org/officeDocument/2006/relationships/image" Target="media/image8.jp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