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8"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France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France</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France went through during the period from 2013 to 2021. Specifically, we dive into the topic through a macroeconomic overview of France from the perspective of Gross Domestic Product (GDP) and Economic Complexity Index (ECI), which reflect countries’ production capability and production structure, respectively. We find that between 2013 and 2018, France demonstrated a low level of economic growth with an annual GDP growth rate of 0.8%, concurrent with a stagnation in economic complexity as compared with other major economies in Europe. Between 2019 and 2021,</w:t>
      </w:r>
      <w:r w:rsidDel="00000000" w:rsidR="00000000" w:rsidRPr="00000000">
        <w:rPr>
          <w:rtl w:val="0"/>
        </w:rPr>
        <w:t xml:space="preserve"> France demonstrated a moderate level of economic growth with an average annual GDP growth rate of </w:t>
      </w:r>
      <w:r w:rsidDel="00000000" w:rsidR="00000000" w:rsidRPr="00000000">
        <w:rPr>
          <w:rtl w:val="0"/>
        </w:rPr>
        <w:t xml:space="preserve">3.75%, with a slightly lower economic complexity compared to other major developed European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France on the industry group level, as well as the improved macro and microeconomic strategies. The product classification system we adopt allows us to measure the realized industry development for various industry groups and to observe that France progressed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France could further its gains by prioritizing Machinery and Construction, and Services and Utilities in 2018. Three years later, in 2021, its focus should shift to the High-complexity Product and Transportation industries, which are also one of the more developed industries at the time. We further note that France has a similar development strategy that indicates a moderate level (compared to other developed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4.1% </w:t>
      </w:r>
      <w:r w:rsidDel="00000000" w:rsidR="00000000" w:rsidRPr="00000000">
        <w:rPr>
          <w:rtl w:val="0"/>
        </w:rPr>
        <w:t xml:space="preserve">in 2018 and a much higher score of</w:t>
      </w:r>
      <w:r w:rsidDel="00000000" w:rsidR="00000000" w:rsidRPr="00000000">
        <w:rPr>
          <w:rtl w:val="0"/>
        </w:rPr>
        <w:t xml:space="preserve"> 7.6%</w:t>
      </w:r>
      <w:r w:rsidDel="00000000" w:rsidR="00000000" w:rsidRPr="00000000">
        <w:rPr>
          <w:rtl w:val="0"/>
        </w:rPr>
        <w:t xml:space="preserve"> in 2021, demonstrating an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five-year GDP growth between 2013 and 2018 and the structural optimality index of an economy as we define and calculate, France indeed has improved its growth as compared with fast-growing economies both on a regional scale and on a global scale, but has the potential to further its economic gains through industrial structure optimization as suggested in the paper.  </w:t>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following showed a significant improvement in  France's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France went through during the period from 2019 to 2021, before and after the COVID pandemic, compared to its performance from 2013 to 2018. Specifically, we dive into the topic through a macroeconomic overview of France from the perspective of Gross Domestic Product (GDP) and Economic Complexity Index (ECI), which reflect countries’ production capability and production structure, respectively. We then analyze the industrial framework and changes of France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France,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C">
      <w:pPr>
        <w:jc w:val="both"/>
        <w:rPr/>
      </w:pPr>
      <w:r w:rsidDel="00000000" w:rsidR="00000000" w:rsidRPr="00000000">
        <w:rPr>
          <w:rtl w:val="0"/>
        </w:rPr>
        <w:t xml:space="preserve">As the 7</w:t>
      </w:r>
      <w:r w:rsidDel="00000000" w:rsidR="00000000" w:rsidRPr="00000000">
        <w:rPr>
          <w:vertAlign w:val="superscript"/>
          <w:rtl w:val="0"/>
        </w:rPr>
        <w:t xml:space="preserve">th</w:t>
      </w:r>
      <w:r w:rsidDel="00000000" w:rsidR="00000000" w:rsidRPr="00000000">
        <w:rPr>
          <w:rtl w:val="0"/>
        </w:rPr>
        <w:t xml:space="preserve"> largest economy in the world by GDP, France has a GDP of 2.7 trillion USD in 2018 and 2.9 trillion USD in 2021, exhibiting an extraordinary level of economic output.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rtl w:val="0"/>
        </w:rPr>
        <w:t xml:space="preserve">Figure 1a illustrates the time-series GDP results for France and other leading economies (China, Japan, Germany, and the United States) from 2013 to 2018. While other countries</w:t>
      </w:r>
      <w:r w:rsidDel="00000000" w:rsidR="00000000" w:rsidRPr="00000000">
        <w:rPr>
          <w:rtl w:val="0"/>
        </w:rPr>
        <w:t xml:space="preserve"> </w:t>
      </w:r>
      <w:r w:rsidDel="00000000" w:rsidR="00000000" w:rsidRPr="00000000">
        <w:rPr>
          <w:rtl w:val="0"/>
        </w:rPr>
        <w:t xml:space="preserve">displayed an upward trend over the period, France was observed with a mostly stagnant GDP level. France’s annual growth rate of around 0.8% was significantly below the annual growth rate of other leading economies, which had a geometric average growth rate of 2.4% and an arithmetic average growth rate of 2.6% during the same period. The stagnated economic growth in France, we believe, can be reflected through consistent ECI and PCI, and can be further explained by a suboptimal set of production strategies France adopted during the period, which we will expand at the later stage of the report.</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Figure 1b shows the GDP levels for France and its peer countries (Germany, United Kingdom, Italy, and the United States) from 2019 to 2021. Similar to the other countries, France displayed a small dip in GDP from 2019 to 2020 due to the pandemic, with all GDPs rebounding in 2021. Over these three years, France’s average annual GDP growth rate (3.8%) is in the middle</w:t>
      </w:r>
      <w:r w:rsidDel="00000000" w:rsidR="00000000" w:rsidRPr="00000000">
        <w:rPr>
          <w:rtl w:val="0"/>
        </w:rPr>
        <w:t xml:space="preserve">,</w:t>
      </w:r>
      <w:r w:rsidDel="00000000" w:rsidR="00000000" w:rsidRPr="00000000">
        <w:rPr>
          <w:rtl w:val="0"/>
        </w:rPr>
        <w:t xml:space="preserve"> as it is greater than Italy’s rate (2.2%) and roughly equal to the United States’s rate (3.7%), but less than Germany and the United Kingdom’s rates (4.2% and 5.2%, respectively). It is notable that the GDP trend of France and its European peers are very similar, with a slight upward trend in 2021 and a drop in 2020.</w:t>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3000375" cy="1604963"/>
            <wp:effectExtent b="12700" l="12700" r="12700" t="12700"/>
            <wp:docPr id="2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000375" cy="160496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619375" cy="1838325"/>
            <wp:effectExtent b="0" l="0" r="0" t="0"/>
            <wp:docPr id="12" name="image5.png"/>
            <a:graphic>
              <a:graphicData uri="http://schemas.openxmlformats.org/drawingml/2006/picture">
                <pic:pic>
                  <pic:nvPicPr>
                    <pic:cNvPr id="0" name="image5.png"/>
                    <pic:cNvPicPr preferRelativeResize="0"/>
                  </pic:nvPicPr>
                  <pic:blipFill>
                    <a:blip r:embed="rId9"/>
                    <a:srcRect b="4189" l="0" r="7866" t="5987"/>
                    <a:stretch>
                      <a:fillRect/>
                    </a:stretch>
                  </pic:blipFill>
                  <pic:spPr>
                    <a:xfrm>
                      <a:off x="0" y="0"/>
                      <a:ext cx="261937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Figures 1a and 1b. GDP Comparison Among Peer Countries (left: 1999-2018; right: 2019-2021)</w:t>
      </w:r>
      <w:r w:rsidDel="00000000" w:rsidR="00000000" w:rsidRPr="00000000">
        <w:rPr>
          <w:rtl w:val="0"/>
        </w:rPr>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 While France exhibits a stable but flat curve in terms of its production capability from 2014 to 2018, it witnessed a sharp decline from 2013 to 2014 that was not present in other countries. Overall, France lagged behind its peers in terms of both ECI and GDP growth during the period.</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drop between 2020 and 2021.</w:t>
      </w:r>
      <w:r w:rsidDel="00000000" w:rsidR="00000000" w:rsidRPr="00000000">
        <w:rPr>
          <w:rtl w:val="0"/>
        </w:rPr>
        <w:t xml:space="preserve"> </w:t>
      </w:r>
      <w:r w:rsidDel="00000000" w:rsidR="00000000" w:rsidRPr="00000000">
        <w:rPr>
          <w:rtl w:val="0"/>
        </w:rPr>
        <w:t xml:space="preserve">France</w:t>
      </w:r>
      <w:r w:rsidDel="00000000" w:rsidR="00000000" w:rsidRPr="00000000">
        <w:rPr>
          <w:rtl w:val="0"/>
        </w:rPr>
        <w:t xml:space="preserve"> exhibits a sudden large decrease in production capability in 2021, partially attributed to diminished production capacities during the pandemic. </w:t>
      </w:r>
      <w:r w:rsidDel="00000000" w:rsidR="00000000" w:rsidRPr="00000000">
        <w:rPr>
          <w:rtl w:val="0"/>
        </w:rPr>
        <w:t xml:space="preserve">France</w:t>
      </w:r>
      <w:r w:rsidDel="00000000" w:rsidR="00000000" w:rsidRPr="00000000">
        <w:rPr>
          <w:rtl w:val="0"/>
        </w:rPr>
        <w:t xml:space="preserve"> has seen a 59% decrease in its ECI, which is worse than the USA's (25% decrease) but better than Germany's (94% decrease).</w:t>
      </w:r>
      <w:r w:rsidDel="00000000" w:rsidR="00000000" w:rsidRPr="00000000">
        <w:rPr>
          <w:rtl w:val="0"/>
        </w:rPr>
      </w:r>
    </w:p>
    <w:p w:rsidR="00000000" w:rsidDel="00000000" w:rsidP="00000000" w:rsidRDefault="00000000" w:rsidRPr="00000000" w14:paraId="00000029">
      <w:pPr>
        <w:pageBreakBefore w:val="0"/>
        <w:jc w:val="left"/>
        <w:rPr/>
      </w:pPr>
      <w:r w:rsidDel="00000000" w:rsidR="00000000" w:rsidRPr="00000000">
        <w:rPr/>
        <w:drawing>
          <wp:inline distB="114300" distT="114300" distL="114300" distR="114300">
            <wp:extent cx="2900389" cy="1738313"/>
            <wp:effectExtent b="12700" l="12700" r="12700" t="12700"/>
            <wp:docPr id="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900389" cy="173831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726942" cy="1928813"/>
            <wp:effectExtent b="0" l="0" r="0" t="0"/>
            <wp:docPr id="15" name="image4.png"/>
            <a:graphic>
              <a:graphicData uri="http://schemas.openxmlformats.org/drawingml/2006/picture">
                <pic:pic>
                  <pic:nvPicPr>
                    <pic:cNvPr id="0" name="image4.png"/>
                    <pic:cNvPicPr preferRelativeResize="0"/>
                  </pic:nvPicPr>
                  <pic:blipFill>
                    <a:blip r:embed="rId11"/>
                    <a:srcRect b="4435" l="1993" r="6977" t="4878"/>
                    <a:stretch>
                      <a:fillRect/>
                    </a:stretch>
                  </pic:blipFill>
                  <pic:spPr>
                    <a:xfrm>
                      <a:off x="0" y="0"/>
                      <a:ext cx="2726942"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B">
      <w:pPr>
        <w:pageBreakBefore w:val="0"/>
        <w:jc w:val="left"/>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France</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France</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France</w:t>
      </w:r>
      <w:r w:rsidDel="00000000" w:rsidR="00000000" w:rsidRPr="00000000">
        <w:rPr>
          <w:rtl w:val="0"/>
        </w:rPr>
        <w:t xml:space="preserve"> made weak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France</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jc w:val="center"/>
        <w:rPr>
          <w:b w:val="0"/>
          <w:bCs w:val="0"/>
          <w:i w:val="1"/>
          <w:iCs w:val="1"/>
          <w:color w:val="444499"/>
          <w:sz w:val="20"/>
          <w:szCs w:val="20"/>
        </w:rPr>
      </w:pPr>
      <w:r w:rsidDel="00000000" w:rsidR="00000000" w:rsidRPr="00000000">
        <w:rPr/>
        <w:drawing>
          <wp:inline distB="114300" distT="114300" distL="114300" distR="114300">
            <wp:extent cx="2743200" cy="1538288"/>
            <wp:effectExtent b="12700" l="12700" r="12700" t="12700"/>
            <wp:docPr id="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2743200" cy="153828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800350" cy="1833563"/>
            <wp:effectExtent b="0" l="0" r="0" t="0"/>
            <wp:docPr id="2" name="image23.png"/>
            <a:graphic>
              <a:graphicData uri="http://schemas.openxmlformats.org/drawingml/2006/picture">
                <pic:pic>
                  <pic:nvPicPr>
                    <pic:cNvPr id="0" name="image23.png"/>
                    <pic:cNvPicPr preferRelativeResize="0"/>
                  </pic:nvPicPr>
                  <pic:blipFill>
                    <a:blip r:embed="rId13"/>
                    <a:srcRect b="4825" l="0" r="0" t="6140"/>
                    <a:stretch>
                      <a:fillRect/>
                    </a:stretch>
                  </pic:blipFill>
                  <pic:spPr>
                    <a:xfrm>
                      <a:off x="0" y="0"/>
                      <a:ext cx="2800350" cy="1833563"/>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France</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sz w:val="22"/>
          <w:szCs w:val="22"/>
        </w:rPr>
      </w:pPr>
      <w:r w:rsidDel="00000000" w:rsidR="00000000" w:rsidRPr="00000000">
        <w:rPr>
          <w:rtl w:val="0"/>
        </w:rPr>
        <w:t xml:space="preserve">Table 1: Categorization of Products</w:t>
      </w: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4">
            <w:pPr>
              <w:pageBreakBefore w:val="0"/>
              <w:jc w:val="center"/>
              <w:rPr/>
            </w:pPr>
            <w:r w:rsidDel="00000000" w:rsidR="00000000" w:rsidRPr="00000000">
              <w:rPr>
                <w:rtl w:val="0"/>
              </w:rPr>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9">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D">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E">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4">
      <w:pPr>
        <w:pageBreakBefore w:val="0"/>
        <w:jc w:val="center"/>
        <w:rPr>
          <w:sz w:val="22"/>
          <w:szCs w:val="22"/>
        </w:rPr>
      </w:pP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t xml:space="preserve">Table 2a. OLS Regression Results of GDP against Percentage Volume of </w:t>
      </w:r>
      <w:r w:rsidDel="00000000" w:rsidR="00000000" w:rsidRPr="00000000">
        <w:rPr>
          <w:rtl w:val="0"/>
        </w:rPr>
        <w:t xml:space="preserve">Exports </w:t>
      </w: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7">
      <w:pPr>
        <w:pageBreakBefore w:val="0"/>
        <w:jc w:val="center"/>
        <w:rPr>
          <w:sz w:val="22"/>
          <w:szCs w:val="22"/>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France</w:t>
      </w:r>
      <w:r w:rsidDel="00000000" w:rsidR="00000000" w:rsidRPr="00000000">
        <w:rPr>
          <w:rtl w:val="0"/>
        </w:rPr>
        <w:t xml:space="preserve">'</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France</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increased from 0 in 2018 to 13 in 2021. As shown in Table 3, during the period from 2019 to 2021, France has focused on developing Services and Utilities, Precious Stones, and High-complexity Products in particular. </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-0.017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-0.241</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-0.012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-0.102</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0.004</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-0.114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0.003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-0.111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-0.005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-0.178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0.021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-0.324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-0.136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-0.023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-0.080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0.074</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-0.114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-0.113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0.018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-0.095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0.012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-0.134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-0.052</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-0.147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0.041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-0.129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0.018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-0.120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0.012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-0.118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0.028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-0.082</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0.042</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-0.086</w:t>
            </w:r>
          </w:p>
        </w:tc>
      </w:tr>
    </w:tbl>
    <w:p w:rsidR="00000000" w:rsidDel="00000000" w:rsidP="00000000" w:rsidRDefault="00000000" w:rsidRPr="00000000" w14:paraId="000000C7">
      <w:pPr>
        <w:pageBreakBefore w:val="0"/>
        <w:jc w:val="center"/>
        <w:rPr>
          <w:sz w:val="22"/>
          <w:szCs w:val="22"/>
        </w:rPr>
      </w:pPr>
      <w:r w:rsidDel="00000000" w:rsidR="00000000" w:rsidRPr="00000000">
        <w:rPr>
          <w:rtl w:val="0"/>
        </w:rPr>
      </w:r>
    </w:p>
    <w:p w:rsidR="00000000" w:rsidDel="00000000" w:rsidP="00000000" w:rsidRDefault="00000000" w:rsidRPr="00000000" w14:paraId="000000C8">
      <w:pPr>
        <w:pageBreakBefore w:val="0"/>
        <w:jc w:val="center"/>
        <w:rPr>
          <w:b w:val="1"/>
          <w:bCs w:val="1"/>
          <w:sz w:val="26"/>
          <w:szCs w:val="26"/>
        </w:rPr>
      </w:pPr>
      <w:r w:rsidDel="00000000" w:rsidR="00000000" w:rsidRPr="00000000">
        <w:rPr>
          <w:rtl w:val="0"/>
        </w:rPr>
        <w:t xml:space="preserve">Table 3. Realized Industry Development (RID) of France</w:t>
      </w: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B">
      <w:pPr>
        <w:pageBreakBefore w:val="0"/>
        <w:jc w:val="both"/>
        <w:rPr/>
      </w:pPr>
      <w:r w:rsidDel="00000000" w:rsidR="00000000" w:rsidRPr="00000000">
        <w:rPr>
          <w:rtl w:val="0"/>
        </w:rPr>
        <w:t xml:space="preserve">Tables 4a-4b below summarize how the production strategy adopted by France compares with selected leading economies in the world across different years, as measured in RID. Between 2018 and 2021, France focused more on product groups with higher complexity, and as a result, those high-complexity groups achieved the highest RID. In 2021, compared to the United States, France gave a similar level of attention to more advanced product groups such as High-complexity Products, Services and Utilities, and Energy Drilling &amp; Mining. Whereas France and Germany exhibited similar development levels for High-complexity products and Food and Preparations, France surged ahead of Germany in Services and Utilities and Precious Stones in 2021. </w:t>
      </w:r>
    </w:p>
    <w:p w:rsidR="00000000" w:rsidDel="00000000" w:rsidP="00000000" w:rsidRDefault="00000000" w:rsidRPr="00000000" w14:paraId="000000CC">
      <w:pPr>
        <w:jc w:val="center"/>
        <w:rPr/>
      </w:pPr>
      <w:r w:rsidDel="00000000" w:rsidR="00000000" w:rsidRPr="00000000">
        <w:rPr>
          <w:rtl w:val="0"/>
        </w:rPr>
      </w:r>
    </w:p>
    <w:tbl>
      <w:tblPr>
        <w:tblStyle w:val="Table5"/>
        <w:tblW w:w="9015.0" w:type="dxa"/>
        <w:jc w:val="center"/>
        <w:tblLayout w:type="fixed"/>
        <w:tblLook w:val="04A0"/>
      </w:tblPr>
      <w:tblGrid>
        <w:gridCol w:w="1110"/>
        <w:gridCol w:w="2805"/>
        <w:gridCol w:w="2640"/>
        <w:gridCol w:w="2460"/>
        <w:tblGridChange w:id="0">
          <w:tblGrid>
            <w:gridCol w:w="1110"/>
            <w:gridCol w:w="2805"/>
            <w:gridCol w:w="2640"/>
            <w:gridCol w:w="2460"/>
          </w:tblGrid>
        </w:tblGridChange>
      </w:tblGrid>
      <w:tr>
        <w:trPr>
          <w:cantSplit w:val="0"/>
          <w:tblHeader w:val="0"/>
        </w:trPr>
        <w:tc>
          <w:tcPr>
            <w:vAlign w:val="center"/>
          </w:tcPr>
          <w:p w:rsidR="00000000" w:rsidDel="00000000" w:rsidP="00000000" w:rsidRDefault="00000000" w:rsidRPr="00000000" w14:paraId="000000CD">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E">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F">
            <w:pPr>
              <w:jc w:val="both"/>
              <w:rPr/>
            </w:pPr>
            <w:r w:rsidDel="00000000" w:rsidR="00000000" w:rsidRPr="00000000">
              <w:rPr>
                <w:rtl w:val="0"/>
              </w:rPr>
              <w:t xml:space="preserve">United States</w:t>
            </w:r>
          </w:p>
        </w:tc>
        <w:tc>
          <w:tcPr>
            <w:vAlign w:val="center"/>
          </w:tcPr>
          <w:p w:rsidR="00000000" w:rsidDel="00000000" w:rsidP="00000000" w:rsidRDefault="00000000" w:rsidRPr="00000000" w14:paraId="000000D0">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1">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2">
            <w:pPr>
              <w:jc w:val="both"/>
              <w:rPr>
                <w:color w:val="000000"/>
                <w:sz w:val="20"/>
                <w:szCs w:val="20"/>
              </w:rPr>
            </w:pPr>
            <w:r w:rsidDel="00000000" w:rsidR="00000000" w:rsidRPr="00000000">
              <w:rPr>
                <w:color w:val="000000"/>
                <w:sz w:val="20"/>
                <w:szCs w:val="20"/>
                <w:rtl w:val="0"/>
              </w:rPr>
              <w:t xml:space="preserve">High-complexity Products</w:t>
            </w:r>
          </w:p>
        </w:tc>
        <w:tc>
          <w:tcPr>
            <w:vAlign w:val="bottom"/>
          </w:tcPr>
          <w:p w:rsidR="00000000" w:rsidDel="00000000" w:rsidP="00000000" w:rsidRDefault="00000000" w:rsidRPr="00000000" w14:paraId="000000D3">
            <w:pPr>
              <w:jc w:val="both"/>
              <w:rPr>
                <w:color w:val="000000"/>
                <w:sz w:val="20"/>
                <w:szCs w:val="20"/>
              </w:rPr>
            </w:pPr>
            <w:r w:rsidDel="00000000" w:rsidR="00000000" w:rsidRPr="00000000">
              <w:rPr>
                <w:color w:val="000000"/>
                <w:sz w:val="20"/>
                <w:szCs w:val="20"/>
                <w:rtl w:val="0"/>
              </w:rPr>
              <w:t xml:space="preserve">Services and Utilities</w:t>
            </w:r>
          </w:p>
        </w:tc>
        <w:tc>
          <w:tcPr>
            <w:vAlign w:val="bottom"/>
          </w:tcPr>
          <w:p w:rsidR="00000000" w:rsidDel="00000000" w:rsidP="00000000" w:rsidRDefault="00000000" w:rsidRPr="00000000" w14:paraId="000000D4">
            <w:pPr>
              <w:jc w:val="both"/>
              <w:rPr>
                <w:color w:val="000000"/>
                <w:sz w:val="20"/>
                <w:szCs w:val="20"/>
              </w:rPr>
            </w:pPr>
            <w:r w:rsidDel="00000000" w:rsidR="00000000" w:rsidRPr="00000000">
              <w:rPr>
                <w:color w:val="000000"/>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5">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6">
            <w:pPr>
              <w:jc w:val="both"/>
              <w:rPr>
                <w:color w:val="000000"/>
                <w:sz w:val="20"/>
                <w:szCs w:val="20"/>
              </w:rPr>
            </w:pPr>
            <w:r w:rsidDel="00000000" w:rsidR="00000000" w:rsidRPr="00000000">
              <w:rPr>
                <w:color w:val="000000"/>
                <w:sz w:val="20"/>
                <w:szCs w:val="20"/>
                <w:rtl w:val="0"/>
              </w:rPr>
              <w:t xml:space="preserve">Chemical Manufacturing</w:t>
            </w:r>
          </w:p>
        </w:tc>
        <w:tc>
          <w:tcPr>
            <w:vAlign w:val="bottom"/>
          </w:tcPr>
          <w:p w:rsidR="00000000" w:rsidDel="00000000" w:rsidP="00000000" w:rsidRDefault="00000000" w:rsidRPr="00000000" w14:paraId="000000D7">
            <w:pPr>
              <w:jc w:val="both"/>
              <w:rPr>
                <w:color w:val="000000"/>
                <w:sz w:val="20"/>
                <w:szCs w:val="20"/>
              </w:rPr>
            </w:pPr>
            <w:r w:rsidDel="00000000" w:rsidR="00000000" w:rsidRPr="00000000">
              <w:rPr>
                <w:color w:val="000000"/>
                <w:sz w:val="20"/>
                <w:szCs w:val="20"/>
                <w:rtl w:val="0"/>
              </w:rPr>
              <w:t xml:space="preserve">Weapons</w:t>
            </w:r>
          </w:p>
        </w:tc>
        <w:tc>
          <w:tcPr>
            <w:vAlign w:val="bottom"/>
          </w:tcPr>
          <w:p w:rsidR="00000000" w:rsidDel="00000000" w:rsidP="00000000" w:rsidRDefault="00000000" w:rsidRPr="00000000" w14:paraId="000000D8">
            <w:pPr>
              <w:jc w:val="both"/>
              <w:rPr>
                <w:color w:val="000000"/>
                <w:sz w:val="20"/>
                <w:szCs w:val="20"/>
              </w:rPr>
            </w:pPr>
            <w:r w:rsidDel="00000000" w:rsidR="00000000" w:rsidRPr="00000000">
              <w:rPr>
                <w:color w:val="000000"/>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9">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A">
            <w:pPr>
              <w:jc w:val="both"/>
              <w:rPr>
                <w:color w:val="000000"/>
                <w:sz w:val="20"/>
                <w:szCs w:val="20"/>
              </w:rPr>
            </w:pPr>
            <w:r w:rsidDel="00000000" w:rsidR="00000000" w:rsidRPr="00000000">
              <w:rPr>
                <w:color w:val="000000"/>
                <w:sz w:val="20"/>
                <w:szCs w:val="20"/>
                <w:rtl w:val="0"/>
              </w:rPr>
              <w:t xml:space="preserve">Daily Instruments</w:t>
            </w:r>
          </w:p>
        </w:tc>
        <w:tc>
          <w:tcPr>
            <w:vAlign w:val="bottom"/>
          </w:tcPr>
          <w:p w:rsidR="00000000" w:rsidDel="00000000" w:rsidP="00000000" w:rsidRDefault="00000000" w:rsidRPr="00000000" w14:paraId="000000DB">
            <w:pPr>
              <w:jc w:val="both"/>
              <w:rPr>
                <w:color w:val="000000"/>
                <w:sz w:val="20"/>
                <w:szCs w:val="20"/>
              </w:rPr>
            </w:pPr>
            <w:r w:rsidDel="00000000" w:rsidR="00000000" w:rsidRPr="00000000">
              <w:rPr>
                <w:color w:val="000000"/>
                <w:sz w:val="20"/>
                <w:szCs w:val="20"/>
                <w:rtl w:val="0"/>
              </w:rPr>
              <w:t xml:space="preserve">Raw Manufacturing</w:t>
            </w:r>
          </w:p>
        </w:tc>
        <w:tc>
          <w:tcPr>
            <w:vAlign w:val="bottom"/>
          </w:tcPr>
          <w:p w:rsidR="00000000" w:rsidDel="00000000" w:rsidP="00000000" w:rsidRDefault="00000000" w:rsidRPr="00000000" w14:paraId="000000DC">
            <w:pPr>
              <w:jc w:val="both"/>
              <w:rPr>
                <w:color w:val="000000"/>
                <w:sz w:val="20"/>
                <w:szCs w:val="20"/>
              </w:rPr>
            </w:pPr>
            <w:r w:rsidDel="00000000" w:rsidR="00000000" w:rsidRPr="00000000">
              <w:rPr>
                <w:color w:val="000000"/>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E">
            <w:pPr>
              <w:jc w:val="both"/>
              <w:rPr>
                <w:color w:val="000000"/>
                <w:sz w:val="20"/>
                <w:szCs w:val="20"/>
              </w:rPr>
            </w:pPr>
            <w:r w:rsidDel="00000000" w:rsidR="00000000" w:rsidRPr="00000000">
              <w:rPr>
                <w:color w:val="000000"/>
                <w:sz w:val="20"/>
                <w:szCs w:val="20"/>
                <w:rtl w:val="0"/>
              </w:rPr>
              <w:t xml:space="preserve">Animals and By-products</w:t>
            </w:r>
          </w:p>
        </w:tc>
        <w:tc>
          <w:tcPr>
            <w:vAlign w:val="bottom"/>
          </w:tcPr>
          <w:p w:rsidR="00000000" w:rsidDel="00000000" w:rsidP="00000000" w:rsidRDefault="00000000" w:rsidRPr="00000000" w14:paraId="000000DF">
            <w:pPr>
              <w:jc w:val="both"/>
              <w:rPr>
                <w:color w:val="000000"/>
                <w:sz w:val="20"/>
                <w:szCs w:val="20"/>
              </w:rPr>
            </w:pPr>
            <w:r w:rsidDel="00000000" w:rsidR="00000000" w:rsidRPr="00000000">
              <w:rPr>
                <w:color w:val="000000"/>
                <w:sz w:val="20"/>
                <w:szCs w:val="20"/>
                <w:rtl w:val="0"/>
              </w:rPr>
              <w:t xml:space="preserve">Precious Stones</w:t>
            </w:r>
          </w:p>
        </w:tc>
        <w:tc>
          <w:tcPr>
            <w:vAlign w:val="bottom"/>
          </w:tcPr>
          <w:p w:rsidR="00000000" w:rsidDel="00000000" w:rsidP="00000000" w:rsidRDefault="00000000" w:rsidRPr="00000000" w14:paraId="000000E0">
            <w:pPr>
              <w:jc w:val="both"/>
              <w:rPr>
                <w:color w:val="000000"/>
                <w:sz w:val="20"/>
                <w:szCs w:val="20"/>
              </w:rPr>
            </w:pPr>
            <w:r w:rsidDel="00000000" w:rsidR="00000000" w:rsidRPr="00000000">
              <w:rPr>
                <w:color w:val="000000"/>
                <w:sz w:val="20"/>
                <w:szCs w:val="20"/>
                <w:rtl w:val="0"/>
              </w:rPr>
              <w:t xml:space="preserve">Metals</w:t>
            </w:r>
          </w:p>
        </w:tc>
      </w:tr>
      <w:tr>
        <w:trPr>
          <w:cantSplit w:val="0"/>
          <w:tblHeader w:val="0"/>
        </w:trPr>
        <w:tc>
          <w:tcPr>
            <w:vAlign w:val="center"/>
          </w:tcPr>
          <w:p w:rsidR="00000000" w:rsidDel="00000000" w:rsidP="00000000" w:rsidRDefault="00000000" w:rsidRPr="00000000" w14:paraId="000000E1">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2">
            <w:pPr>
              <w:jc w:val="both"/>
              <w:rPr>
                <w:color w:val="000000"/>
                <w:sz w:val="20"/>
                <w:szCs w:val="20"/>
              </w:rPr>
            </w:pPr>
            <w:r w:rsidDel="00000000" w:rsidR="00000000" w:rsidRPr="00000000">
              <w:rPr>
                <w:color w:val="000000"/>
                <w:sz w:val="20"/>
                <w:szCs w:val="20"/>
                <w:rtl w:val="0"/>
              </w:rPr>
              <w:t xml:space="preserve">Food and Preparations</w:t>
            </w:r>
          </w:p>
        </w:tc>
        <w:tc>
          <w:tcPr>
            <w:vAlign w:val="bottom"/>
          </w:tcPr>
          <w:p w:rsidR="00000000" w:rsidDel="00000000" w:rsidP="00000000" w:rsidRDefault="00000000" w:rsidRPr="00000000" w14:paraId="000000E3">
            <w:pPr>
              <w:jc w:val="both"/>
              <w:rPr>
                <w:color w:val="000000"/>
                <w:sz w:val="20"/>
                <w:szCs w:val="20"/>
              </w:rPr>
            </w:pPr>
            <w:r w:rsidDel="00000000" w:rsidR="00000000" w:rsidRPr="00000000">
              <w:rPr>
                <w:color w:val="000000"/>
                <w:sz w:val="20"/>
                <w:szCs w:val="20"/>
                <w:rtl w:val="0"/>
              </w:rPr>
              <w:t xml:space="preserve">Animals and By-products</w:t>
            </w:r>
          </w:p>
        </w:tc>
        <w:tc>
          <w:tcPr>
            <w:vAlign w:val="bottom"/>
          </w:tcPr>
          <w:p w:rsidR="00000000" w:rsidDel="00000000" w:rsidP="00000000" w:rsidRDefault="00000000" w:rsidRPr="00000000" w14:paraId="000000E4">
            <w:pPr>
              <w:jc w:val="both"/>
              <w:rPr>
                <w:color w:val="000000"/>
                <w:sz w:val="20"/>
                <w:szCs w:val="20"/>
              </w:rPr>
            </w:pPr>
            <w:r w:rsidDel="00000000" w:rsidR="00000000" w:rsidRPr="00000000">
              <w:rPr>
                <w:color w:val="000000"/>
                <w:sz w:val="20"/>
                <w:szCs w:val="20"/>
                <w:rtl w:val="0"/>
              </w:rPr>
              <w:t xml:space="preserve">Food and Preparations</w:t>
            </w:r>
          </w:p>
        </w:tc>
      </w:tr>
    </w:tbl>
    <w:p w:rsidR="00000000" w:rsidDel="00000000" w:rsidP="00000000" w:rsidRDefault="00000000" w:rsidRPr="00000000" w14:paraId="000000E5">
      <w:pPr>
        <w:jc w:val="center"/>
        <w:rPr>
          <w:sz w:val="22"/>
          <w:szCs w:val="22"/>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Table 4a. RID Comparison across </w:t>
      </w:r>
      <w:r w:rsidDel="00000000" w:rsidR="00000000" w:rsidRPr="00000000">
        <w:rPr>
          <w:rtl w:val="0"/>
        </w:rPr>
        <w:t xml:space="preserve">Leading</w:t>
      </w:r>
      <w:r w:rsidDel="00000000" w:rsidR="00000000" w:rsidRPr="00000000">
        <w:rPr>
          <w:rtl w:val="0"/>
        </w:rPr>
        <w:t xml:space="preserve"> Economies (2018)</w:t>
      </w:r>
    </w:p>
    <w:p w:rsidR="00000000" w:rsidDel="00000000" w:rsidP="00000000" w:rsidRDefault="00000000" w:rsidRPr="00000000" w14:paraId="000000E7">
      <w:pPr>
        <w:jc w:val="both"/>
        <w:rPr/>
      </w:pPr>
      <w:r w:rsidDel="00000000" w:rsidR="00000000" w:rsidRPr="00000000">
        <w:rPr>
          <w:rtl w:val="0"/>
        </w:rPr>
      </w:r>
    </w:p>
    <w:tbl>
      <w:tblPr>
        <w:tblStyle w:val="Table6"/>
        <w:tblW w:w="9015.0" w:type="dxa"/>
        <w:jc w:val="center"/>
        <w:tblLayout w:type="fixed"/>
        <w:tblLook w:val="04A0"/>
      </w:tblPr>
      <w:tblGrid>
        <w:gridCol w:w="1110"/>
        <w:gridCol w:w="2805"/>
        <w:gridCol w:w="2775"/>
        <w:gridCol w:w="2325"/>
        <w:tblGridChange w:id="0">
          <w:tblGrid>
            <w:gridCol w:w="1110"/>
            <w:gridCol w:w="2805"/>
            <w:gridCol w:w="2775"/>
            <w:gridCol w:w="2325"/>
          </w:tblGrid>
        </w:tblGridChange>
      </w:tblGrid>
      <w:tr>
        <w:trPr>
          <w:cantSplit w:val="0"/>
          <w:tblHeader w:val="0"/>
        </w:trPr>
        <w:tc>
          <w:tcPr>
            <w:vAlign w:val="center"/>
          </w:tcPr>
          <w:p w:rsidR="00000000" w:rsidDel="00000000" w:rsidP="00000000" w:rsidRDefault="00000000" w:rsidRPr="00000000" w14:paraId="000000E8">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E9">
            <w:pPr>
              <w:jc w:val="both"/>
              <w:rPr/>
            </w:pPr>
            <w:r w:rsidDel="00000000" w:rsidR="00000000" w:rsidRPr="00000000">
              <w:rPr>
                <w:rtl w:val="0"/>
              </w:rPr>
              <w:t xml:space="preserve">France</w:t>
            </w:r>
          </w:p>
        </w:tc>
        <w:tc>
          <w:tcPr>
            <w:vAlign w:val="center"/>
          </w:tcPr>
          <w:p w:rsidR="00000000" w:rsidDel="00000000" w:rsidP="00000000" w:rsidRDefault="00000000" w:rsidRPr="00000000" w14:paraId="000000EA">
            <w:pPr>
              <w:jc w:val="both"/>
              <w:rPr/>
            </w:pPr>
            <w:r w:rsidDel="00000000" w:rsidR="00000000" w:rsidRPr="00000000">
              <w:rPr>
                <w:rtl w:val="0"/>
              </w:rPr>
              <w:t xml:space="preserve">United States</w:t>
            </w:r>
          </w:p>
        </w:tc>
        <w:tc>
          <w:tcPr>
            <w:vAlign w:val="center"/>
          </w:tcPr>
          <w:p w:rsidR="00000000" w:rsidDel="00000000" w:rsidP="00000000" w:rsidRDefault="00000000" w:rsidRPr="00000000" w14:paraId="000000EB">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EC">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ED">
            <w:pPr>
              <w:jc w:val="both"/>
              <w:rPr>
                <w:sz w:val="20"/>
                <w:szCs w:val="20"/>
              </w:rPr>
            </w:pPr>
            <w:r w:rsidDel="00000000" w:rsidR="00000000" w:rsidRPr="00000000">
              <w:rPr>
                <w:color w:val="000000"/>
                <w:sz w:val="20"/>
                <w:szCs w:val="2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EE">
            <w:pPr>
              <w:jc w:val="both"/>
              <w:rPr>
                <w:sz w:val="20"/>
                <w:szCs w:val="20"/>
              </w:rPr>
            </w:pPr>
            <w:r w:rsidDel="00000000" w:rsidR="00000000" w:rsidRPr="00000000">
              <w:rPr>
                <w:color w:val="000000"/>
                <w:sz w:val="20"/>
                <w:szCs w:val="2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EF">
            <w:pPr>
              <w:jc w:val="both"/>
              <w:rPr>
                <w:sz w:val="20"/>
                <w:szCs w:val="20"/>
              </w:rPr>
            </w:pPr>
            <w:r w:rsidDel="00000000" w:rsidR="00000000" w:rsidRPr="00000000">
              <w:rPr>
                <w:color w:val="000000"/>
                <w:sz w:val="20"/>
                <w:szCs w:val="20"/>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F1">
            <w:pPr>
              <w:jc w:val="both"/>
              <w:rPr>
                <w:sz w:val="20"/>
                <w:szCs w:val="20"/>
              </w:rPr>
            </w:pPr>
            <w:r w:rsidDel="00000000" w:rsidR="00000000" w:rsidRPr="00000000">
              <w:rPr>
                <w:color w:val="000000"/>
                <w:sz w:val="20"/>
                <w:szCs w:val="2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F2">
            <w:pPr>
              <w:jc w:val="both"/>
              <w:rPr>
                <w:sz w:val="20"/>
                <w:szCs w:val="20"/>
              </w:rPr>
            </w:pPr>
            <w:r w:rsidDel="00000000" w:rsidR="00000000" w:rsidRPr="00000000">
              <w:rPr>
                <w:color w:val="000000"/>
                <w:sz w:val="20"/>
                <w:szCs w:val="20"/>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F3">
            <w:pPr>
              <w:jc w:val="both"/>
              <w:rPr>
                <w:sz w:val="20"/>
                <w:szCs w:val="20"/>
              </w:rPr>
            </w:pPr>
            <w:r w:rsidDel="00000000" w:rsidR="00000000" w:rsidRPr="00000000">
              <w:rPr>
                <w:color w:val="000000"/>
                <w:sz w:val="20"/>
                <w:szCs w:val="20"/>
                <w:rtl w:val="0"/>
              </w:rPr>
              <w:t xml:space="preserve">Transportation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F5">
            <w:pPr>
              <w:jc w:val="both"/>
              <w:rPr>
                <w:sz w:val="20"/>
                <w:szCs w:val="20"/>
              </w:rPr>
            </w:pPr>
            <w:r w:rsidDel="00000000" w:rsidR="00000000" w:rsidRPr="00000000">
              <w:rPr>
                <w:color w:val="000000"/>
                <w:sz w:val="20"/>
                <w:szCs w:val="20"/>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F6">
            <w:pPr>
              <w:jc w:val="both"/>
              <w:rPr>
                <w:sz w:val="20"/>
                <w:szCs w:val="20"/>
              </w:rPr>
            </w:pPr>
            <w:r w:rsidDel="00000000" w:rsidR="00000000" w:rsidRPr="00000000">
              <w:rPr>
                <w:color w:val="000000"/>
                <w:sz w:val="20"/>
                <w:szCs w:val="2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F7">
            <w:pPr>
              <w:jc w:val="both"/>
              <w:rPr>
                <w:sz w:val="20"/>
                <w:szCs w:val="20"/>
              </w:rPr>
            </w:pPr>
            <w:r w:rsidDel="00000000" w:rsidR="00000000" w:rsidRPr="00000000">
              <w:rPr>
                <w:color w:val="000000"/>
                <w:sz w:val="20"/>
                <w:szCs w:val="20"/>
                <w:rtl w:val="0"/>
              </w:rPr>
              <w:t xml:space="preserve">Chemicals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F9">
            <w:pPr>
              <w:jc w:val="both"/>
              <w:rPr>
                <w:sz w:val="20"/>
                <w:szCs w:val="20"/>
              </w:rPr>
            </w:pPr>
            <w:r w:rsidDel="00000000" w:rsidR="00000000" w:rsidRPr="00000000">
              <w:rPr>
                <w:color w:val="000000"/>
                <w:sz w:val="20"/>
                <w:szCs w:val="20"/>
                <w:rtl w:val="0"/>
              </w:rPr>
              <w:t xml:space="preserve">Energy Drilling &amp; Mining</w:t>
            </w:r>
            <w:r w:rsidDel="00000000" w:rsidR="00000000" w:rsidRPr="00000000">
              <w:rPr>
                <w:rtl w:val="0"/>
              </w:rPr>
            </w:r>
          </w:p>
        </w:tc>
        <w:tc>
          <w:tcPr>
            <w:vAlign w:val="center"/>
          </w:tcPr>
          <w:p w:rsidR="00000000" w:rsidDel="00000000" w:rsidP="00000000" w:rsidRDefault="00000000" w:rsidRPr="00000000" w14:paraId="000000FA">
            <w:pPr>
              <w:jc w:val="both"/>
              <w:rPr>
                <w:sz w:val="20"/>
                <w:szCs w:val="20"/>
              </w:rPr>
            </w:pPr>
            <w:r w:rsidDel="00000000" w:rsidR="00000000" w:rsidRPr="00000000">
              <w:rPr>
                <w:color w:val="000000"/>
                <w:sz w:val="20"/>
                <w:szCs w:val="20"/>
                <w:rtl w:val="0"/>
              </w:rPr>
              <w:t xml:space="preserve">Energy Drilling &amp; Mining</w:t>
            </w:r>
            <w:r w:rsidDel="00000000" w:rsidR="00000000" w:rsidRPr="00000000">
              <w:rPr>
                <w:rtl w:val="0"/>
              </w:rPr>
            </w:r>
          </w:p>
        </w:tc>
        <w:tc>
          <w:tcPr>
            <w:vAlign w:val="center"/>
          </w:tcPr>
          <w:p w:rsidR="00000000" w:rsidDel="00000000" w:rsidP="00000000" w:rsidRDefault="00000000" w:rsidRPr="00000000" w14:paraId="000000FB">
            <w:pPr>
              <w:jc w:val="both"/>
              <w:rPr>
                <w:sz w:val="20"/>
                <w:szCs w:val="20"/>
              </w:rPr>
            </w:pPr>
            <w:r w:rsidDel="00000000" w:rsidR="00000000" w:rsidRPr="00000000">
              <w:rPr>
                <w:color w:val="000000"/>
                <w:sz w:val="20"/>
                <w:szCs w:val="20"/>
                <w:rtl w:val="0"/>
              </w:rPr>
              <w:t xml:space="preserve">Chemical Manufacturing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FD">
            <w:pPr>
              <w:jc w:val="both"/>
              <w:rPr>
                <w:sz w:val="20"/>
                <w:szCs w:val="20"/>
              </w:rPr>
            </w:pPr>
            <w:r w:rsidDel="00000000" w:rsidR="00000000" w:rsidRPr="00000000">
              <w:rPr>
                <w:color w:val="000000"/>
                <w:sz w:val="20"/>
                <w:szCs w:val="20"/>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FE">
            <w:pPr>
              <w:jc w:val="both"/>
              <w:rPr>
                <w:sz w:val="20"/>
                <w:szCs w:val="20"/>
              </w:rPr>
            </w:pPr>
            <w:r w:rsidDel="00000000" w:rsidR="00000000" w:rsidRPr="00000000">
              <w:rPr>
                <w:color w:val="000000"/>
                <w:sz w:val="20"/>
                <w:szCs w:val="20"/>
                <w:rtl w:val="0"/>
              </w:rPr>
              <w:t xml:space="preserve">Wood Products</w:t>
            </w:r>
            <w:r w:rsidDel="00000000" w:rsidR="00000000" w:rsidRPr="00000000">
              <w:rPr>
                <w:rtl w:val="0"/>
              </w:rPr>
            </w:r>
          </w:p>
        </w:tc>
        <w:tc>
          <w:tcPr>
            <w:vAlign w:val="center"/>
          </w:tcPr>
          <w:p w:rsidR="00000000" w:rsidDel="00000000" w:rsidP="00000000" w:rsidRDefault="00000000" w:rsidRPr="00000000" w14:paraId="000000FF">
            <w:pPr>
              <w:jc w:val="both"/>
              <w:rPr>
                <w:sz w:val="20"/>
                <w:szCs w:val="20"/>
              </w:rPr>
            </w:pPr>
            <w:r w:rsidDel="00000000" w:rsidR="00000000" w:rsidRPr="00000000">
              <w:rPr>
                <w:color w:val="000000"/>
                <w:sz w:val="20"/>
                <w:szCs w:val="20"/>
                <w:rtl w:val="0"/>
              </w:rPr>
              <w:t xml:space="preserve">Clothing and Accessories</w:t>
            </w:r>
            <w:r w:rsidDel="00000000" w:rsidR="00000000" w:rsidRPr="00000000">
              <w:rPr>
                <w:rtl w:val="0"/>
              </w:rPr>
            </w:r>
          </w:p>
        </w:tc>
      </w:tr>
    </w:tbl>
    <w:p w:rsidR="00000000" w:rsidDel="00000000" w:rsidP="00000000" w:rsidRDefault="00000000" w:rsidRPr="00000000" w14:paraId="00000100">
      <w:pPr>
        <w:jc w:val="cente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rtl w:val="0"/>
        </w:rPr>
        <w:t xml:space="preserve">Table 4b. RID Comparison across Leading Economies (2021)</w:t>
      </w:r>
    </w:p>
    <w:p w:rsidR="00000000" w:rsidDel="00000000" w:rsidP="00000000" w:rsidRDefault="00000000" w:rsidRPr="00000000" w14:paraId="00000102">
      <w:pPr>
        <w:jc w:val="center"/>
        <w:rPr>
          <w:sz w:val="22"/>
          <w:szCs w:val="22"/>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Tables 4c-4d further examine France's development strategy against those of emerging economies on a global scale. Reasonably, emerging economies such as China, South Korea, and Singapore have devoted the majority of their efforts to intermediate industry groups, showing moderate shifts in strategies over the course of three years.</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7"/>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106">
            <w:pPr>
              <w:jc w:val="both"/>
              <w:rPr/>
            </w:pPr>
            <w:r w:rsidDel="00000000" w:rsidR="00000000" w:rsidRPr="00000000">
              <w:rPr>
                <w:rtl w:val="0"/>
              </w:rPr>
              <w:t xml:space="preserve">Ranking</w:t>
            </w:r>
          </w:p>
        </w:tc>
        <w:tc>
          <w:tcPr/>
          <w:p w:rsidR="00000000" w:rsidDel="00000000" w:rsidP="00000000" w:rsidRDefault="00000000" w:rsidRPr="00000000" w14:paraId="00000107">
            <w:pPr>
              <w:jc w:val="both"/>
              <w:rPr/>
            </w:pPr>
            <w:r w:rsidDel="00000000" w:rsidR="00000000" w:rsidRPr="00000000">
              <w:rPr>
                <w:rtl w:val="0"/>
              </w:rPr>
              <w:t xml:space="preserve">China</w:t>
            </w:r>
          </w:p>
        </w:tc>
        <w:tc>
          <w:tcPr/>
          <w:p w:rsidR="00000000" w:rsidDel="00000000" w:rsidP="00000000" w:rsidRDefault="00000000" w:rsidRPr="00000000" w14:paraId="00000108">
            <w:pPr>
              <w:jc w:val="both"/>
              <w:rPr/>
            </w:pPr>
            <w:r w:rsidDel="00000000" w:rsidR="00000000" w:rsidRPr="00000000">
              <w:rPr>
                <w:rtl w:val="0"/>
              </w:rPr>
              <w:t xml:space="preserve">South Korea</w:t>
            </w:r>
          </w:p>
        </w:tc>
        <w:tc>
          <w:tcPr/>
          <w:p w:rsidR="00000000" w:rsidDel="00000000" w:rsidP="00000000" w:rsidRDefault="00000000" w:rsidRPr="00000000" w14:paraId="00000109">
            <w:pPr>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10A">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0E">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112">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116">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11A">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D">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8"/>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121">
            <w:pPr>
              <w:jc w:val="both"/>
              <w:rPr/>
            </w:pPr>
            <w:r w:rsidDel="00000000" w:rsidR="00000000" w:rsidRPr="00000000">
              <w:rPr>
                <w:rtl w:val="0"/>
              </w:rPr>
              <w:t xml:space="preserve">Ranking</w:t>
            </w:r>
          </w:p>
        </w:tc>
        <w:tc>
          <w:tcPr/>
          <w:p w:rsidR="00000000" w:rsidDel="00000000" w:rsidP="00000000" w:rsidRDefault="00000000" w:rsidRPr="00000000" w14:paraId="00000122">
            <w:pPr>
              <w:jc w:val="both"/>
              <w:rPr/>
            </w:pPr>
            <w:r w:rsidDel="00000000" w:rsidR="00000000" w:rsidRPr="00000000">
              <w:rPr>
                <w:rtl w:val="0"/>
              </w:rPr>
              <w:t xml:space="preserve">China</w:t>
            </w:r>
          </w:p>
        </w:tc>
        <w:tc>
          <w:tcPr/>
          <w:p w:rsidR="00000000" w:rsidDel="00000000" w:rsidP="00000000" w:rsidRDefault="00000000" w:rsidRPr="00000000" w14:paraId="00000123">
            <w:pPr>
              <w:jc w:val="both"/>
              <w:rPr/>
            </w:pPr>
            <w:r w:rsidDel="00000000" w:rsidR="00000000" w:rsidRPr="00000000">
              <w:rPr>
                <w:rtl w:val="0"/>
              </w:rPr>
              <w:t xml:space="preserve">South Korea</w:t>
            </w:r>
          </w:p>
        </w:tc>
        <w:tc>
          <w:tcPr/>
          <w:p w:rsidR="00000000" w:rsidDel="00000000" w:rsidP="00000000" w:rsidRDefault="00000000" w:rsidRPr="00000000" w14:paraId="00000124">
            <w:pPr>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12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Weapons</w:t>
            </w:r>
          </w:p>
        </w:tc>
      </w:tr>
      <w:tr>
        <w:trPr>
          <w:cantSplit w:val="0"/>
          <w:tblHeader w:val="0"/>
        </w:trPr>
        <w:tc>
          <w:tcPr/>
          <w:p w:rsidR="00000000" w:rsidDel="00000000" w:rsidP="00000000" w:rsidRDefault="00000000" w:rsidRPr="00000000" w14:paraId="0000012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Energy Drilling and Mining</w:t>
            </w:r>
          </w:p>
        </w:tc>
      </w:tr>
      <w:tr>
        <w:trPr>
          <w:cantSplit w:val="0"/>
          <w:tblHeader w:val="0"/>
        </w:trPr>
        <w:tc>
          <w:tcPr/>
          <w:p w:rsidR="00000000" w:rsidDel="00000000" w:rsidP="00000000" w:rsidRDefault="00000000" w:rsidRPr="00000000" w14:paraId="0000012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3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Machinery and Construction</w:t>
            </w:r>
          </w:p>
        </w:tc>
      </w:tr>
      <w:tr>
        <w:trPr>
          <w:cantSplit w:val="0"/>
          <w:tblHeader w:val="0"/>
        </w:trPr>
        <w:tc>
          <w:tcPr/>
          <w:p w:rsidR="00000000" w:rsidDel="00000000" w:rsidP="00000000" w:rsidRDefault="00000000" w:rsidRPr="00000000" w14:paraId="0000013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38">
            <w:pPr>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F">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w:t>
      </w:r>
      <w:r w:rsidDel="00000000" w:rsidR="00000000" w:rsidRPr="00000000">
        <w:rPr>
          <w:rtl w:val="0"/>
        </w:rPr>
        <w:t xml:space="preserve">decrement</w:t>
      </w:r>
      <w:r w:rsidDel="00000000" w:rsidR="00000000" w:rsidRPr="00000000">
        <w:rPr>
          <w:rtl w:val="0"/>
        </w:rPr>
        <w:t xml:space="preserv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40">
      <w:pPr>
        <w:pageBreakBefore w:val="0"/>
        <w:jc w:val="both"/>
        <w:rPr/>
      </w:pPr>
      <w:r w:rsidDel="00000000" w:rsidR="00000000" w:rsidRPr="00000000">
        <w:rPr>
          <w:rtl w:val="0"/>
        </w:rPr>
      </w:r>
    </w:p>
    <w:p w:rsidR="00000000" w:rsidDel="00000000" w:rsidP="00000000" w:rsidRDefault="00000000" w:rsidRPr="00000000" w14:paraId="00000141">
      <w:pPr>
        <w:jc w:val="both"/>
        <w:rPr>
          <w:sz w:val="22"/>
          <w:szCs w:val="22"/>
        </w:rPr>
      </w:pPr>
      <w:r w:rsidDel="00000000" w:rsidR="00000000" w:rsidRPr="00000000">
        <w:rPr/>
        <w:drawing>
          <wp:inline distB="114300" distT="114300" distL="114300" distR="114300">
            <wp:extent cx="5731200" cy="1384300"/>
            <wp:effectExtent b="0" l="0" r="0" t="0"/>
            <wp:docPr id="9"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sz w:val="22"/>
          <w:szCs w:val="22"/>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rtl w:val="0"/>
        </w:rPr>
        <w:t xml:space="preserve">Table 5a. Opportunity Gain Ranking on a Comparable Scale (</w:t>
      </w:r>
      <w:r w:rsidDel="00000000" w:rsidR="00000000" w:rsidRPr="00000000">
        <w:rPr>
          <w:rtl w:val="0"/>
        </w:rPr>
        <w:t xml:space="preserve">20</w:t>
      </w:r>
      <w:r w:rsidDel="00000000" w:rsidR="00000000" w:rsidRPr="00000000">
        <w:rPr>
          <w:rtl w:val="0"/>
        </w:rPr>
        <w:t xml:space="preserve">13)</w:t>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drawing>
          <wp:inline distB="114300" distT="114300" distL="114300" distR="114300">
            <wp:extent cx="5667375" cy="1381125"/>
            <wp:effectExtent b="0" l="0" r="0" t="0"/>
            <wp:docPr id="28" name="image31.jpg"/>
            <a:graphic>
              <a:graphicData uri="http://schemas.openxmlformats.org/drawingml/2006/picture">
                <pic:pic>
                  <pic:nvPicPr>
                    <pic:cNvPr id="0" name="image31.jpg"/>
                    <pic:cNvPicPr preferRelativeResize="0"/>
                  </pic:nvPicPr>
                  <pic:blipFill>
                    <a:blip r:embed="rId15"/>
                    <a:srcRect b="0" l="1163" r="0" t="0"/>
                    <a:stretch>
                      <a:fillRect/>
                    </a:stretch>
                  </pic:blipFill>
                  <pic:spPr>
                    <a:xfrm>
                      <a:off x="0" y="0"/>
                      <a:ext cx="56673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t xml:space="preserve">Table 5b. Opportunity Gain Ranking on a Comparable Scale (</w:t>
      </w:r>
      <w:r w:rsidDel="00000000" w:rsidR="00000000" w:rsidRPr="00000000">
        <w:rPr>
          <w:rtl w:val="0"/>
        </w:rPr>
        <w:t xml:space="preserve">20</w:t>
      </w:r>
      <w:r w:rsidDel="00000000" w:rsidR="00000000" w:rsidRPr="00000000">
        <w:rPr>
          <w:rtl w:val="0"/>
        </w:rPr>
        <w:t xml:space="preserve">18)</w:t>
      </w:r>
    </w:p>
    <w:p w:rsidR="00000000" w:rsidDel="00000000" w:rsidP="00000000" w:rsidRDefault="00000000" w:rsidRPr="00000000" w14:paraId="00000148">
      <w:pPr>
        <w:pageBreakBefore w:val="0"/>
        <w:jc w:val="center"/>
        <w:rPr/>
      </w:pPr>
      <w:r w:rsidDel="00000000" w:rsidR="00000000" w:rsidRPr="00000000">
        <w:rPr>
          <w:rtl w:val="0"/>
        </w:rPr>
      </w:r>
    </w:p>
    <w:p w:rsidR="00000000" w:rsidDel="00000000" w:rsidP="00000000" w:rsidRDefault="00000000" w:rsidRPr="00000000" w14:paraId="00000149">
      <w:pPr>
        <w:pageBreakBefore w:val="0"/>
        <w:jc w:val="center"/>
        <w:rPr/>
      </w:pPr>
      <w:r w:rsidDel="00000000" w:rsidR="00000000" w:rsidRPr="00000000">
        <w:rPr/>
        <w:drawing>
          <wp:inline distB="114300" distT="114300" distL="114300" distR="114300">
            <wp:extent cx="5731200" cy="3543300"/>
            <wp:effectExtent b="0" l="0" r="0" t="0"/>
            <wp:docPr id="29"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jc w:val="center"/>
        <w:rPr/>
      </w:pPr>
      <w:r w:rsidDel="00000000" w:rsidR="00000000" w:rsidRPr="00000000">
        <w:rPr>
          <w:rtl w:val="0"/>
        </w:rPr>
      </w:r>
    </w:p>
    <w:p w:rsidR="00000000" w:rsidDel="00000000" w:rsidP="00000000" w:rsidRDefault="00000000" w:rsidRPr="00000000" w14:paraId="0000014B">
      <w:pPr>
        <w:pageBreakBefore w:val="0"/>
        <w:jc w:val="center"/>
        <w:rPr/>
      </w:pPr>
      <w:r w:rsidDel="00000000" w:rsidR="00000000" w:rsidRPr="00000000">
        <w:rPr>
          <w:rtl w:val="0"/>
        </w:rPr>
        <w:t xml:space="preserve">T</w:t>
      </w:r>
      <w:r w:rsidDel="00000000" w:rsidR="00000000" w:rsidRPr="00000000">
        <w:rPr>
          <w:rtl w:val="0"/>
        </w:rPr>
        <w:t xml:space="preserve">able 5c. Opportunity Gain Ranking on a Comparable Scale (</w:t>
      </w:r>
      <w:r w:rsidDel="00000000" w:rsidR="00000000" w:rsidRPr="00000000">
        <w:rPr>
          <w:rtl w:val="0"/>
        </w:rPr>
        <w:t xml:space="preserve">20</w:t>
      </w:r>
      <w:r w:rsidDel="00000000" w:rsidR="00000000" w:rsidRPr="00000000">
        <w:rPr>
          <w:rtl w:val="0"/>
        </w:rPr>
        <w:t xml:space="preserve">21)</w:t>
      </w:r>
    </w:p>
    <w:p w:rsidR="00000000" w:rsidDel="00000000" w:rsidP="00000000" w:rsidRDefault="00000000" w:rsidRPr="00000000" w14:paraId="0000014C">
      <w:pPr>
        <w:pageBreakBefore w:val="0"/>
        <w:jc w:val="center"/>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France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the industries with positive opportunity gain and share common interests in industrial manufacturing and high-tech industries. It can be concluded that France, a developed country, shares some characteristics of developing countries, with a balanced economic structure that leans towards high-end industries.</w:t>
      </w:r>
    </w:p>
    <w:p w:rsidR="00000000" w:rsidDel="00000000" w:rsidP="00000000" w:rsidRDefault="00000000" w:rsidRPr="00000000" w14:paraId="00000150">
      <w:pPr>
        <w:pageBreakBefore w:val="0"/>
        <w:jc w:val="both"/>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drawing>
          <wp:inline distB="114300" distT="114300" distL="114300" distR="114300">
            <wp:extent cx="5731200" cy="2286000"/>
            <wp:effectExtent b="0" l="0" r="0" t="0"/>
            <wp:docPr id="13"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t xml:space="preserve">Table 6. SDV of Other Sample Countries (2018)</w:t>
      </w:r>
    </w:p>
    <w:p w:rsidR="00000000" w:rsidDel="00000000" w:rsidP="00000000" w:rsidRDefault="00000000" w:rsidRPr="00000000" w14:paraId="00000154">
      <w:pPr>
        <w:pageBreakBefore w:val="0"/>
        <w:jc w:val="center"/>
        <w:rPr>
          <w:sz w:val="22"/>
          <w:szCs w:val="22"/>
        </w:rPr>
      </w:pPr>
      <w:r w:rsidDel="00000000" w:rsidR="00000000" w:rsidRPr="00000000">
        <w:rPr>
          <w:rtl w:val="0"/>
        </w:rPr>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58">
      <w:pPr>
        <w:pageBreakBefore w:val="0"/>
        <w:jc w:val="both"/>
        <w:rPr/>
      </w:pPr>
      <w:r w:rsidDel="00000000" w:rsidR="00000000" w:rsidRPr="00000000">
        <w:rPr>
          <w:rtl w:val="0"/>
        </w:rPr>
      </w:r>
    </w:p>
    <w:p w:rsidR="00000000" w:rsidDel="00000000" w:rsidP="00000000" w:rsidRDefault="00000000" w:rsidRPr="00000000" w14:paraId="00000159">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2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r>
    </w:p>
    <w:p w:rsidR="00000000" w:rsidDel="00000000" w:rsidP="00000000" w:rsidRDefault="00000000" w:rsidRPr="00000000" w14:paraId="0000015B">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5C">
      <w:pPr>
        <w:pageBreakBefore w:val="0"/>
        <w:jc w:val="both"/>
        <w:rPr/>
      </w:pPr>
      <w:r w:rsidDel="00000000" w:rsidR="00000000" w:rsidRPr="00000000">
        <w:rPr>
          <w:rtl w:val="0"/>
        </w:rPr>
        <w:t xml:space="preserve"> </w:t>
      </w:r>
    </w:p>
    <w:p w:rsidR="00000000" w:rsidDel="00000000" w:rsidP="00000000" w:rsidRDefault="00000000" w:rsidRPr="00000000" w14:paraId="0000015D">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5E">
      <w:pPr>
        <w:pageBreakBefore w:val="0"/>
        <w:jc w:val="both"/>
        <w:rPr/>
      </w:pPr>
      <w:r w:rsidDel="00000000" w:rsidR="00000000" w:rsidRPr="00000000">
        <w:rPr>
          <w:rtl w:val="0"/>
        </w:rPr>
        <w:t xml:space="preserve"> </w:t>
      </w:r>
    </w:p>
    <w:p w:rsidR="00000000" w:rsidDel="00000000" w:rsidP="00000000" w:rsidRDefault="00000000" w:rsidRPr="00000000" w14:paraId="0000015F">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60">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64">
      <w:pPr>
        <w:pageBreakBefore w:val="0"/>
        <w:rPr/>
      </w:pPr>
      <w:r w:rsidDel="00000000" w:rsidR="00000000" w:rsidRPr="00000000">
        <w:rPr>
          <w:rtl w:val="0"/>
        </w:rPr>
        <w:t xml:space="preserve"> </w:t>
      </w:r>
    </w:p>
    <w:p w:rsidR="00000000" w:rsidDel="00000000" w:rsidP="00000000" w:rsidRDefault="00000000" w:rsidRPr="00000000" w14:paraId="00000165">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68">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 process of the greedy algorithm. Even though sometimes an increase in the export by 15% or 20% does not seem reasonable to developed countries, it can also give a sense of how a country should develop in the long term. In the end, the graph serves as a numerical explanation for the pie charts.</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6B">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6C">
      <w:pPr>
        <w:pageBreakBefore w:val="0"/>
        <w:jc w:val="both"/>
        <w:rPr/>
      </w:pPr>
      <w:r w:rsidDel="00000000" w:rsidR="00000000" w:rsidRPr="00000000">
        <w:rPr>
          <w:rtl w:val="0"/>
        </w:rPr>
      </w:r>
    </w:p>
    <w:tbl>
      <w:tblPr>
        <w:tblStyle w:val="Table9"/>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93">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94">
      <w:pPr>
        <w:pageBreakBefore w:val="0"/>
        <w:jc w:val="center"/>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France in 2013, 2018, and 2021. We can see that for different percentages of heuristic total export growth, the ECIs of France actually have different increments. While the ECI growth of France in 2013 heavily relied on Wood Products, the optimal resource allocation shifted drastically to Energy Drilling and Mining in 2021.</w:t>
      </w:r>
    </w:p>
    <w:p w:rsidR="00000000" w:rsidDel="00000000" w:rsidP="00000000" w:rsidRDefault="00000000" w:rsidRPr="00000000" w14:paraId="00000196">
      <w:pPr>
        <w:pageBreakBefore w:val="0"/>
        <w:jc w:val="both"/>
        <w:rPr/>
      </w:pPr>
      <w:r w:rsidDel="00000000" w:rsidR="00000000" w:rsidRPr="00000000">
        <w:rPr>
          <w:rtl w:val="0"/>
        </w:rPr>
        <w:t xml:space="preserve"> </w:t>
      </w:r>
    </w:p>
    <w:p w:rsidR="00000000" w:rsidDel="00000000" w:rsidP="00000000" w:rsidRDefault="00000000" w:rsidRPr="00000000" w14:paraId="00000197">
      <w:pPr>
        <w:pageBreakBefore w:val="0"/>
        <w:jc w:val="both"/>
        <w:rPr/>
      </w:pPr>
      <w:r w:rsidDel="00000000" w:rsidR="00000000" w:rsidRPr="00000000">
        <w:rPr>
          <w:rtl w:val="0"/>
        </w:rPr>
        <w:t xml:space="preserve">For 2013, in the case of 5 percent export growth, Wood Products was one of the main components at 36.4% allocation. With a budget of 10 percent export growth, Wood Products accounted for most of the portfolio at 68.2%. It appears that increasing the percentage allocation of Wood Products at each increment yields the optimal ECI growth result. A more detailed numerical representation of the portfolio is shown in Table 8a. </w:t>
      </w:r>
    </w:p>
    <w:p w:rsidR="00000000" w:rsidDel="00000000" w:rsidP="00000000" w:rsidRDefault="00000000" w:rsidRPr="00000000" w14:paraId="00000198">
      <w:pPr>
        <w:rPr/>
      </w:pPr>
      <w:r w:rsidDel="00000000" w:rsidR="00000000" w:rsidRPr="00000000">
        <w:rPr/>
        <w:drawing>
          <wp:inline distB="114300" distT="114300" distL="114300" distR="114300">
            <wp:extent cx="5731200" cy="2032000"/>
            <wp:effectExtent b="0" l="0" r="0" t="0"/>
            <wp:docPr id="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5638800" cy="2028825"/>
            <wp:effectExtent b="0" l="0" r="0" t="0"/>
            <wp:docPr id="1" name="image17.png"/>
            <a:graphic>
              <a:graphicData uri="http://schemas.openxmlformats.org/drawingml/2006/picture">
                <pic:pic>
                  <pic:nvPicPr>
                    <pic:cNvPr id="0" name="image17.png"/>
                    <pic:cNvPicPr preferRelativeResize="0"/>
                  </pic:nvPicPr>
                  <pic:blipFill>
                    <a:blip r:embed="rId21"/>
                    <a:srcRect b="0" l="1661" r="0" t="0"/>
                    <a:stretch>
                      <a:fillRect/>
                    </a:stretch>
                  </pic:blipFill>
                  <pic:spPr>
                    <a:xfrm>
                      <a:off x="0" y="0"/>
                      <a:ext cx="56388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t xml:space="preserve"> </w:t>
      </w:r>
    </w:p>
    <w:p w:rsidR="00000000" w:rsidDel="00000000" w:rsidP="00000000" w:rsidRDefault="00000000" w:rsidRPr="00000000" w14:paraId="0000019C">
      <w:pPr>
        <w:pageBreakBefore w:val="0"/>
        <w:jc w:val="center"/>
        <w:rPr/>
      </w:pPr>
      <w:r w:rsidDel="00000000" w:rsidR="00000000" w:rsidRPr="00000000">
        <w:rPr>
          <w:rtl w:val="0"/>
        </w:rPr>
        <w:t xml:space="preserve">Figure 4a. Greedy-Based ECI Improvement Results of France with Different Budgets (2013)</w:t>
      </w:r>
    </w:p>
    <w:p w:rsidR="00000000" w:rsidDel="00000000" w:rsidP="00000000" w:rsidRDefault="00000000" w:rsidRPr="00000000" w14:paraId="0000019D">
      <w:pPr>
        <w:jc w:val="center"/>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681663" cy="1533525"/>
            <wp:effectExtent b="0" l="0" r="0" t="0"/>
            <wp:docPr id="17"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681663"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sz w:val="22"/>
          <w:szCs w:val="22"/>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t xml:space="preserve">Table 8a. Portfolio of France (2013)</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For further suggestions on France’s development in the future, we also offer the optimization result based on its export data in 2018. Below is the economic panel for France in 2018. Similar to 2013, a budget of 10 percent export growth made Wood Products account for the majority of the portfolio at 72.6%. However, unlike before where the percentage of Wood Products in the portfolio grows at each increment, it actually decreases for the budget of 15 percent export growth. A more detailed numerical representation of the portfolio is shown in Table 8b. </w:t>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drawing>
          <wp:inline distB="114300" distT="114300" distL="114300" distR="114300">
            <wp:extent cx="5731200" cy="2044700"/>
            <wp:effectExtent b="0" l="0" r="0" t="0"/>
            <wp:docPr id="1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both"/>
        <w:rPr/>
      </w:pPr>
      <w:r w:rsidDel="00000000" w:rsidR="00000000" w:rsidRPr="00000000">
        <w:rPr/>
        <w:drawing>
          <wp:inline distB="114300" distT="114300" distL="114300" distR="114300">
            <wp:extent cx="5400675" cy="1747838"/>
            <wp:effectExtent b="0" l="0" r="0" t="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400675"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t xml:space="preserve">Figure 4b. Greedy-Based ECI Improvement Results of France with Different Budgets (2018)</w:t>
      </w:r>
    </w:p>
    <w:p w:rsidR="00000000" w:rsidDel="00000000" w:rsidP="00000000" w:rsidRDefault="00000000" w:rsidRPr="00000000" w14:paraId="000001A8">
      <w:pPr>
        <w:jc w:val="center"/>
        <w:rPr>
          <w:sz w:val="22"/>
          <w:szCs w:val="22"/>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drawing>
          <wp:inline distB="114300" distT="114300" distL="114300" distR="114300">
            <wp:extent cx="5624513" cy="1562100"/>
            <wp:effectExtent b="0" l="0" r="0" t="0"/>
            <wp:docPr id="6"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5624513"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pageBreakBefore w:val="0"/>
        <w:jc w:val="center"/>
        <w:rPr/>
      </w:pPr>
      <w:r w:rsidDel="00000000" w:rsidR="00000000" w:rsidRPr="00000000">
        <w:rPr>
          <w:rtl w:val="0"/>
        </w:rPr>
        <w:t xml:space="preserve">Table 8b. Portfolio of France (2018)</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Precious Stones, while a 10, 15, and 20 percent export growth would correspond to Machinery and Construction, Machinery and Construction (again), and Energy Drilling and Mining, respectively. These strategies go in line with the suggested trajectories based on ECI. A more detailed numerical representation of the portfolio for Country is shown in Table 8c.</w:t>
      </w:r>
    </w:p>
    <w:p w:rsidR="00000000" w:rsidDel="00000000" w:rsidP="00000000" w:rsidRDefault="00000000" w:rsidRPr="00000000" w14:paraId="000001AE">
      <w:pPr>
        <w:pageBreakBefore w:val="0"/>
        <w:rPr>
          <w:sz w:val="22"/>
          <w:szCs w:val="22"/>
        </w:rPr>
      </w:pPr>
      <w:r w:rsidDel="00000000" w:rsidR="00000000" w:rsidRPr="00000000">
        <w:rPr>
          <w:rtl w:val="0"/>
        </w:rPr>
      </w:r>
    </w:p>
    <w:p w:rsidR="00000000" w:rsidDel="00000000" w:rsidP="00000000" w:rsidRDefault="00000000" w:rsidRPr="00000000" w14:paraId="000001AF">
      <w:pPr>
        <w:jc w:val="center"/>
        <w:rPr>
          <w:sz w:val="22"/>
          <w:szCs w:val="22"/>
        </w:rPr>
      </w:pPr>
      <w:r w:rsidDel="00000000" w:rsidR="00000000" w:rsidRPr="00000000">
        <w:rPr>
          <w:sz w:val="22"/>
          <w:szCs w:val="22"/>
        </w:rPr>
        <w:drawing>
          <wp:inline distB="114300" distT="114300" distL="114300" distR="114300">
            <wp:extent cx="5731200" cy="2146300"/>
            <wp:effectExtent b="0" l="0" r="0" t="0"/>
            <wp:docPr id="24" name="image7.png"/>
            <a:graphic>
              <a:graphicData uri="http://schemas.openxmlformats.org/drawingml/2006/picture">
                <pic:pic>
                  <pic:nvPicPr>
                    <pic:cNvPr id="0" name="image7.png"/>
                    <pic:cNvPicPr preferRelativeResize="0"/>
                  </pic:nvPicPr>
                  <pic:blipFill>
                    <a:blip r:embed="rId26"/>
                    <a:srcRect b="24917" l="0" r="0" t="0"/>
                    <a:stretch>
                      <a:fillRect/>
                    </a:stretch>
                  </pic:blipFill>
                  <pic:spPr>
                    <a:xfrm>
                      <a:off x="0" y="0"/>
                      <a:ext cx="5731200" cy="2146300"/>
                    </a:xfrm>
                    <a:prstGeom prst="rect"/>
                    <a:ln/>
                  </pic:spPr>
                </pic:pic>
              </a:graphicData>
            </a:graphic>
          </wp:inline>
        </w:drawing>
      </w:r>
      <w:r w:rsidDel="00000000" w:rsidR="00000000" w:rsidRPr="00000000">
        <w:rPr>
          <w:sz w:val="22"/>
          <w:szCs w:val="22"/>
        </w:rPr>
        <w:drawing>
          <wp:inline distB="114300" distT="114300" distL="114300" distR="114300">
            <wp:extent cx="5731200" cy="2159000"/>
            <wp:effectExtent b="0" l="0" r="0" t="0"/>
            <wp:docPr id="2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t xml:space="preserve">Figure 4c. Greedy-Based ECI Improvement Results of France with Different Budgets (2021)</w:t>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sz w:val="22"/>
          <w:szCs w:val="22"/>
        </w:rPr>
      </w:pPr>
      <w:r w:rsidDel="00000000" w:rsidR="00000000" w:rsidRPr="00000000">
        <w:rPr>
          <w:sz w:val="22"/>
          <w:szCs w:val="22"/>
        </w:rPr>
        <w:drawing>
          <wp:inline distB="114300" distT="114300" distL="114300" distR="114300">
            <wp:extent cx="5731200" cy="2667000"/>
            <wp:effectExtent b="0" l="0" r="0" t="0"/>
            <wp:docPr id="31"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center"/>
        <w:rPr>
          <w:sz w:val="22"/>
          <w:szCs w:val="22"/>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rtl w:val="0"/>
        </w:rPr>
        <w:t xml:space="preserve">Table 8c. Portfolio of France </w:t>
      </w:r>
      <w:r w:rsidDel="00000000" w:rsidR="00000000" w:rsidRPr="00000000">
        <w:rPr>
          <w:rtl w:val="0"/>
        </w:rPr>
        <w:t xml:space="preserve">(2021)</w:t>
      </w:r>
      <w:r w:rsidDel="00000000" w:rsidR="00000000" w:rsidRPr="00000000">
        <w:rPr>
          <w:rtl w:val="0"/>
        </w:rPr>
      </w:r>
    </w:p>
    <w:p w:rsidR="00000000" w:rsidDel="00000000" w:rsidP="00000000" w:rsidRDefault="00000000" w:rsidRPr="00000000" w14:paraId="000001B5">
      <w:pPr>
        <w:jc w:val="center"/>
        <w:rPr>
          <w:sz w:val="22"/>
          <w:szCs w:val="22"/>
        </w:rPr>
      </w:pPr>
      <w:r w:rsidDel="00000000" w:rsidR="00000000" w:rsidRPr="00000000">
        <w:rPr>
          <w:rtl w:val="0"/>
        </w:rPr>
      </w:r>
    </w:p>
    <w:p w:rsidR="00000000" w:rsidDel="00000000" w:rsidP="00000000" w:rsidRDefault="00000000" w:rsidRPr="00000000" w14:paraId="000001B6">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B7">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B8">
      <w:pPr>
        <w:pageBreakBefore w:val="0"/>
        <w:spacing w:after="240" w:before="240" w:line="276" w:lineRule="auto"/>
        <w:rPr/>
      </w:pPr>
      <w:r w:rsidDel="00000000" w:rsidR="00000000" w:rsidRPr="00000000">
        <w:rPr>
          <w:rtl w:val="0"/>
        </w:rPr>
        <w:t xml:space="preserve">In the following section, our broad aim is to understand how sensitive France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B9">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BA">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B">
      <w:pPr>
        <w:jc w:val="both"/>
        <w:rPr>
          <w:b w:val="1"/>
          <w:bCs w:val="1"/>
        </w:rPr>
      </w:pPr>
      <w:r w:rsidDel="00000000" w:rsidR="00000000" w:rsidRPr="00000000">
        <w:rPr>
          <w:b w:val="1"/>
          <w:bCs w:val="1"/>
        </w:rPr>
        <w:drawing>
          <wp:inline distB="114300" distT="114300" distL="114300" distR="114300">
            <wp:extent cx="5310188" cy="2519630"/>
            <wp:effectExtent b="0" l="0" r="0" t="0"/>
            <wp:docPr id="16" name="image2.jpg"/>
            <a:graphic>
              <a:graphicData uri="http://schemas.openxmlformats.org/drawingml/2006/picture">
                <pic:pic>
                  <pic:nvPicPr>
                    <pic:cNvPr id="0" name="image2.jpg"/>
                    <pic:cNvPicPr preferRelativeResize="0"/>
                  </pic:nvPicPr>
                  <pic:blipFill>
                    <a:blip r:embed="rId2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BD">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shocks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BE">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BF">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1C0">
      <w:pPr>
        <w:pageBreakBefore w:val="0"/>
        <w:spacing w:line="276" w:lineRule="auto"/>
        <w:rPr/>
      </w:pPr>
      <w:r w:rsidDel="00000000" w:rsidR="00000000" w:rsidRPr="00000000">
        <w:rPr>
          <w:rtl w:val="0"/>
        </w:rPr>
      </w:r>
    </w:p>
    <w:tbl>
      <w:tblPr>
        <w:tblStyle w:val="Table10"/>
        <w:tblW w:w="9030.0" w:type="dxa"/>
        <w:jc w:val="center"/>
        <w:tblLayout w:type="fixed"/>
        <w:tblLook w:val="0600"/>
      </w:tblPr>
      <w:tblGrid>
        <w:gridCol w:w="3315"/>
        <w:gridCol w:w="2190"/>
        <w:gridCol w:w="1950"/>
        <w:gridCol w:w="1575"/>
        <w:tblGridChange w:id="0">
          <w:tblGrid>
            <w:gridCol w:w="3315"/>
            <w:gridCol w:w="2190"/>
            <w:gridCol w:w="1950"/>
            <w:gridCol w:w="157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0D">
      <w:pPr>
        <w:jc w:val="center"/>
        <w:rPr>
          <w:sz w:val="22"/>
          <w:szCs w:val="22"/>
        </w:rPr>
      </w:pPr>
      <w:r w:rsidDel="00000000" w:rsidR="00000000" w:rsidRPr="00000000">
        <w:rPr>
          <w:rtl w:val="0"/>
        </w:rPr>
      </w:r>
    </w:p>
    <w:p w:rsidR="00000000" w:rsidDel="00000000" w:rsidP="00000000" w:rsidRDefault="00000000" w:rsidRPr="00000000" w14:paraId="0000020E">
      <w:pPr>
        <w:jc w:val="center"/>
        <w:rPr>
          <w:b w:val="1"/>
          <w:bCs w:val="1"/>
        </w:rPr>
      </w:pPr>
      <w:r w:rsidDel="00000000" w:rsidR="00000000" w:rsidRPr="00000000">
        <w:rPr>
          <w:rtl w:val="0"/>
        </w:rPr>
        <w:t xml:space="preserve">Table 10. Sample Contingency Strategy (2019)</w:t>
      </w:r>
      <w:r w:rsidDel="00000000" w:rsidR="00000000" w:rsidRPr="00000000">
        <w:rPr>
          <w:rtl w:val="0"/>
        </w:rPr>
      </w:r>
    </w:p>
    <w:p w:rsidR="00000000" w:rsidDel="00000000" w:rsidP="00000000" w:rsidRDefault="00000000" w:rsidRPr="00000000" w14:paraId="0000020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10">
      <w:pPr>
        <w:spacing w:after="240" w:before="240" w:line="276" w:lineRule="auto"/>
        <w:rPr>
          <w:b w:val="1"/>
          <w:bCs w:val="1"/>
        </w:rPr>
      </w:pPr>
      <w:r w:rsidDel="00000000" w:rsidR="00000000" w:rsidRPr="00000000">
        <w:rPr>
          <w:rtl w:val="0"/>
        </w:rPr>
      </w:r>
    </w:p>
    <w:p w:rsidR="00000000" w:rsidDel="00000000" w:rsidP="00000000" w:rsidRDefault="00000000" w:rsidRPr="00000000" w14:paraId="00000211">
      <w:pPr>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12">
      <w:pPr>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213">
      <w:pPr>
        <w:spacing w:after="240" w:before="24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14">
      <w:pPr>
        <w:spacing w:line="276" w:lineRule="auto"/>
        <w:rPr/>
      </w:pPr>
      <w:r w:rsidDel="00000000" w:rsidR="00000000" w:rsidRPr="00000000">
        <w:rPr>
          <w:rtl w:val="0"/>
        </w:rPr>
      </w:r>
    </w:p>
    <w:tbl>
      <w:tblPr>
        <w:tblStyle w:val="Table11"/>
        <w:tblW w:w="9450.0" w:type="dxa"/>
        <w:jc w:val="center"/>
        <w:tblLayout w:type="fixed"/>
        <w:tblLook w:val="0600"/>
      </w:tblPr>
      <w:tblGrid>
        <w:gridCol w:w="2460"/>
        <w:gridCol w:w="2340"/>
        <w:gridCol w:w="2430"/>
        <w:gridCol w:w="2220"/>
        <w:tblGridChange w:id="0">
          <w:tblGrid>
            <w:gridCol w:w="2460"/>
            <w:gridCol w:w="2340"/>
            <w:gridCol w:w="2430"/>
            <w:gridCol w:w="2220"/>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Animals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Services and Utilities</w:t>
            </w:r>
          </w:p>
        </w:tc>
        <w:tc>
          <w:tcPr>
            <w:tcBorders>
              <w:top w:color="000000" w:space="0" w:sz="6" w:val="single"/>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6" w:val="single"/>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Food and Preparations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High-complexity Products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Energy Drilling and Mining</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Chemical Manufacturing</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Wood Products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Metals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High-complexity Products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f3f3f3" w:val="clear"/>
            <w:tcMar>
              <w:top w:w="0.0" w:type="dxa"/>
              <w:left w:w="40.0" w:type="dxa"/>
              <w:bottom w:w="0.0" w:type="dxa"/>
              <w:right w:w="40.0" w:type="dxa"/>
            </w:tcMar>
            <w:vAlign w:val="bottom"/>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Precious Stones</w:t>
              <w:tab/>
            </w:r>
          </w:p>
        </w:tc>
      </w:tr>
    </w:tbl>
    <w:p w:rsidR="00000000" w:rsidDel="00000000" w:rsidP="00000000" w:rsidRDefault="00000000" w:rsidRPr="00000000" w14:paraId="00000261">
      <w:pPr>
        <w:jc w:val="center"/>
        <w:rPr>
          <w:sz w:val="22"/>
          <w:szCs w:val="22"/>
        </w:rPr>
      </w:pPr>
      <w:r w:rsidDel="00000000" w:rsidR="00000000" w:rsidRPr="00000000">
        <w:rPr>
          <w:rtl w:val="0"/>
        </w:rPr>
      </w:r>
    </w:p>
    <w:p w:rsidR="00000000" w:rsidDel="00000000" w:rsidP="00000000" w:rsidRDefault="00000000" w:rsidRPr="00000000" w14:paraId="00000262">
      <w:pPr>
        <w:jc w:val="center"/>
        <w:rPr>
          <w:b w:val="1"/>
          <w:bCs w:val="1"/>
        </w:rPr>
      </w:pPr>
      <w:r w:rsidDel="00000000" w:rsidR="00000000" w:rsidRPr="00000000">
        <w:rPr>
          <w:rtl w:val="0"/>
        </w:rPr>
        <w:t xml:space="preserve">Table 10. France Contingency Strategy (2021)</w:t>
      </w:r>
      <w:r w:rsidDel="00000000" w:rsidR="00000000" w:rsidRPr="00000000">
        <w:rPr>
          <w:rtl w:val="0"/>
        </w:rPr>
      </w:r>
    </w:p>
    <w:p w:rsidR="00000000" w:rsidDel="00000000" w:rsidP="00000000" w:rsidRDefault="00000000" w:rsidRPr="00000000" w14:paraId="00000263">
      <w:pPr>
        <w:jc w:val="center"/>
        <w:rPr>
          <w:b w:val="1"/>
          <w:bCs w:val="1"/>
          <w:sz w:val="28"/>
          <w:szCs w:val="28"/>
        </w:rPr>
      </w:pPr>
      <w:r w:rsidDel="00000000" w:rsidR="00000000" w:rsidRPr="00000000">
        <w:rPr>
          <w:rtl w:val="0"/>
        </w:rPr>
      </w:r>
    </w:p>
    <w:p w:rsidR="00000000" w:rsidDel="00000000" w:rsidP="00000000" w:rsidRDefault="00000000" w:rsidRPr="00000000" w14:paraId="0000026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66">
      <w:pPr>
        <w:pageBreakBefore w:val="0"/>
        <w:jc w:val="both"/>
        <w:rPr/>
      </w:pPr>
      <w:r w:rsidDel="00000000" w:rsidR="00000000" w:rsidRPr="00000000">
        <w:rPr>
          <w:rtl w:val="0"/>
        </w:rPr>
        <w:t xml:space="preserve">We examine France's ECI Decremental and Incremental Sensitivity Charts for 2021. An increase in High-complexity Products will lead to the highest change in ECI, followed by Transportation. None of the other industries positively impacted ECI significantly. For the negative shock cases, decreasing the export of Animals and By-products and Vegetables, Fruits and Plants become the most impactful, which corroborates our claim that higher complexity industries result in higher economic complexity. The rest of the industries do not appear to have the same level of sensitivity.</w:t>
      </w:r>
    </w:p>
    <w:p w:rsidR="00000000" w:rsidDel="00000000" w:rsidP="00000000" w:rsidRDefault="00000000" w:rsidRPr="00000000" w14:paraId="00000267">
      <w:pPr>
        <w:pageBreakBefore w:val="0"/>
        <w:jc w:val="both"/>
        <w:rPr/>
      </w:pPr>
      <w:r w:rsidDel="00000000" w:rsidR="00000000" w:rsidRPr="00000000">
        <w:rPr>
          <w:rtl w:val="0"/>
        </w:rPr>
      </w:r>
    </w:p>
    <w:p w:rsidR="00000000" w:rsidDel="00000000" w:rsidP="00000000" w:rsidRDefault="00000000" w:rsidRPr="00000000" w14:paraId="00000268">
      <w:pPr>
        <w:pageBreakBefore w:val="0"/>
        <w:jc w:val="both"/>
        <w:rPr/>
      </w:pPr>
      <w:r w:rsidDel="00000000" w:rsidR="00000000" w:rsidRPr="00000000">
        <w:rPr/>
        <w:drawing>
          <wp:inline distB="114300" distT="114300" distL="114300" distR="114300">
            <wp:extent cx="5731200" cy="2286000"/>
            <wp:effectExtent b="0" l="0" r="0" t="0"/>
            <wp:docPr id="2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t xml:space="preserve">F</w:t>
      </w:r>
      <w:r w:rsidDel="00000000" w:rsidR="00000000" w:rsidRPr="00000000">
        <w:rPr>
          <w:rtl w:val="0"/>
        </w:rPr>
        <w:t xml:space="preserve">igure 6a. Incremental ECI Sensitivity for </w:t>
      </w:r>
      <w:r w:rsidDel="00000000" w:rsidR="00000000" w:rsidRPr="00000000">
        <w:rPr>
          <w:rtl w:val="0"/>
        </w:rPr>
        <w:t xml:space="preserve">France</w:t>
      </w:r>
      <w:r w:rsidDel="00000000" w:rsidR="00000000" w:rsidRPr="00000000">
        <w:rPr>
          <w:rtl w:val="0"/>
        </w:rPr>
        <w:t xml:space="preserve"> (2021)</w:t>
      </w:r>
    </w:p>
    <w:p w:rsidR="00000000" w:rsidDel="00000000" w:rsidP="00000000" w:rsidRDefault="00000000" w:rsidRPr="00000000" w14:paraId="0000026A">
      <w:pPr>
        <w:jc w:val="center"/>
        <w:rPr>
          <w:sz w:val="22"/>
          <w:szCs w:val="22"/>
        </w:rPr>
      </w:pPr>
      <w:r w:rsidDel="00000000" w:rsidR="00000000" w:rsidRPr="00000000">
        <w:rPr>
          <w:sz w:val="22"/>
          <w:szCs w:val="22"/>
        </w:rPr>
        <w:drawing>
          <wp:inline distB="114300" distT="114300" distL="114300" distR="114300">
            <wp:extent cx="5731200" cy="2286000"/>
            <wp:effectExtent b="0" l="0" r="0" t="0"/>
            <wp:docPr id="1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t xml:space="preserve">Figure 6b. Decremental ECI Sensitivity for </w:t>
      </w:r>
      <w:r w:rsidDel="00000000" w:rsidR="00000000" w:rsidRPr="00000000">
        <w:rPr>
          <w:rtl w:val="0"/>
        </w:rPr>
        <w:t xml:space="preserve">France</w:t>
      </w:r>
      <w:r w:rsidDel="00000000" w:rsidR="00000000" w:rsidRPr="00000000">
        <w:rPr>
          <w:rtl w:val="0"/>
        </w:rPr>
        <w:t xml:space="preserve"> (2021)</w:t>
      </w:r>
      <w:r w:rsidDel="00000000" w:rsidR="00000000" w:rsidRPr="00000000">
        <w:rPr>
          <w:rtl w:val="0"/>
        </w:rPr>
      </w:r>
    </w:p>
    <w:p w:rsidR="00000000" w:rsidDel="00000000" w:rsidP="00000000" w:rsidRDefault="00000000" w:rsidRPr="00000000" w14:paraId="0000026C">
      <w:pPr>
        <w:pageBreakBefore w:val="0"/>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Below is France’s 2018 ECI Sensitivity Charts. Firstly in the positive chart, we notice that small increases in export value in Machinery lead to an increase in ECI. Interestingly though, after a 100% increase, the Machinery Industry forces the ECI level to plummet. Increases in the export of High-complexity Products also lead to ECI expansion. However, almost 150% of positive choking in export is required to experience this gain. </w:t>
      </w:r>
    </w:p>
    <w:p w:rsidR="00000000" w:rsidDel="00000000" w:rsidP="00000000" w:rsidRDefault="00000000" w:rsidRPr="00000000" w14:paraId="0000026E">
      <w:pPr>
        <w:pageBreakBefore w:val="0"/>
        <w:jc w:val="both"/>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Next, we consider France’s 2018 Negative Shock chart. We can see that France is fairly sensitive to High Complexity Products and Transportation, which is expected from a developed country. It seems that France’s ECI benefits from decreases in the export of lower-complexity products, such as Animals and By-products and Food and Preparation. </w:t>
      </w:r>
    </w:p>
    <w:p w:rsidR="00000000" w:rsidDel="00000000" w:rsidP="00000000" w:rsidRDefault="00000000" w:rsidRPr="00000000" w14:paraId="00000270">
      <w:pPr>
        <w:jc w:val="center"/>
        <w:rPr/>
      </w:pPr>
      <w:r w:rsidDel="00000000" w:rsidR="00000000" w:rsidRPr="00000000">
        <w:rPr/>
        <w:drawing>
          <wp:inline distB="114300" distT="114300" distL="114300" distR="114300">
            <wp:extent cx="5119688" cy="2540077"/>
            <wp:effectExtent b="0" l="0" r="0" t="0"/>
            <wp:docPr id="14"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5119688" cy="2540077"/>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jc w:val="center"/>
        <w:rPr>
          <w:sz w:val="22"/>
          <w:szCs w:val="22"/>
        </w:rPr>
      </w:pPr>
      <w:r w:rsidDel="00000000" w:rsidR="00000000" w:rsidRPr="00000000">
        <w:rPr>
          <w:rtl w:val="0"/>
        </w:rPr>
      </w:r>
    </w:p>
    <w:p w:rsidR="00000000" w:rsidDel="00000000" w:rsidP="00000000" w:rsidRDefault="00000000" w:rsidRPr="00000000" w14:paraId="00000272">
      <w:pPr>
        <w:jc w:val="center"/>
        <w:rPr>
          <w:sz w:val="26"/>
          <w:szCs w:val="26"/>
        </w:rPr>
      </w:pPr>
      <w:r w:rsidDel="00000000" w:rsidR="00000000" w:rsidRPr="00000000">
        <w:rPr>
          <w:rtl w:val="0"/>
        </w:rPr>
        <w:t xml:space="preserve">Figure 7a. Incremental ECI Sensitivity for France (2018)</w:t>
      </w: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b w:val="1"/>
          <w:bCs w:val="1"/>
        </w:rPr>
      </w:pPr>
      <w:r w:rsidDel="00000000" w:rsidR="00000000" w:rsidRPr="00000000">
        <w:rPr/>
        <w:drawing>
          <wp:inline distB="114300" distT="114300" distL="114300" distR="114300">
            <wp:extent cx="5070263" cy="2586038"/>
            <wp:effectExtent b="0" l="0" r="0" t="0"/>
            <wp:docPr id="10" name="image1.jpg"/>
            <a:graphic>
              <a:graphicData uri="http://schemas.openxmlformats.org/drawingml/2006/picture">
                <pic:pic>
                  <pic:nvPicPr>
                    <pic:cNvPr id="0" name="image1.jpg"/>
                    <pic:cNvPicPr preferRelativeResize="0"/>
                  </pic:nvPicPr>
                  <pic:blipFill>
                    <a:blip r:embed="rId33"/>
                    <a:srcRect b="0" l="0" r="0" t="0"/>
                    <a:stretch>
                      <a:fillRect/>
                    </a:stretch>
                  </pic:blipFill>
                  <pic:spPr>
                    <a:xfrm>
                      <a:off x="0" y="0"/>
                      <a:ext cx="5070263"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ageBreakBefore w:val="0"/>
        <w:jc w:val="both"/>
        <w:rPr>
          <w:b w:val="1"/>
          <w:bCs w:val="1"/>
        </w:rPr>
      </w:pPr>
      <w:r w:rsidDel="00000000" w:rsidR="00000000" w:rsidRPr="00000000">
        <w:rPr>
          <w:rtl w:val="0"/>
        </w:rPr>
      </w:r>
    </w:p>
    <w:p w:rsidR="00000000" w:rsidDel="00000000" w:rsidP="00000000" w:rsidRDefault="00000000" w:rsidRPr="00000000" w14:paraId="00000276">
      <w:pPr>
        <w:jc w:val="center"/>
        <w:rPr>
          <w:b w:val="0"/>
          <w:bCs w:val="0"/>
          <w:i w:val="1"/>
          <w:iCs w:val="1"/>
          <w:color w:val="444499"/>
        </w:rPr>
      </w:pPr>
      <w:r w:rsidDel="00000000" w:rsidR="00000000" w:rsidRPr="00000000">
        <w:rPr>
          <w:rtl w:val="0"/>
        </w:rPr>
        <w:t xml:space="preserve">Figure 7b. Decremental ECI Sensitivity for France (2018)</w:t>
      </w:r>
      <w:r w:rsidDel="00000000" w:rsidR="00000000" w:rsidRPr="00000000">
        <w:rPr>
          <w:rtl w:val="0"/>
        </w:rPr>
      </w:r>
    </w:p>
    <w:p w:rsidR="00000000" w:rsidDel="00000000" w:rsidP="00000000" w:rsidRDefault="00000000" w:rsidRPr="00000000" w14:paraId="00000277">
      <w:pPr>
        <w:pageBreakBefore w:val="0"/>
        <w:jc w:val="cente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Next we consider the 2013 ECI Sensitivity graphs. We see that in the positive shocking case,  the ECI sensitivity profile has not changed significantly over the five-year period. Machinery seems to offer the fastest ECI growth when exports are increased. High Complexity Products offer similar ECI growth however require over 150% increase in export value. </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2013 negative shocking case, we see that again France is fairly sensitive to drawbacks in High Complexity Products and Transportation. Overall the 2013 negative shock graph for France is quite similar to the 2018 graph.</w:t>
      </w:r>
    </w:p>
    <w:p w:rsidR="00000000" w:rsidDel="00000000" w:rsidP="00000000" w:rsidRDefault="00000000" w:rsidRPr="00000000" w14:paraId="0000027B">
      <w:pPr>
        <w:pageBreakBefore w:val="0"/>
        <w:jc w:val="center"/>
        <w:rPr>
          <w:b w:val="1"/>
          <w:bCs w:val="1"/>
        </w:rPr>
      </w:pPr>
      <w:r w:rsidDel="00000000" w:rsidR="00000000" w:rsidRPr="00000000">
        <w:rPr>
          <w:b w:val="1"/>
          <w:bCs w:val="1"/>
        </w:rPr>
        <w:drawing>
          <wp:inline distB="114300" distT="114300" distL="114300" distR="114300">
            <wp:extent cx="4471988" cy="2295422"/>
            <wp:effectExtent b="0" l="0" r="0" t="0"/>
            <wp:docPr id="7"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4471988" cy="2295422"/>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t xml:space="preserve">Figure 8a. Incremental ECI Sensitivity for France (2013)</w:t>
      </w:r>
      <w:r w:rsidDel="00000000" w:rsidR="00000000" w:rsidRPr="00000000">
        <w:rPr>
          <w:rtl w:val="0"/>
        </w:rPr>
      </w:r>
    </w:p>
    <w:p w:rsidR="00000000" w:rsidDel="00000000" w:rsidP="00000000" w:rsidRDefault="00000000" w:rsidRPr="00000000" w14:paraId="0000027E">
      <w:pPr>
        <w:jc w:val="center"/>
        <w:rPr>
          <w:b w:val="1"/>
          <w:bCs w:val="1"/>
        </w:rPr>
      </w:pPr>
      <w:r w:rsidDel="00000000" w:rsidR="00000000" w:rsidRPr="00000000">
        <w:rPr>
          <w:rtl w:val="0"/>
        </w:rPr>
      </w:r>
    </w:p>
    <w:p w:rsidR="00000000" w:rsidDel="00000000" w:rsidP="00000000" w:rsidRDefault="00000000" w:rsidRPr="00000000" w14:paraId="0000027F">
      <w:pPr>
        <w:jc w:val="center"/>
        <w:rPr>
          <w:b w:val="1"/>
          <w:bCs w:val="1"/>
        </w:rPr>
      </w:pPr>
      <w:r w:rsidDel="00000000" w:rsidR="00000000" w:rsidRPr="00000000">
        <w:rPr>
          <w:b w:val="1"/>
          <w:bCs w:val="1"/>
        </w:rPr>
        <w:drawing>
          <wp:inline distB="114300" distT="114300" distL="114300" distR="114300">
            <wp:extent cx="4491038" cy="2290280"/>
            <wp:effectExtent b="0" l="0" r="0" t="0"/>
            <wp:docPr id="27" name="image28.jpg"/>
            <a:graphic>
              <a:graphicData uri="http://schemas.openxmlformats.org/drawingml/2006/picture">
                <pic:pic>
                  <pic:nvPicPr>
                    <pic:cNvPr id="0" name="image28.jpg"/>
                    <pic:cNvPicPr preferRelativeResize="0"/>
                  </pic:nvPicPr>
                  <pic:blipFill>
                    <a:blip r:embed="rId35"/>
                    <a:srcRect b="0" l="0" r="0" t="0"/>
                    <a:stretch>
                      <a:fillRect/>
                    </a:stretch>
                  </pic:blipFill>
                  <pic:spPr>
                    <a:xfrm>
                      <a:off x="0" y="0"/>
                      <a:ext cx="4491038" cy="229028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rtl w:val="0"/>
        </w:rPr>
      </w:r>
    </w:p>
    <w:p w:rsidR="00000000" w:rsidDel="00000000" w:rsidP="00000000" w:rsidRDefault="00000000" w:rsidRPr="00000000" w14:paraId="00000281">
      <w:pPr>
        <w:jc w:val="center"/>
        <w:rPr>
          <w:sz w:val="22"/>
          <w:szCs w:val="22"/>
        </w:rPr>
      </w:pPr>
      <w:r w:rsidDel="00000000" w:rsidR="00000000" w:rsidRPr="00000000">
        <w:rPr>
          <w:rtl w:val="0"/>
        </w:rPr>
        <w:t xml:space="preserve">Figure 8b. Decremental ECI Sensitivity for France (2013)</w:t>
      </w:r>
      <w:r w:rsidDel="00000000" w:rsidR="00000000" w:rsidRPr="00000000">
        <w:rPr>
          <w:rtl w:val="0"/>
        </w:rPr>
      </w:r>
    </w:p>
    <w:p w:rsidR="00000000" w:rsidDel="00000000" w:rsidP="00000000" w:rsidRDefault="00000000" w:rsidRPr="00000000" w14:paraId="00000282">
      <w:pPr>
        <w:pageBreakBefore w:val="0"/>
        <w:jc w:val="both"/>
        <w:rPr/>
      </w:pPr>
      <w:r w:rsidDel="00000000" w:rsidR="00000000" w:rsidRPr="00000000">
        <w:rPr>
          <w:rtl w:val="0"/>
        </w:rPr>
      </w:r>
    </w:p>
    <w:p w:rsidR="00000000" w:rsidDel="00000000" w:rsidP="00000000" w:rsidRDefault="00000000" w:rsidRPr="00000000" w14:paraId="00000283">
      <w:pPr>
        <w:pageBreakBefore w:val="0"/>
        <w:jc w:val="both"/>
        <w:rPr>
          <w:b w:val="1"/>
          <w:bCs w:val="1"/>
        </w:rPr>
      </w:pPr>
      <w:r w:rsidDel="00000000" w:rsidR="00000000" w:rsidRPr="00000000">
        <w:rPr>
          <w:rtl w:val="0"/>
        </w:rPr>
      </w:r>
    </w:p>
    <w:p w:rsidR="00000000" w:rsidDel="00000000" w:rsidP="00000000" w:rsidRDefault="00000000" w:rsidRPr="00000000" w14:paraId="0000028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85">
      <w:pPr>
        <w:pageBreakBefore w:val="0"/>
        <w:jc w:val="both"/>
        <w:rPr>
          <w:b w:val="1"/>
          <w:bCs w:val="1"/>
        </w:rPr>
      </w:pPr>
      <w:r w:rsidDel="00000000" w:rsidR="00000000" w:rsidRPr="00000000">
        <w:rPr>
          <w:rtl w:val="0"/>
        </w:rPr>
      </w:r>
    </w:p>
    <w:p w:rsidR="00000000" w:rsidDel="00000000" w:rsidP="00000000" w:rsidRDefault="00000000" w:rsidRPr="00000000" w14:paraId="0000028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87">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88">
      <w:pPr>
        <w:pageBreakBefore w:val="0"/>
        <w:jc w:val="both"/>
        <w:rPr/>
      </w:pPr>
      <w:r w:rsidDel="00000000" w:rsidR="00000000" w:rsidRPr="00000000">
        <w:rPr>
          <w:rtl w:val="0"/>
        </w:rPr>
      </w:r>
    </w:p>
    <w:p w:rsidR="00000000" w:rsidDel="00000000" w:rsidP="00000000" w:rsidRDefault="00000000" w:rsidRPr="00000000" w14:paraId="0000028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28A">
      <w:pPr>
        <w:pageBreakBefore w:val="0"/>
        <w:jc w:val="both"/>
        <w:rPr/>
      </w:pPr>
      <w:r w:rsidDel="00000000" w:rsidR="00000000" w:rsidRPr="00000000">
        <w:rPr>
          <w:rtl w:val="0"/>
        </w:rPr>
      </w:r>
    </w:p>
    <w:tbl>
      <w:tblPr>
        <w:tblStyle w:val="Table12"/>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8B">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8D">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8E">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8F">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90">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91">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92">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93">
      <w:pPr>
        <w:pageBreakBefore w:val="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4882896" cy="3249280"/>
            <wp:effectExtent b="0" l="0" r="0" t="0"/>
            <wp:wrapTopAndBottom distB="0" distT="0"/>
            <wp:docPr id="3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4882896" cy="3249280"/>
                    </a:xfrm>
                    <a:prstGeom prst="rect"/>
                    <a:ln/>
                  </pic:spPr>
                </pic:pic>
              </a:graphicData>
            </a:graphic>
          </wp:anchor>
        </w:drawing>
      </w:r>
    </w:p>
    <w:p w:rsidR="00000000" w:rsidDel="00000000" w:rsidP="00000000" w:rsidRDefault="00000000" w:rsidRPr="00000000" w14:paraId="00000294">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295">
      <w:pPr>
        <w:pageBreakBefore w:val="0"/>
        <w:jc w:val="both"/>
        <w:rPr/>
      </w:pPr>
      <w:r w:rsidDel="00000000" w:rsidR="00000000" w:rsidRPr="00000000">
        <w:rPr>
          <w:rtl w:val="0"/>
        </w:rPr>
      </w:r>
    </w:p>
    <w:p w:rsidR="00000000" w:rsidDel="00000000" w:rsidP="00000000" w:rsidRDefault="00000000" w:rsidRPr="00000000" w14:paraId="00000296">
      <w:pPr>
        <w:pageBreakBefore w:val="0"/>
        <w:jc w:val="both"/>
        <w:rPr>
          <w:b w:val="1"/>
          <w:bCs w:val="1"/>
        </w:rPr>
      </w:pPr>
      <w:r w:rsidDel="00000000" w:rsidR="00000000" w:rsidRPr="00000000">
        <w:rPr>
          <w:rtl w:val="0"/>
        </w:rPr>
      </w:r>
    </w:p>
    <w:p w:rsidR="00000000" w:rsidDel="00000000" w:rsidP="00000000" w:rsidRDefault="00000000" w:rsidRPr="00000000" w14:paraId="00000297">
      <w:pPr>
        <w:pageBreakBefore w:val="0"/>
        <w:jc w:val="both"/>
        <w:rPr>
          <w:b w:val="1"/>
          <w:bCs w:val="1"/>
        </w:rPr>
      </w:pPr>
      <w:r w:rsidDel="00000000" w:rsidR="00000000" w:rsidRPr="00000000">
        <w:rPr>
          <w:b w:val="1"/>
          <w:bCs w:val="1"/>
          <w:rtl w:val="0"/>
        </w:rPr>
        <w:t xml:space="preserve">5.2 SOI of France and Its Implications</w:t>
      </w:r>
    </w:p>
    <w:p w:rsidR="00000000" w:rsidDel="00000000" w:rsidP="00000000" w:rsidRDefault="00000000" w:rsidRPr="00000000" w14:paraId="00000298">
      <w:pPr>
        <w:jc w:val="both"/>
        <w:rPr/>
      </w:pPr>
      <w:r w:rsidDel="00000000" w:rsidR="00000000" w:rsidRPr="00000000">
        <w:rPr>
          <w:rtl w:val="0"/>
        </w:rPr>
        <w:t xml:space="preserve">France ranks 52</w:t>
      </w:r>
      <w:r w:rsidDel="00000000" w:rsidR="00000000" w:rsidRPr="00000000">
        <w:rPr>
          <w:vertAlign w:val="superscript"/>
          <w:rtl w:val="0"/>
        </w:rPr>
        <w:t xml:space="preserve">nd</w:t>
      </w:r>
      <w:r w:rsidDel="00000000" w:rsidR="00000000" w:rsidRPr="00000000">
        <w:rPr>
          <w:rtl w:val="0"/>
        </w:rPr>
        <w:t xml:space="preserve"> place among all countries in terms of SOI and has a 5-year SOI growth rate of 16.47% from 2013 to 2018, which is consistent with the regression result in Figure 6. This is in direct contrast to emerging economies such as Turkey, where there is a high SOI of around 21.8% and a corresponding GDP growth of 36.7% from 2013 to 2018, making it one of the fastest-developing economies during the period. In sum, France’s slower economic progress from 2013 to 2018 can be at least partially explained by a mismatched development strategy that demonstrates a considerable level of deviations from our suggested developmental path. In specific, France invested heavily in the transportation industry, while it should have focused more on industry groups such as Services and Utilities.</w:t>
      </w:r>
    </w:p>
    <w:p w:rsidR="00000000" w:rsidDel="00000000" w:rsidP="00000000" w:rsidRDefault="00000000" w:rsidRPr="00000000" w14:paraId="00000299">
      <w:pPr>
        <w:jc w:val="both"/>
        <w:rPr/>
      </w:pPr>
      <w:r w:rsidDel="00000000" w:rsidR="00000000" w:rsidRPr="00000000">
        <w:rPr/>
        <w:drawing>
          <wp:inline distB="114300" distT="114300" distL="114300" distR="114300">
            <wp:extent cx="5731200" cy="2298700"/>
            <wp:effectExtent b="0" l="0" r="0" t="0"/>
            <wp:docPr id="33"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jc w:val="center"/>
        <w:rPr/>
      </w:pPr>
      <w:r w:rsidDel="00000000" w:rsidR="00000000" w:rsidRPr="00000000">
        <w:rPr>
          <w:rtl w:val="0"/>
        </w:rPr>
      </w:r>
    </w:p>
    <w:p w:rsidR="00000000" w:rsidDel="00000000" w:rsidP="00000000" w:rsidRDefault="00000000" w:rsidRPr="00000000" w14:paraId="0000029B">
      <w:pPr>
        <w:jc w:val="center"/>
        <w:rPr/>
      </w:pPr>
      <w:r w:rsidDel="00000000" w:rsidR="00000000" w:rsidRPr="00000000">
        <w:rPr>
          <w:rtl w:val="0"/>
        </w:rPr>
        <w:t xml:space="preserve">Figure 7: SOI of France (2013-2018)</w:t>
      </w:r>
      <w:r w:rsidDel="00000000" w:rsidR="00000000" w:rsidRPr="00000000">
        <w:rPr>
          <w:rtl w:val="0"/>
        </w:rPr>
      </w:r>
    </w:p>
    <w:p w:rsidR="00000000" w:rsidDel="00000000" w:rsidP="00000000" w:rsidRDefault="00000000" w:rsidRPr="00000000" w14:paraId="0000029C">
      <w:pPr>
        <w:jc w:val="center"/>
        <w:rPr>
          <w:sz w:val="22"/>
          <w:szCs w:val="2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For the 2019-2021 years, France has a strong presence in the Energy Drilling and Mining and Precious Stones industries, which helped France improve its growth as those are high-complexity industries. It also could consider Transportation and Machinery and Construction to improve its growth. France has seen a growth in GDP over those three years of 7.64%, with an average growth of 3.75%, compared to 0.8% for the average yearly growth for the five years prior. </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Higher than before, its adjusted R-squared value of 7.6% now</w:t>
      </w:r>
      <w:r w:rsidDel="00000000" w:rsidR="00000000" w:rsidRPr="00000000">
        <w:rPr>
          <w:rtl w:val="0"/>
        </w:rPr>
        <w:t xml:space="preserve"> </w:t>
      </w:r>
      <w:r w:rsidDel="00000000" w:rsidR="00000000" w:rsidRPr="00000000">
        <w:rPr>
          <w:rtl w:val="0"/>
        </w:rPr>
        <w:t xml:space="preserve">indicates a high correlation between GDP growth and the implemented development path. Progress is slow on a global scale during this period, but </w:t>
      </w:r>
      <w:r w:rsidDel="00000000" w:rsidR="00000000" w:rsidRPr="00000000">
        <w:rPr>
          <w:rtl w:val="0"/>
        </w:rPr>
        <w:t xml:space="preserve">France</w:t>
      </w:r>
      <w:r w:rsidDel="00000000" w:rsidR="00000000" w:rsidRPr="00000000">
        <w:rPr>
          <w:rtl w:val="0"/>
        </w:rPr>
        <w:t xml:space="preserve"> demonstrates a greater</w:t>
      </w:r>
      <w:r w:rsidDel="00000000" w:rsidR="00000000" w:rsidRPr="00000000">
        <w:rPr>
          <w:rtl w:val="0"/>
        </w:rPr>
        <w:t xml:space="preserve"> </w:t>
      </w:r>
      <w:r w:rsidDel="00000000" w:rsidR="00000000" w:rsidRPr="00000000">
        <w:rPr>
          <w:rtl w:val="0"/>
        </w:rPr>
        <w:t xml:space="preserve">ability to adjust to negative economic shocks by improving </w:t>
      </w:r>
      <w:r w:rsidDel="00000000" w:rsidR="00000000" w:rsidRPr="00000000">
        <w:rPr>
          <w:rtl w:val="0"/>
        </w:rPr>
        <w:t xml:space="preserve">SOI</w:t>
      </w:r>
      <w:r w:rsidDel="00000000" w:rsidR="00000000" w:rsidRPr="00000000">
        <w:rPr>
          <w:rtl w:val="0"/>
        </w:rPr>
        <w:t xml:space="preserve"> and increasing GDP growth than it did between 2013 and 2018.</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drawing>
          <wp:inline distB="114300" distT="114300" distL="114300" distR="114300">
            <wp:extent cx="5731200" cy="2298700"/>
            <wp:effectExtent b="0" l="0" r="0" t="0"/>
            <wp:docPr id="30"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center"/>
        <w:rPr>
          <w:sz w:val="22"/>
          <w:szCs w:val="22"/>
        </w:rPr>
      </w:pPr>
      <w:r w:rsidDel="00000000" w:rsidR="00000000" w:rsidRPr="00000000">
        <w:rPr>
          <w:sz w:val="22"/>
          <w:szCs w:val="22"/>
          <w:rtl w:val="0"/>
        </w:rPr>
        <w:t xml:space="preserve">Figure 10b. SOI of France (2019-2021)</w:t>
      </w:r>
    </w:p>
    <w:p w:rsidR="00000000" w:rsidDel="00000000" w:rsidP="00000000" w:rsidRDefault="00000000" w:rsidRPr="00000000" w14:paraId="000002A3">
      <w:pPr>
        <w:pageBreakBefore w:val="0"/>
        <w:jc w:val="both"/>
        <w:rPr>
          <w:b w:val="1"/>
          <w:bCs w:val="1"/>
        </w:rPr>
      </w:pPr>
      <w:r w:rsidDel="00000000" w:rsidR="00000000" w:rsidRPr="00000000">
        <w:rPr>
          <w:rtl w:val="0"/>
        </w:rPr>
      </w:r>
    </w:p>
    <w:p w:rsidR="00000000" w:rsidDel="00000000" w:rsidP="00000000" w:rsidRDefault="00000000" w:rsidRPr="00000000" w14:paraId="000002A4">
      <w:pPr>
        <w:pageBreakBefore w:val="0"/>
        <w:jc w:val="both"/>
        <w:rPr>
          <w:b w:val="1"/>
          <w:bCs w:val="1"/>
        </w:rPr>
      </w:pPr>
      <w:r w:rsidDel="00000000" w:rsidR="00000000" w:rsidRPr="00000000">
        <w:rPr>
          <w:rtl w:val="0"/>
        </w:rPr>
      </w:r>
    </w:p>
    <w:p w:rsidR="00000000" w:rsidDel="00000000" w:rsidP="00000000" w:rsidRDefault="00000000" w:rsidRPr="00000000" w14:paraId="000002A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A7">
      <w:pPr>
        <w:pageBreakBefore w:val="0"/>
        <w:jc w:val="both"/>
        <w:rPr/>
      </w:pPr>
      <w:r w:rsidDel="00000000" w:rsidR="00000000" w:rsidRPr="00000000">
        <w:rPr>
          <w:rtl w:val="0"/>
        </w:rPr>
      </w:r>
    </w:p>
    <w:p w:rsidR="00000000" w:rsidDel="00000000" w:rsidP="00000000" w:rsidRDefault="00000000" w:rsidRPr="00000000" w14:paraId="000002A8">
      <w:pPr>
        <w:pageBreakBefore w:val="0"/>
        <w:jc w:val="both"/>
        <w:rPr/>
      </w:pPr>
      <w:r w:rsidDel="00000000" w:rsidR="00000000" w:rsidRPr="00000000">
        <w:rPr>
          <w:rtl w:val="0"/>
        </w:rPr>
        <w:t xml:space="preserve">In conclusion, France has demonstrated a low level of economic growth in terms of annual GDP increase during the period from 2013 to 2018, concurrent with an increase in economic complexity as compared with other major developed economies. For 2019-2021, the growth in GDP has increased alongside a sharp decline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2A9">
      <w:pPr>
        <w:pageBreakBefore w:val="0"/>
        <w:jc w:val="both"/>
        <w:rPr/>
      </w:pPr>
      <w:r w:rsidDel="00000000" w:rsidR="00000000" w:rsidRPr="00000000">
        <w:rPr>
          <w:rtl w:val="0"/>
        </w:rPr>
      </w:r>
    </w:p>
    <w:p w:rsidR="00000000" w:rsidDel="00000000" w:rsidP="00000000" w:rsidRDefault="00000000" w:rsidRPr="00000000" w14:paraId="000002AA">
      <w:pPr>
        <w:pageBreakBefore w:val="0"/>
        <w:jc w:val="both"/>
        <w:rPr/>
      </w:pPr>
      <w:r w:rsidDel="00000000" w:rsidR="00000000" w:rsidRPr="00000000">
        <w:rPr>
          <w:rtl w:val="0"/>
        </w:rPr>
        <w:t xml:space="preserve">The lack of progress during the first period, we believe, can be partially explained through the analysis of the economic and product complexity structure of France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France regressed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Based on our analysis of the opportunity gain and a sensitivity analysis of major industry groups, France can further its gains by prioritizing Machinery and Construction, and Services and Utilities. We further note that France has a slightly mismatched development strategy that indicates a moderate level of structural optimality on the complexity level, having an adjusted R-square of around 4.1%. Since a significant positive correlation exists between five-year GDP growth and the structural optimality index of an economy as we define and calculate, France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AD">
      <w:pPr>
        <w:pageBreakBefore w:val="0"/>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During the second examined period from 2019 to 2021, France performed much better than before but was still roughly similar compared to other countries. France was consistently outperformed by the United States in particular out of all the developed countries. We infer that during the  COVID-19 period, France focused on developing </w:t>
      </w:r>
      <w:r w:rsidDel="00000000" w:rsidR="00000000" w:rsidRPr="00000000">
        <w:rPr>
          <w:rtl w:val="0"/>
        </w:rPr>
        <w:t xml:space="preserve">higher complexity industries despite a lower demand for these industries given the global economic downturn</w:t>
      </w:r>
      <w:r w:rsidDel="00000000" w:rsidR="00000000" w:rsidRPr="00000000">
        <w:rPr>
          <w:rtl w:val="0"/>
        </w:rPr>
        <w:t xml:space="preserve"> and decreased production capacities. We also note that </w:t>
      </w:r>
      <w:r w:rsidDel="00000000" w:rsidR="00000000" w:rsidRPr="00000000">
        <w:rPr>
          <w:rtl w:val="0"/>
        </w:rPr>
        <w:t xml:space="preserve">France</w:t>
      </w:r>
      <w:r w:rsidDel="00000000" w:rsidR="00000000" w:rsidRPr="00000000">
        <w:rPr>
          <w:rtl w:val="0"/>
        </w:rPr>
        <w:t xml:space="preserve"> has increased its investment in the sectors identified earlier, leading to a strong boost from High-complexity Products, leaving some room for strategic improvement. The ECI suggests that greater growth could have been achieved through High-complexity Products, followed by Transportation and Daily Instruments. The surprising growth also increased the adjusted R-squared value to 7.6% in 2021 from 4.1%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France</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 and ongoing economic expansion</w:t>
      </w:r>
      <w:r w:rsidDel="00000000" w:rsidR="00000000" w:rsidRPr="00000000">
        <w:rPr>
          <w:rtl w:val="0"/>
        </w:rPr>
        <w:t xml:space="preserve">.</w:t>
      </w:r>
    </w:p>
    <w:p w:rsidR="00000000" w:rsidDel="00000000" w:rsidP="00000000" w:rsidRDefault="00000000" w:rsidRPr="00000000" w14:paraId="000002AF">
      <w:pPr>
        <w:pageBreakBefore w:val="0"/>
        <w:jc w:val="both"/>
        <w:rPr/>
      </w:pPr>
      <w:r w:rsidDel="00000000" w:rsidR="00000000" w:rsidRPr="00000000">
        <w:rPr>
          <w:rtl w:val="0"/>
        </w:rPr>
      </w:r>
    </w:p>
    <w:p w:rsidR="00000000" w:rsidDel="00000000" w:rsidP="00000000" w:rsidRDefault="00000000" w:rsidRPr="00000000" w14:paraId="000002B0">
      <w:pPr>
        <w:pageBreakBefore w:val="0"/>
        <w:jc w:val="both"/>
        <w:rPr/>
      </w:pPr>
      <w:r w:rsidDel="00000000" w:rsidR="00000000" w:rsidRPr="00000000">
        <w:rPr>
          <w:rtl w:val="0"/>
        </w:rPr>
      </w:r>
    </w:p>
    <w:p w:rsidR="00000000" w:rsidDel="00000000" w:rsidP="00000000" w:rsidRDefault="00000000" w:rsidRPr="00000000" w14:paraId="000002B1">
      <w:pPr>
        <w:pageBreakBefore w:val="0"/>
        <w:jc w:val="both"/>
        <w:rPr/>
      </w:pPr>
      <w:r w:rsidDel="00000000" w:rsidR="00000000" w:rsidRPr="00000000">
        <w:rPr>
          <w:rtl w:val="0"/>
        </w:rPr>
      </w:r>
    </w:p>
    <w:p w:rsidR="00000000" w:rsidDel="00000000" w:rsidP="00000000" w:rsidRDefault="00000000" w:rsidRPr="00000000" w14:paraId="000002B2">
      <w:pPr>
        <w:pageBreakBefore w:val="0"/>
        <w:jc w:val="both"/>
        <w:rPr/>
      </w:pPr>
      <w:r w:rsidDel="00000000" w:rsidR="00000000" w:rsidRPr="00000000">
        <w:rPr>
          <w:rtl w:val="0"/>
        </w:rPr>
      </w:r>
    </w:p>
    <w:p w:rsidR="00000000" w:rsidDel="00000000" w:rsidP="00000000" w:rsidRDefault="00000000" w:rsidRPr="00000000" w14:paraId="000002B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B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B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B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B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B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C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C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C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C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C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C5">
      <w:pPr>
        <w:pageBreakBefore w:val="0"/>
        <w:jc w:val="both"/>
        <w:rPr/>
      </w:pPr>
      <w:r w:rsidDel="00000000" w:rsidR="00000000" w:rsidRPr="00000000">
        <w:rPr>
          <w:rtl w:val="0"/>
        </w:rPr>
      </w:r>
    </w:p>
    <w:sectPr>
      <w:headerReference r:id="rId39" w:type="default"/>
      <w:footerReference r:id="rId40" w:type="default"/>
      <w:footerReference r:id="rId41" w:type="first"/>
      <w:footerReference r:id="rId42"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4.png"/><Relationship Id="rId42" Type="http://schemas.openxmlformats.org/officeDocument/2006/relationships/footer" Target="footer1.xml"/><Relationship Id="rId41" Type="http://schemas.openxmlformats.org/officeDocument/2006/relationships/footer" Target="footer3.xml"/><Relationship Id="rId22" Type="http://schemas.openxmlformats.org/officeDocument/2006/relationships/image" Target="media/image11.jpg"/><Relationship Id="rId21" Type="http://schemas.openxmlformats.org/officeDocument/2006/relationships/image" Target="media/image17.png"/><Relationship Id="rId24" Type="http://schemas.openxmlformats.org/officeDocument/2006/relationships/image" Target="media/image2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7.png"/><Relationship Id="rId25" Type="http://schemas.openxmlformats.org/officeDocument/2006/relationships/image" Target="media/image13.jpg"/><Relationship Id="rId28" Type="http://schemas.openxmlformats.org/officeDocument/2006/relationships/image" Target="media/image30.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jpg"/><Relationship Id="rId7" Type="http://schemas.openxmlformats.org/officeDocument/2006/relationships/image" Target="media/image25.png"/><Relationship Id="rId8" Type="http://schemas.openxmlformats.org/officeDocument/2006/relationships/image" Target="media/image32.png"/><Relationship Id="rId31" Type="http://schemas.openxmlformats.org/officeDocument/2006/relationships/image" Target="media/image3.png"/><Relationship Id="rId30" Type="http://schemas.openxmlformats.org/officeDocument/2006/relationships/image" Target="media/image12.png"/><Relationship Id="rId11" Type="http://schemas.openxmlformats.org/officeDocument/2006/relationships/image" Target="media/image4.png"/><Relationship Id="rId33" Type="http://schemas.openxmlformats.org/officeDocument/2006/relationships/image" Target="media/image1.jpg"/><Relationship Id="rId10" Type="http://schemas.openxmlformats.org/officeDocument/2006/relationships/image" Target="media/image19.png"/><Relationship Id="rId32" Type="http://schemas.openxmlformats.org/officeDocument/2006/relationships/image" Target="media/image16.jpg"/><Relationship Id="rId13" Type="http://schemas.openxmlformats.org/officeDocument/2006/relationships/image" Target="media/image23.png"/><Relationship Id="rId35" Type="http://schemas.openxmlformats.org/officeDocument/2006/relationships/image" Target="media/image28.jpg"/><Relationship Id="rId12" Type="http://schemas.openxmlformats.org/officeDocument/2006/relationships/image" Target="media/image27.png"/><Relationship Id="rId34" Type="http://schemas.openxmlformats.org/officeDocument/2006/relationships/image" Target="media/image10.jpg"/><Relationship Id="rId15" Type="http://schemas.openxmlformats.org/officeDocument/2006/relationships/image" Target="media/image31.jpg"/><Relationship Id="rId37" Type="http://schemas.openxmlformats.org/officeDocument/2006/relationships/image" Target="media/image29.png"/><Relationship Id="rId14" Type="http://schemas.openxmlformats.org/officeDocument/2006/relationships/image" Target="media/image18.jpg"/><Relationship Id="rId36" Type="http://schemas.openxmlformats.org/officeDocument/2006/relationships/image" Target="media/image21.png"/><Relationship Id="rId17" Type="http://schemas.openxmlformats.org/officeDocument/2006/relationships/image" Target="media/image20.jpg"/><Relationship Id="rId39" Type="http://schemas.openxmlformats.org/officeDocument/2006/relationships/header" Target="header1.xml"/><Relationship Id="rId16" Type="http://schemas.openxmlformats.org/officeDocument/2006/relationships/image" Target="media/image33.png"/><Relationship Id="rId38" Type="http://schemas.openxmlformats.org/officeDocument/2006/relationships/image" Target="media/image22.png"/><Relationship Id="rId19" Type="http://schemas.openxmlformats.org/officeDocument/2006/relationships/image" Target="media/image26.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