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b w:val="1"/>
          <w:bCs w:val="1"/>
          <w:color w:val="695d46"/>
          <w:sz w:val="18"/>
          <w:szCs w:val="18"/>
        </w:rPr>
      </w:pPr>
      <w:bookmarkStart w:colFirst="0" w:colLast="0" w:name="_z6ne0og04bp5" w:id="0"/>
      <w:bookmarkEnd w:id="0"/>
      <w:r w:rsidDel="00000000" w:rsidR="00000000" w:rsidRPr="00000000">
        <w:rPr>
          <w:rFonts w:ascii="Open Sans" w:cs="Open Sans" w:eastAsia="Open Sans" w:hAnsi="Open Sans"/>
          <w:color w:val="695d46"/>
          <w:sz w:val="20"/>
          <w:szCs w:val="20"/>
        </w:rPr>
        <w:drawing>
          <wp:inline distB="114300" distT="114300" distL="114300" distR="114300">
            <wp:extent cx="5731200" cy="101600"/>
            <wp:effectExtent b="0" l="0" r="0" t="0"/>
            <wp:docPr descr="horizontal line" id="22" name="image9.png"/>
            <a:graphic>
              <a:graphicData uri="http://schemas.openxmlformats.org/drawingml/2006/picture">
                <pic:pic>
                  <pic:nvPicPr>
                    <pic:cNvPr descr="horizontal line" id="0" name="image9.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18"/>
          <w:szCs w:val="18"/>
        </w:rPr>
        <w:drawing>
          <wp:inline distB="114300" distT="114300" distL="114300" distR="114300">
            <wp:extent cx="5731200" cy="4000500"/>
            <wp:effectExtent b="0" l="0" r="0" t="0"/>
            <wp:docPr id="1" name="image23.png"/>
            <a:graphic>
              <a:graphicData uri="http://schemas.openxmlformats.org/drawingml/2006/picture">
                <pic:pic>
                  <pic:nvPicPr>
                    <pic:cNvPr id="0" name="image23.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2"/>
          <w:szCs w:val="12"/>
          <w:rtl w:val="0"/>
        </w:rPr>
        <w:t xml:space="preserve"> https://atlas.cid.harvard.edu/</w:t>
      </w:r>
    </w:p>
    <w:p w:rsidR="00000000" w:rsidDel="00000000" w:rsidP="00000000" w:rsidRDefault="00000000" w:rsidRPr="00000000" w14:paraId="00000003">
      <w:pPr>
        <w:pStyle w:val="Title"/>
        <w:keepNext w:val="0"/>
        <w:keepLines w:val="0"/>
        <w:pageBreakBefore w:val="0"/>
        <w:spacing w:after="0" w:before="320" w:line="240" w:lineRule="auto"/>
        <w:rPr>
          <w:rFonts w:ascii="PT Sans Narrow" w:cs="PT Sans Narrow" w:eastAsia="PT Sans Narrow" w:hAnsi="PT Sans Narrow"/>
          <w:b w:val="1"/>
          <w:bCs w:val="1"/>
          <w:color w:val="666666"/>
          <w:sz w:val="56"/>
          <w:szCs w:val="56"/>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56"/>
          <w:szCs w:val="56"/>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spacing w:after="0" w:before="320" w:line="240" w:lineRule="auto"/>
        <w:rPr>
          <w:rFonts w:ascii="PT Sans Narrow" w:cs="PT Sans Narrow" w:eastAsia="PT Sans Narrow" w:hAnsi="PT Sans Narrow"/>
          <w:b w:val="1"/>
          <w:bCs w:val="1"/>
          <w:sz w:val="56"/>
          <w:szCs w:val="56"/>
        </w:rPr>
      </w:pPr>
      <w:bookmarkStart w:colFirst="0" w:colLast="0" w:name="_q5cok54tx0k8" w:id="2"/>
      <w:bookmarkEnd w:id="2"/>
      <w:r w:rsidDel="00000000" w:rsidR="00000000" w:rsidRPr="00000000">
        <w:rPr>
          <w:rFonts w:ascii="PT Sans Narrow" w:cs="PT Sans Narrow" w:eastAsia="PT Sans Narrow" w:hAnsi="PT Sans Narrow"/>
          <w:b w:val="1"/>
          <w:bCs w:val="1"/>
          <w:sz w:val="56"/>
          <w:szCs w:val="56"/>
          <w:rtl w:val="0"/>
        </w:rPr>
        <w:t xml:space="preserve">Greece</w:t>
      </w: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18"/>
          <w:szCs w:val="18"/>
        </w:rPr>
      </w:pPr>
      <w:r w:rsidDel="00000000" w:rsidR="00000000" w:rsidRPr="00000000">
        <w:rPr>
          <w:rFonts w:ascii="Arial Unicode MS" w:cs="Arial Unicode MS" w:eastAsia="Arial Unicode MS" w:hAnsi="Arial Unicode MS"/>
          <w:b w:val="1"/>
          <w:bCs w:val="1"/>
          <w:sz w:val="32"/>
          <w:szCs w:val="32"/>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240" w:lineRule="auto"/>
        <w:rPr>
          <w:rFonts w:ascii="PT Sans Narrow" w:cs="PT Sans Narrow" w:eastAsia="PT Sans Narrow" w:hAnsi="PT Sans Narrow"/>
          <w:color w:val="008575"/>
          <w:sz w:val="28"/>
          <w:szCs w:val="28"/>
        </w:rPr>
      </w:pPr>
      <w:r w:rsidDel="00000000" w:rsidR="00000000" w:rsidRPr="00000000">
        <w:rPr>
          <w:rFonts w:ascii="PT Sans Narrow" w:cs="PT Sans Narrow" w:eastAsia="PT Sans Narrow" w:hAnsi="PT Sans Narrow"/>
          <w:color w:val="008575"/>
          <w:sz w:val="28"/>
          <w:szCs w:val="28"/>
          <w:rtl w:val="0"/>
        </w:rPr>
        <w:t xml:space="preserve">The Economic Complexity Lab - Columbia University</w:t>
      </w:r>
    </w:p>
    <w:p w:rsidR="00000000" w:rsidDel="00000000" w:rsidP="00000000" w:rsidRDefault="00000000" w:rsidRPr="00000000" w14:paraId="00000008">
      <w:pPr>
        <w:pageBreakBefore w:val="0"/>
        <w:spacing w:line="240" w:lineRule="auto"/>
        <w:rPr>
          <w:rFonts w:ascii="Times New Roman" w:cs="Times New Roman" w:eastAsia="Times New Roman" w:hAnsi="Times New Roman"/>
          <w:sz w:val="18"/>
          <w:szCs w:val="18"/>
        </w:rPr>
      </w:pPr>
      <w:r w:rsidDel="00000000" w:rsidR="00000000" w:rsidRPr="00000000">
        <w:rPr>
          <w:rFonts w:ascii="PT Sans Narrow" w:cs="PT Sans Narrow" w:eastAsia="PT Sans Narrow" w:hAnsi="PT Sans Narrow"/>
          <w:sz w:val="28"/>
          <w:szCs w:val="28"/>
          <w:rtl w:val="0"/>
        </w:rPr>
        <w:t xml:space="preserve">Alexandra Garcia, Margarita Demkina, Kelly Mi, Allison Lin, Helena Yang, Jane Zhang, Daniel Xu, Ryo Shibata, </w:t>
      </w:r>
      <w:r w:rsidDel="00000000" w:rsidR="00000000" w:rsidRPr="00000000">
        <w:rPr>
          <w:rFonts w:ascii="PT Sans Narrow" w:cs="PT Sans Narrow" w:eastAsia="PT Sans Narrow" w:hAnsi="PT Sans Narrow"/>
          <w:sz w:val="18"/>
          <w:szCs w:val="18"/>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Greece</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Greece went through during the period from 2013 to 2018. Specifically, we dive into the topic through a macroeconomic overview of Greece from the perspective of Gross Domestic Product (GDP) and Economic Complexity Index (ECI), which reflect countries’ production capability and production structure, respectively. We find that during the period of our interest, Greece demonstrated a low level of economic growth with an annual GDP growth rate of -1.7%, concurrent with a decrease in economic complexity as compared with other major economies in Europe. Inversing the pattern, average annual GDP growth increased to 2.19% between 2019 to 2021, similarly to other major economies, but economic complexity increased, diverging from the pattern observed for other major economies.</w:t>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Greece on the industry group level. The product classification system we adopt allows us to measure the realized industry development for various industry groups and to observe that Greece invested heavily in developing </w:t>
        <w:tab/>
        <w:t xml:space="preserve">Chemical Manufacturing, Precious Stones and Metals during the 2013-2018 period, while its emerging peers and developed economies around the globe have adopted much more complex and progressive paths. The three years following showed a significant improvement in Greece’s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for 2013-2018, Greece could further its gains by prioritizing Chemicals, Services and Utilities. We further note that Greece has a slightly mismatched development strategy that indicates an increasingly high level of structural optimality on the complexity level, having an adjusted R-square of around -1.3% in 2018 and 21.54% in 2021. Since a significant positive correlation exists between five-year GDP growth and the structural optimality index of an economy as we define and calculate, Greece indeed has a improved its growth experience as compared with fast-growing economies both on a regional scale and on a global scale, but has the potential to further its economic gains through industrial structure optimization as suggested in the paper.</w:t>
      </w:r>
    </w:p>
    <w:p w:rsidR="00000000" w:rsidDel="00000000" w:rsidP="00000000" w:rsidRDefault="00000000" w:rsidRPr="00000000" w14:paraId="00000012">
      <w:pPr>
        <w:pageBreakBefore w:val="0"/>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Greece went through during the period from 2013 to 2018, and the impact of COVID-19 on its economic development as observed in 2021. Specifically, we dive into the topic through a macroeconomic overview of Greece from the perspective of Gross Domestic Product (GDP) and Economic Complexity Index (ECI), which reflect countries’ production capability and production structure, respectively. We then analyze the industrial framework and changes of Greece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Greece,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50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largest economy in the world by GDP, Greece has a GDP of 212 billion USD in 2018 and 216 billion USD in 2021, exhibiting a slightly increasing level of economic output that counters the pattern observed in 2013-2018. Figure 1a illustrates the time-series GDP results for world’s leading European economies from 1999-2018, and Greece ranks among its counterparts as a stable player. During the period from 2013 to 2018, Greece exhibited an average annual GDP growth rate -1.7%. This rate is clearly below the annual growth rate of the group of major European economies in the world, which have a geometric average growth rate of 0.6% and an arithmetic average growth rate of 0.9%. The stagnated economic growth in Greece during the 2013-2018 period, we believe, can be reflected through consistent ECI and PCI, and can be further explained by a suboptimal set of production strategies Greece adopted during the period, which we will expand at the later stage of the report.</w:t>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1b illustrates the time-series GDP results in 2019-2021. Similar to peer countries, Greece displayed slight upward growth over the period, despite a minor observed decrease in GDP in 2020 due to the economic implications of COVID-19. Yet, it displayed a significant overall increase of 3.89% in average annual growth rate, up to 2.19%.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26568" cy="1728788"/>
            <wp:effectExtent b="12700" l="12700" r="12700" t="12700"/>
            <wp:docPr id="4"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2826568" cy="172878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971800" cy="1885950"/>
            <wp:effectExtent b="0" l="0" r="0" t="0"/>
            <wp:docPr id="26" name="image17.png"/>
            <a:graphic>
              <a:graphicData uri="http://schemas.openxmlformats.org/drawingml/2006/picture">
                <pic:pic>
                  <pic:nvPicPr>
                    <pic:cNvPr id="0" name="image17.png"/>
                    <pic:cNvPicPr preferRelativeResize="0"/>
                  </pic:nvPicPr>
                  <pic:blipFill>
                    <a:blip r:embed="rId9"/>
                    <a:srcRect b="2852" l="7143" r="0" t="3021"/>
                    <a:stretch>
                      <a:fillRect/>
                    </a:stretch>
                  </pic:blipFill>
                  <pic:spPr>
                    <a:xfrm>
                      <a:off x="0" y="0"/>
                      <a:ext cx="29718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Figures 1a and 1b. GDP Comparison Among Peer Countries (left: 1999-2018; right: 2019-2021)</w:t>
      </w:r>
      <w:r w:rsidDel="00000000" w:rsidR="00000000" w:rsidRPr="00000000">
        <w:rPr>
          <w:rtl w:val="0"/>
        </w:rPr>
      </w:r>
    </w:p>
    <w:p w:rsidR="00000000" w:rsidDel="00000000" w:rsidP="00000000" w:rsidRDefault="00000000" w:rsidRPr="00000000" w14:paraId="0000002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Greece. As illustrated in Figure 2a below, Greece exhibits a stably low level in terms of its production capability from 2013 to 2018. This is in direct contrast to countries such as France, which demonstrates overwhelming advantage over Greece in terms of both ECI and GDP growth during this period, though Greece’s peers showed mixed performance in ECI. In Figure 2b, for the period 2019-2021, the pattern is reversed: Greece exhibits the only positive ECI change and attains a higher ECI than all of its peers.</w:t>
      </w:r>
    </w:p>
    <w:p w:rsidR="00000000" w:rsidDel="00000000" w:rsidP="00000000" w:rsidRDefault="00000000" w:rsidRPr="00000000" w14:paraId="0000002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4801" cy="1824038"/>
            <wp:effectExtent b="12700" l="12700" r="12700" t="12700"/>
            <wp:docPr id="16" name="image27.png"/>
            <a:graphic>
              <a:graphicData uri="http://schemas.openxmlformats.org/drawingml/2006/picture">
                <pic:pic>
                  <pic:nvPicPr>
                    <pic:cNvPr id="0" name="image27.png"/>
                    <pic:cNvPicPr preferRelativeResize="0"/>
                  </pic:nvPicPr>
                  <pic:blipFill>
                    <a:blip r:embed="rId10"/>
                    <a:srcRect b="0" l="0" r="6818" t="0"/>
                    <a:stretch>
                      <a:fillRect/>
                    </a:stretch>
                  </pic:blipFill>
                  <pic:spPr>
                    <a:xfrm>
                      <a:off x="0" y="0"/>
                      <a:ext cx="2804801" cy="182403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67038" cy="1978025"/>
            <wp:effectExtent b="0" l="0" r="0" t="0"/>
            <wp:docPr id="25" name="image11.png"/>
            <a:graphic>
              <a:graphicData uri="http://schemas.openxmlformats.org/drawingml/2006/picture">
                <pic:pic>
                  <pic:nvPicPr>
                    <pic:cNvPr id="0" name="image11.png"/>
                    <pic:cNvPicPr preferRelativeResize="0"/>
                  </pic:nvPicPr>
                  <pic:blipFill>
                    <a:blip r:embed="rId11"/>
                    <a:srcRect b="2817" l="5459" r="4367" t="0"/>
                    <a:stretch>
                      <a:fillRect/>
                    </a:stretch>
                  </pic:blipFill>
                  <pic:spPr>
                    <a:xfrm>
                      <a:off x="0" y="0"/>
                      <a:ext cx="2967038" cy="19780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Figures 2a and 2b. ECI Comparison Among Peer Countries (left: 2013-2018; right: 2019-2021)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 3a and 3b offer a further comparison of GDP and ECI over the time span from 2013-2018 and 2019-2021 for Greece, respectively. The stagnancy in GDP during the period from 2013 to 2018 is accompanied by a stagnancy in ECI, indicating the potential that the mild economic growth experienced by Greece during this period might be attributed to its slow-growing ECI, or the ineffectiveness of the country in developing a competitive product space that helps to accumulate complicated knowledge and technology.  For the period 2019 to 2021, however, both Greece’s ECI and GDP increased, which can be interpreted as advancements in production. In order to provide a more concrete answer to why this has happened, we will dive into an analysis of Greece’s production structure and its product space designs in the next few chapters. </w:t>
      </w:r>
    </w:p>
    <w:p w:rsidR="00000000" w:rsidDel="00000000" w:rsidP="00000000" w:rsidRDefault="00000000" w:rsidRPr="00000000" w14:paraId="0000002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79295" cy="1833563"/>
            <wp:effectExtent b="12700" l="12700" r="12700" t="12700"/>
            <wp:docPr id="1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779295" cy="1833563"/>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057525" cy="1914525"/>
            <wp:effectExtent b="0" l="0" r="0" t="0"/>
            <wp:docPr id="20" name="image20.png"/>
            <a:graphic>
              <a:graphicData uri="http://schemas.openxmlformats.org/drawingml/2006/picture">
                <pic:pic>
                  <pic:nvPicPr>
                    <pic:cNvPr id="0" name="image20.png"/>
                    <pic:cNvPicPr preferRelativeResize="0"/>
                  </pic:nvPicPr>
                  <pic:blipFill>
                    <a:blip r:embed="rId13"/>
                    <a:srcRect b="0" l="3226" r="2639" t="2899"/>
                    <a:stretch>
                      <a:fillRect/>
                    </a:stretch>
                  </pic:blipFill>
                  <pic:spPr>
                    <a:xfrm>
                      <a:off x="0" y="0"/>
                      <a:ext cx="30575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Figures 3a and 3b. ECI Comparison Among Peer Countries (left: 2013-2018; right: 2019-2021)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0">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46">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52">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5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5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6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3">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64">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65">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6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6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A">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B">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C">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E">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7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7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7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7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7">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78">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9">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A">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E">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F">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80">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8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82">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8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8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8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8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88">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Greece’s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Greece and the 18 product groups in 2013-2018 and 2019-2021 through subtraction, where a positive RID indicates a shortening of the distance (i.e., advancement of the industry), and a negative RID indicates the reverse. As ranked in Table 2, during both 2013-2018 and 2019-2021 periods, Greece focused on products with a moderate level of complexity and those requiring intermediate skills. </w:t>
      </w:r>
    </w:p>
    <w:p w:rsidR="00000000" w:rsidDel="00000000" w:rsidP="00000000" w:rsidRDefault="00000000" w:rsidRPr="00000000" w14:paraId="0000008D">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9975" cy="3581400"/>
            <wp:effectExtent b="0" l="0" r="0" t="0"/>
            <wp:docPr id="29" name="image24.png"/>
            <a:graphic>
              <a:graphicData uri="http://schemas.openxmlformats.org/drawingml/2006/picture">
                <pic:pic>
                  <pic:nvPicPr>
                    <pic:cNvPr id="0" name="image24.png"/>
                    <pic:cNvPicPr preferRelativeResize="0"/>
                  </pic:nvPicPr>
                  <pic:blipFill>
                    <a:blip r:embed="rId14"/>
                    <a:srcRect b="0" l="1302" r="0" t="0"/>
                    <a:stretch>
                      <a:fillRect/>
                    </a:stretch>
                  </pic:blipFill>
                  <pic:spPr>
                    <a:xfrm>
                      <a:off x="0" y="0"/>
                      <a:ext cx="360997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Greece (left: 2018; right: 2021)</w:t>
      </w:r>
    </w:p>
    <w:p w:rsidR="00000000" w:rsidDel="00000000" w:rsidP="00000000" w:rsidRDefault="00000000" w:rsidRPr="00000000" w14:paraId="0000009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9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Greece compares with leading economies and a selected group of emerging economies in the world, as measured in RID. It can be directly observed that Greece focused on products with a lower complexity level,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9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9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09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w:t>
            </w:r>
          </w:p>
        </w:tc>
        <w:tc>
          <w:tcPr/>
          <w:p w:rsidR="00000000" w:rsidDel="00000000" w:rsidP="00000000" w:rsidRDefault="00000000" w:rsidRPr="00000000" w14:paraId="0000009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098">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9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9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09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9C">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9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9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09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A0">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A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A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0A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0A4">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A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0A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0A8">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A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0A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0A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0AE">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B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0B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0B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0B3">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B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B7">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B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0B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BB">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B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0BF">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C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0C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C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0C3">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C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C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C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0C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0C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Table 4 further examines Greece’s development strategy against those of emerging economies on a global scale. Reasonably, emerging economies such as China, South Korea, Singapore and India have devoted the majority of their efforts into intermediate industry groups while developed economies such as Greece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Greece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D">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E">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0C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 are often in better shape.</w:t>
      </w:r>
    </w:p>
    <w:p w:rsidR="00000000" w:rsidDel="00000000" w:rsidP="00000000" w:rsidRDefault="00000000" w:rsidRPr="00000000" w14:paraId="000000D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and 6 summarize how the SDV of Greece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Greece shares the characters of developing countries, with a balanced economics structure that leans towards intermediate-level industries.</w:t>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76900" cy="2828925"/>
            <wp:effectExtent b="0" l="0" r="0" t="0"/>
            <wp:docPr id="14" name="image22.jpg"/>
            <a:graphic>
              <a:graphicData uri="http://schemas.openxmlformats.org/drawingml/2006/picture">
                <pic:pic>
                  <pic:nvPicPr>
                    <pic:cNvPr id="0" name="image22.jpg"/>
                    <pic:cNvPicPr preferRelativeResize="0"/>
                  </pic:nvPicPr>
                  <pic:blipFill>
                    <a:blip r:embed="rId15"/>
                    <a:srcRect b="0" l="0" r="0" t="0"/>
                    <a:stretch>
                      <a:fillRect/>
                    </a:stretch>
                  </pic:blipFill>
                  <pic:spPr>
                    <a:xfrm>
                      <a:off x="0" y="0"/>
                      <a:ext cx="56769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5a. Opportunity Gain Ranking on a Comparable Scale (2013)</w:t>
      </w:r>
    </w:p>
    <w:p w:rsidR="00000000" w:rsidDel="00000000" w:rsidP="00000000" w:rsidRDefault="00000000" w:rsidRPr="00000000" w14:paraId="000000D5">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3048000"/>
            <wp:effectExtent b="0" l="0" r="0" t="0"/>
            <wp:docPr id="21" name="image29.jpg"/>
            <a:graphic>
              <a:graphicData uri="http://schemas.openxmlformats.org/drawingml/2006/picture">
                <pic:pic>
                  <pic:nvPicPr>
                    <pic:cNvPr id="0" name="image29.jpg"/>
                    <pic:cNvPicPr preferRelativeResize="0"/>
                  </pic:nvPicPr>
                  <pic:blipFill>
                    <a:blip r:embed="rId16"/>
                    <a:srcRect b="0" l="0" r="0" t="0"/>
                    <a:stretch>
                      <a:fillRect/>
                    </a:stretch>
                  </pic:blipFill>
                  <pic:spPr>
                    <a:xfrm>
                      <a:off x="0" y="0"/>
                      <a:ext cx="56292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5b. Opportunity Gain Ranking on a Comparable Scale (2018)</w:t>
      </w:r>
    </w:p>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1"/>
        </w:trPr>
        <w:tc>
          <w:tcPr>
            <w:tcBorders>
              <w:top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0DA">
            <w:pPr>
              <w:widowControl w:val="0"/>
              <w:ind w:right="-75"/>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Ranking</w:t>
            </w:r>
          </w:p>
        </w:tc>
        <w:tc>
          <w:tcPr>
            <w:tcBorders>
              <w:top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0DB">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Spain</w:t>
            </w:r>
          </w:p>
        </w:tc>
        <w:tc>
          <w:tcPr>
            <w:tcBorders>
              <w:top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0DC">
            <w:pPr>
              <w:widowControl w:val="0"/>
              <w:ind w:right="-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Portugal</w:t>
            </w:r>
          </w:p>
        </w:tc>
        <w:tc>
          <w:tcPr>
            <w:tcBorders>
              <w:top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0DD">
            <w:pPr>
              <w:widowControl w:val="0"/>
              <w:ind w:right="-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Greece</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DE">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1</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DF">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Energy Drilling and Mining</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E0">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Energy Drilling and Mining</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E1">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Precious Stones</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E2">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2</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E3">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Textile</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E4">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Precious Stones</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E5">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Clothing and Accessories</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E6">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3</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E7">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Precious Stones</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E8">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Weapons</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E9">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Wood Products</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EA">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4</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EB">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Wood Products</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EC">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Services and Utilities</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ED">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Weapons</w:t>
            </w:r>
          </w:p>
        </w:tc>
      </w:tr>
      <w:tr>
        <w:trPr>
          <w:cantSplit w:val="0"/>
          <w:trHeight w:val="195" w:hRule="atLeast"/>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EE">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5</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EF">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Weapons</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F0">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Chemicals</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F1">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Transportation</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2">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6</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0F3">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Animals and By-products</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F4">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High-complexity Products</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F5">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Services and Utilities</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6">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7</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0F7">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F8">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Chemical Manufacturing</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F9">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Chemicals</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A">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8</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0FB">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Food and Preparations</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FC">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Transportation</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0FD">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Raw Manufacturing</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E">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9</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0FF">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Chemical Manufacturing</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100">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Daily Instruments</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101">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Daily Instruments</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2">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10</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03">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Raw Manufacturing</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04">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Animals and By-products</w:t>
            </w:r>
          </w:p>
        </w:tc>
        <w:tc>
          <w:tcPr>
            <w:tcBorders>
              <w:top w:color="000000" w:space="0" w:sz="0" w:val="nil"/>
              <w:left w:color="000000" w:space="0" w:sz="0" w:val="nil"/>
              <w:bottom w:color="000000" w:space="0" w:sz="0" w:val="nil"/>
              <w:right w:color="000000" w:space="0" w:sz="0" w:val="nil"/>
            </w:tcBorders>
            <w:shd w:fill="9acbff" w:val="clear"/>
            <w:tcMar>
              <w:top w:w="20.0" w:type="dxa"/>
              <w:left w:w="20.0" w:type="dxa"/>
              <w:bottom w:w="100.0" w:type="dxa"/>
              <w:right w:w="20.0" w:type="dxa"/>
            </w:tcMar>
            <w:vAlign w:val="bottom"/>
          </w:tcPr>
          <w:p w:rsidR="00000000" w:rsidDel="00000000" w:rsidP="00000000" w:rsidRDefault="00000000" w:rsidRPr="00000000" w14:paraId="00000105">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High-complexity Products</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6">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11</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07">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Clothing and Accessories</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08">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09">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Animals and By-products</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A">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12</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0B">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Metals</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0C">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Food and Preparations</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0D">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Vegetables, Fruits and Plants</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E">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13</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0F">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Machinery and Construction</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0">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Raw Manufacturing</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1">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Food and Preparations</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2">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14</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3">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High-complexity Products</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4">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Wood Products</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5">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Energy Drilling and Mining</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6">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15</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7">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Services and Utilities</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8">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Clothing and Accessories</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9">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Chemical Manufacturing</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A">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16</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1B">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Chemicals</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C">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Textile</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D">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Textile</w:t>
            </w:r>
          </w:p>
        </w:tc>
      </w:tr>
      <w:tr>
        <w:trPr>
          <w:cantSplit w:val="0"/>
          <w:tblHeader w:val="1"/>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E">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17</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1F">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Daily Instruments</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20">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Metals</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21">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Metals</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22">
            <w:pPr>
              <w:widowControl w:val="0"/>
              <w:ind w:right="-75"/>
              <w:jc w:val="center"/>
              <w:rPr>
                <w:rFonts w:ascii="Times New Roman" w:cs="Times New Roman" w:eastAsia="Times New Roman" w:hAnsi="Times New Roman"/>
                <w:color w:val="7b7b7b"/>
                <w:sz w:val="16"/>
                <w:szCs w:val="16"/>
              </w:rPr>
            </w:pPr>
            <w:r w:rsidDel="00000000" w:rsidR="00000000" w:rsidRPr="00000000">
              <w:rPr>
                <w:rFonts w:ascii="Times New Roman" w:cs="Times New Roman" w:eastAsia="Times New Roman" w:hAnsi="Times New Roman"/>
                <w:color w:val="7b7b7b"/>
                <w:sz w:val="16"/>
                <w:szCs w:val="16"/>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23">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Transportation</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24">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Machinery and Construction</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25">
            <w:pPr>
              <w:widowControl w:val="0"/>
              <w:ind w:left="180" w:right="-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Machinery and Construction</w:t>
            </w:r>
          </w:p>
        </w:tc>
      </w:tr>
      <w:tr>
        <w:trPr>
          <w:cantSplit w:val="0"/>
          <w:trHeight w:val="285" w:hRule="atLeast"/>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26">
            <w:pPr>
              <w:widowControl w:val="0"/>
              <w:ind w:right="-75"/>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ECI</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27">
            <w:pPr>
              <w:widowControl w:val="0"/>
              <w:ind w:left="180" w:right="-7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212121"/>
                <w:sz w:val="18"/>
                <w:szCs w:val="18"/>
                <w:highlight w:val="white"/>
                <w:rtl w:val="0"/>
              </w:rPr>
              <w:t xml:space="preserve">-0.5616917471435152</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28">
            <w:pPr>
              <w:widowControl w:val="0"/>
              <w:ind w:right="-7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12121"/>
                <w:sz w:val="18"/>
                <w:szCs w:val="18"/>
                <w:highlight w:val="white"/>
                <w:rtl w:val="0"/>
              </w:rPr>
              <w:t xml:space="preserve">-0.045259336646675585</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29">
            <w:pPr>
              <w:widowControl w:val="0"/>
              <w:ind w:right="-7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12121"/>
                <w:sz w:val="18"/>
                <w:szCs w:val="18"/>
                <w:highlight w:val="white"/>
                <w:rtl w:val="0"/>
              </w:rPr>
              <w:t xml:space="preserve">0.23035793848767286</w:t>
            </w:r>
            <w:r w:rsidDel="00000000" w:rsidR="00000000" w:rsidRPr="00000000">
              <w:rPr>
                <w:rtl w:val="0"/>
              </w:rPr>
            </w:r>
          </w:p>
        </w:tc>
      </w:tr>
    </w:tbl>
    <w:p w:rsidR="00000000" w:rsidDel="00000000" w:rsidP="00000000" w:rsidRDefault="00000000" w:rsidRPr="00000000" w14:paraId="000001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5c. Opportunity Gain Ranking on a Comparable Scale (2021)</w:t>
      </w:r>
      <w:r w:rsidDel="00000000" w:rsidR="00000000" w:rsidRPr="00000000">
        <w:rPr>
          <w:rtl w:val="0"/>
        </w:rPr>
      </w:r>
    </w:p>
    <w:p w:rsidR="00000000" w:rsidDel="00000000" w:rsidP="00000000" w:rsidRDefault="00000000" w:rsidRPr="00000000" w14:paraId="0000012B">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57400"/>
            <wp:effectExtent b="0" l="0" r="0" t="0"/>
            <wp:docPr id="31" name="image28.jpg"/>
            <a:graphic>
              <a:graphicData uri="http://schemas.openxmlformats.org/drawingml/2006/picture">
                <pic:pic>
                  <pic:nvPicPr>
                    <pic:cNvPr id="0" name="image28.jpg"/>
                    <pic:cNvPicPr preferRelativeResize="0"/>
                  </pic:nvPicPr>
                  <pic:blipFill>
                    <a:blip r:embed="rId17"/>
                    <a:srcRect b="0" l="0" r="0" t="0"/>
                    <a:stretch>
                      <a:fillRect/>
                    </a:stretch>
                  </pic:blipFill>
                  <pic:spPr>
                    <a:xfrm>
                      <a:off x="0" y="0"/>
                      <a:ext cx="57340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6. SDV of Other Sample Countries (2018)</w:t>
      </w:r>
      <w:r w:rsidDel="00000000" w:rsidR="00000000" w:rsidRPr="00000000">
        <w:rPr>
          <w:rtl w:val="0"/>
        </w:rPr>
      </w:r>
    </w:p>
    <w:p w:rsidR="00000000" w:rsidDel="00000000" w:rsidP="00000000" w:rsidRDefault="00000000" w:rsidRPr="00000000" w14:paraId="0000012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3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3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13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3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3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14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144">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Panel</w:t>
      </w:r>
    </w:p>
    <w:p w:rsidR="00000000" w:rsidDel="00000000" w:rsidP="00000000" w:rsidRDefault="00000000" w:rsidRPr="00000000" w14:paraId="0000014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above, the enhanced greedy algorithm is developed mainly for solving the optimal allocation strategy. In order to visualize this allocation, an economic panel is created, consisting of a pie chart, a line chart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4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14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1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4B">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C">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D">
            <w:pPr>
              <w:spacing w:line="24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E">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F">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0">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1">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2">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3">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4">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5">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6">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7">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8">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9">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A">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B">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C">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D">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E">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F">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0">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1">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2">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3">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4">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5">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6">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7">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8">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9">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A">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B">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C">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D">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E">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F">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0">
            <w:pPr>
              <w:widowControl w:val="0"/>
              <w:jc w:val="center"/>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1">
            <w:pPr>
              <w:widowControl w:val="0"/>
              <w:rPr>
                <w:rFonts w:ascii="Times New Roman" w:cs="Times New Roman" w:eastAsia="Times New Roman" w:hAnsi="Times New Roman"/>
                <w:color w:val="7b7b7b"/>
                <w:sz w:val="24"/>
                <w:szCs w:val="24"/>
              </w:rPr>
            </w:pPr>
            <w:r w:rsidDel="00000000" w:rsidR="00000000" w:rsidRPr="00000000">
              <w:rPr>
                <w:rFonts w:ascii="Times New Roman" w:cs="Times New Roman" w:eastAsia="Times New Roman" w:hAnsi="Times New Roman"/>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7. Products Labeling</w:t>
      </w:r>
    </w:p>
    <w:p w:rsidR="00000000" w:rsidDel="00000000" w:rsidP="00000000" w:rsidRDefault="00000000" w:rsidRPr="00000000" w14:paraId="0000017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 4a-4c show an economic panel for Greece in 2013, 2018, and 2021. We can see that for different percentages of heuristic total export growth, the ECIs of Greece actually have different increments. From the four line graphs, in all years in question, we see that Greece already obtains some great increment in terms of ECI. Most importantly, the higher the budget is, the greater the ECI will be. This means that in both short term and long term, Greece still has great room to improve. </w:t>
      </w:r>
    </w:p>
    <w:p w:rsidR="00000000" w:rsidDel="00000000" w:rsidP="00000000" w:rsidRDefault="00000000" w:rsidRPr="00000000" w14:paraId="000001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2013, in the case of 5 percent export growth, Clothing &amp; Accessories and Chemicals are the main components. In this case, ECI has already increased so much that it is relatively easy for Greece to develop a higher economic complexity. With a budget of 10 percent export growth, Daily Instruments and Clothing &amp; Accessories account for most of the portfolio. For 15 and 20 percent, extra ECI increments are driven by introduction of Machinery &amp; Construction, although they are relatively small. A more detailed numerical representation of the portfolio is shown in Table 8a. </w:t>
      </w:r>
    </w:p>
    <w:p w:rsidR="00000000" w:rsidDel="00000000" w:rsidP="00000000" w:rsidRDefault="00000000" w:rsidRPr="00000000" w14:paraId="0000017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32"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43588" cy="2095500"/>
            <wp:effectExtent b="0" l="0" r="0" t="0"/>
            <wp:docPr id="1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843588"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4a. Greedy-Based ECI Improvement Results of [Country] with Different Budgets (2013)</w:t>
      </w:r>
    </w:p>
    <w:p w:rsidR="00000000" w:rsidDel="00000000" w:rsidP="00000000" w:rsidRDefault="00000000" w:rsidRPr="00000000" w14:paraId="0000017B">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7388" cy="1609725"/>
            <wp:effectExtent b="0" l="0" r="0" t="0"/>
            <wp:docPr id="28" name="image25.jpg"/>
            <a:graphic>
              <a:graphicData uri="http://schemas.openxmlformats.org/drawingml/2006/picture">
                <pic:pic>
                  <pic:nvPicPr>
                    <pic:cNvPr id="0" name="image25.jpg"/>
                    <pic:cNvPicPr preferRelativeResize="0"/>
                  </pic:nvPicPr>
                  <pic:blipFill>
                    <a:blip r:embed="rId22"/>
                    <a:srcRect b="0" l="0" r="0" t="0"/>
                    <a:stretch>
                      <a:fillRect/>
                    </a:stretch>
                  </pic:blipFill>
                  <pic:spPr>
                    <a:xfrm>
                      <a:off x="0" y="0"/>
                      <a:ext cx="5767388"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8a. Portfolio of Greece (2013)</w:t>
      </w:r>
    </w:p>
    <w:p w:rsidR="00000000" w:rsidDel="00000000" w:rsidP="00000000" w:rsidRDefault="00000000" w:rsidRPr="00000000" w14:paraId="0000017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Greece’s development in the future. We also offer the optimization result of Greece based on export data in 2018. Below is the economic panel for Greece in 2018. We can see that for different percentages of heuristic total export growth, the ECI growth pattern of Greece is similar from the one in 2013. For the case of 5 percent export growth budget, the ECI does not increase significantly. The greatest increment in the first line graph is actually driven by Machinery &amp; Construction. For all four cases, it seems that Daily Instruments, Services Industries and Machinery products form the majority of ECI increments. Therefore, for strategy following 2018, Greece should have prioritized development of Services &amp; Utilities as well as Daily Instruments, which was predicted to generate the greatest jump in each stage. </w:t>
      </w:r>
    </w:p>
    <w:p w:rsidR="00000000" w:rsidDel="00000000" w:rsidP="00000000" w:rsidRDefault="00000000" w:rsidRPr="00000000" w14:paraId="0000018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57400"/>
            <wp:effectExtent b="0" l="0" r="0" t="0"/>
            <wp:docPr id="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593129" cy="2062163"/>
            <wp:effectExtent b="0" l="0" r="0" t="0"/>
            <wp:docPr id="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593129" cy="2062163"/>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Figure 4b. Greedy-Based ECI Improvement Results of Greece with Different Budgets (2018)</w:t>
      </w:r>
      <w:r w:rsidDel="00000000" w:rsidR="00000000" w:rsidRPr="00000000">
        <w:rPr>
          <w:rtl w:val="0"/>
        </w:rPr>
      </w:r>
    </w:p>
    <w:p w:rsidR="00000000" w:rsidDel="00000000" w:rsidP="00000000" w:rsidRDefault="00000000" w:rsidRPr="00000000" w14:paraId="0000018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828800"/>
            <wp:effectExtent b="0" l="0" r="0" t="0"/>
            <wp:docPr id="27" name="image32.jpg"/>
            <a:graphic>
              <a:graphicData uri="http://schemas.openxmlformats.org/drawingml/2006/picture">
                <pic:pic>
                  <pic:nvPicPr>
                    <pic:cNvPr id="0" name="image32.jpg"/>
                    <pic:cNvPicPr preferRelativeResize="0"/>
                  </pic:nvPicPr>
                  <pic:blipFill>
                    <a:blip r:embed="rId25"/>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Table 8b. Portfolio of Greece (2018)</w:t>
      </w:r>
      <w:r w:rsidDel="00000000" w:rsidR="00000000" w:rsidRPr="00000000">
        <w:rPr>
          <w:rtl w:val="0"/>
        </w:rPr>
      </w:r>
    </w:p>
    <w:p w:rsidR="00000000" w:rsidDel="00000000" w:rsidP="00000000" w:rsidRDefault="00000000" w:rsidRPr="00000000" w14:paraId="0000018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To compare with the performance in 2013 and 2018, we also re-examine suggested strategies for 2021. For 2021, a 5 percent increase in export would emphasize Precious Stones, followed by Energy Drilling &amp; Mining and Precious Stones for a 10 percent increase, and Textile for 15 and 20 percent export growth. These strategies go in line with the suggested trajectories based on ECI. A more detailed numerical representation of the portfolio for Greece in 2021 is shown in Table 8c.</w:t>
      </w:r>
      <w:r w:rsidDel="00000000" w:rsidR="00000000" w:rsidRPr="00000000">
        <w:rPr>
          <w:rFonts w:ascii="Times New Roman" w:cs="Times New Roman" w:eastAsia="Times New Roman" w:hAnsi="Times New Roman"/>
        </w:rPr>
        <w:drawing>
          <wp:inline distB="114300" distT="114300" distL="114300" distR="114300">
            <wp:extent cx="5943600" cy="2105025"/>
            <wp:effectExtent b="0" l="0" r="0" t="0"/>
            <wp:docPr id="12" name="image3.png"/>
            <a:graphic>
              <a:graphicData uri="http://schemas.openxmlformats.org/drawingml/2006/picture">
                <pic:pic>
                  <pic:nvPicPr>
                    <pic:cNvPr id="0" name="image3.png"/>
                    <pic:cNvPicPr preferRelativeResize="0"/>
                  </pic:nvPicPr>
                  <pic:blipFill>
                    <a:blip r:embed="rId26"/>
                    <a:srcRect b="29167" l="0" r="0" t="0"/>
                    <a:stretch>
                      <a:fillRect/>
                    </a:stretch>
                  </pic:blipFill>
                  <pic:spPr>
                    <a:xfrm>
                      <a:off x="0" y="0"/>
                      <a:ext cx="59436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B">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235200"/>
            <wp:effectExtent b="0" l="0" r="0" t="0"/>
            <wp:docPr id="1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tbl>
      <w:tblPr>
        <w:tblStyle w:val="Table8"/>
        <w:tblW w:w="9525.0" w:type="dxa"/>
        <w:jc w:val="center"/>
        <w:tblLayout w:type="fixed"/>
        <w:tblLook w:val="0600"/>
      </w:tblPr>
      <w:tblGrid>
        <w:gridCol w:w="2445"/>
        <w:gridCol w:w="1770"/>
        <w:gridCol w:w="1770"/>
        <w:gridCol w:w="1770"/>
        <w:gridCol w:w="1770"/>
        <w:tblGridChange w:id="0">
          <w:tblGrid>
            <w:gridCol w:w="2445"/>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8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Greece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0.23035793848767286</w:t>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97">
            <w:pPr>
              <w:widowControl w:val="0"/>
              <w:ind w:left="5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98">
            <w:pPr>
              <w:widowControl w:val="0"/>
              <w:ind w:left="5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99">
            <w:pPr>
              <w:widowControl w:val="0"/>
              <w:ind w:left="5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9A">
            <w:pPr>
              <w:widowControl w:val="0"/>
              <w:ind w:left="5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3529399238</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9E">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4764688971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9F">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1588229657</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A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176469962</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A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352939924</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A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529409886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A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941173130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2823519390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6352918628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1.7882E+10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352939924</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529409886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3529399238</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3529399238</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3705869199</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9411731300</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B9">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A">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0.4331096</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B">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0.7749779</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C">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0.7749779</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BD">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0.8017798</w:t>
            </w:r>
          </w:p>
        </w:tc>
      </w:tr>
    </w:tbl>
    <w:p w:rsidR="00000000" w:rsidDel="00000000" w:rsidP="00000000" w:rsidRDefault="00000000" w:rsidRPr="00000000" w14:paraId="000001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8c. Portfolio of Greece (2021)</w:t>
      </w:r>
    </w:p>
    <w:p w:rsidR="00000000" w:rsidDel="00000000" w:rsidP="00000000" w:rsidRDefault="00000000" w:rsidRPr="00000000" w14:paraId="000001BF">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0">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w:t>
      </w:r>
    </w:p>
    <w:p w:rsidR="00000000" w:rsidDel="00000000" w:rsidP="00000000" w:rsidRDefault="00000000" w:rsidRPr="00000000" w14:paraId="000001C1">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Greece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w:t>
      </w:r>
    </w:p>
    <w:p w:rsidR="00000000" w:rsidDel="00000000" w:rsidP="00000000" w:rsidRDefault="00000000" w:rsidRPr="00000000" w14:paraId="000001C2">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C3">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C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C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2" name="image12.jpg"/>
            <a:graphic>
              <a:graphicData uri="http://schemas.openxmlformats.org/drawingml/2006/picture">
                <pic:pic>
                  <pic:nvPicPr>
                    <pic:cNvPr id="0" name="image12.jpg"/>
                    <pic:cNvPicPr preferRelativeResize="0"/>
                  </pic:nvPicPr>
                  <pic:blipFill>
                    <a:blip r:embed="rId28"/>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w:t>
      </w: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C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Sensitivity</w:t>
      </w:r>
    </w:p>
    <w:p w:rsidR="00000000" w:rsidDel="00000000" w:rsidP="00000000" w:rsidRDefault="00000000" w:rsidRPr="00000000" w14:paraId="000001CA">
      <w:pPr>
        <w:spacing w:line="240" w:lineRule="auto"/>
        <w:jc w:val="both"/>
        <w:rPr>
          <w:rFonts w:ascii="Times New Roman" w:cs="Times New Roman" w:eastAsia="Times New Roman" w:hAnsi="Times New Roman"/>
          <w:sz w:val="24"/>
          <w:szCs w:val="24"/>
          <w:shd w:fill="a2c4c9" w:val="clear"/>
        </w:rPr>
      </w:pPr>
      <w:r w:rsidDel="00000000" w:rsidR="00000000" w:rsidRPr="00000000">
        <w:rPr>
          <w:rFonts w:ascii="Times New Roman" w:cs="Times New Roman" w:eastAsia="Times New Roman" w:hAnsi="Times New Roman"/>
          <w:sz w:val="24"/>
          <w:szCs w:val="24"/>
          <w:rtl w:val="0"/>
        </w:rPr>
        <w:t xml:space="preserve">We examine Greece's ECI Decremental and Incremental Sensitivity Charts for 2021. An increase in Daily Instruments will lead to the highest change in ECI, followed by Services &amp; Utilities and High Complexity Products. The strong sensitivity effect of manipulating the High Complexity Products category remains consistent with results from previous years. For the negative shock cases, Weapons become most impactful for increasing ECI, a new trend across the data from previous years. The biggest downturn as a result of a negative shock is observed in Machinery &amp; Construction.</w:t>
      </w: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sz w:val="24"/>
          <w:szCs w:val="24"/>
          <w:shd w:fill="a2c4c9" w:val="clear"/>
        </w:rPr>
      </w:pPr>
      <w:r w:rsidDel="00000000" w:rsidR="00000000" w:rsidRPr="00000000">
        <w:rPr>
          <w:rtl w:val="0"/>
        </w:rPr>
      </w:r>
    </w:p>
    <w:p w:rsidR="00000000" w:rsidDel="00000000" w:rsidP="00000000" w:rsidRDefault="00000000" w:rsidRPr="00000000" w14:paraId="000001C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34010" cy="1690688"/>
            <wp:effectExtent b="0" l="0" r="0" t="0"/>
            <wp:docPr id="1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534010"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6a. Greece 2021 (Incremental ECI Sensitivity)</w:t>
      </w:r>
    </w:p>
    <w:p w:rsidR="00000000" w:rsidDel="00000000" w:rsidP="00000000" w:rsidRDefault="00000000" w:rsidRPr="00000000" w14:paraId="000001C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15113" cy="2069088"/>
            <wp:effectExtent b="0" l="0" r="0" t="0"/>
            <wp:docPr id="2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6615113" cy="206908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6a. Greece 2021 (Decremental ECI Sensitivity)</w:t>
      </w:r>
    </w:p>
    <w:p w:rsidR="00000000" w:rsidDel="00000000" w:rsidP="00000000" w:rsidRDefault="00000000" w:rsidRPr="00000000" w14:paraId="000001D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Greece’s 2018 ECI Sensitivity Charts. Firstly in the positive chart, we notice immediately that expanding exports in High Complexity Products and Machinery give fairly significant increases in ECI but require over 100% increase in exports. Weapons and Daily Instruments also allow for ECI gains but the expansion is not as significant as we see with the previous two industries. </w:t>
      </w:r>
    </w:p>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Greece’s 2018 Negative Shock chart. We can see that Greece is fairly sensitive to Raw Manufacturing, Textile, and Chemical Manufacturing. Even a small decrease in Raw Manufacturing immediately decreases the ECI of Greece. A few other industries lead to positive ECI gains after exports are decreased however over 60% decreases are necessary to experience these gains.</w:t>
      </w:r>
    </w:p>
    <w:p w:rsidR="00000000" w:rsidDel="00000000" w:rsidP="00000000" w:rsidRDefault="00000000" w:rsidRPr="00000000" w14:paraId="000001D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68663" cy="2395538"/>
            <wp:effectExtent b="0" l="0" r="0" t="0"/>
            <wp:docPr id="3" name="image10.jpg"/>
            <a:graphic>
              <a:graphicData uri="http://schemas.openxmlformats.org/drawingml/2006/picture">
                <pic:pic>
                  <pic:nvPicPr>
                    <pic:cNvPr id="0" name="image10.jpg"/>
                    <pic:cNvPicPr preferRelativeResize="0"/>
                  </pic:nvPicPr>
                  <pic:blipFill>
                    <a:blip r:embed="rId31"/>
                    <a:srcRect b="0" l="0" r="0" t="0"/>
                    <a:stretch>
                      <a:fillRect/>
                    </a:stretch>
                  </pic:blipFill>
                  <pic:spPr>
                    <a:xfrm>
                      <a:off x="0" y="0"/>
                      <a:ext cx="4868663"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7a. Greece 2018 (Incremental ECI Sensitivity)</w:t>
      </w:r>
    </w:p>
    <w:p w:rsidR="00000000" w:rsidDel="00000000" w:rsidP="00000000" w:rsidRDefault="00000000" w:rsidRPr="00000000" w14:paraId="000001D9">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A">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80305" cy="2509838"/>
            <wp:effectExtent b="0" l="0" r="0" t="0"/>
            <wp:docPr id="10" name="image14.jpg"/>
            <a:graphic>
              <a:graphicData uri="http://schemas.openxmlformats.org/drawingml/2006/picture">
                <pic:pic>
                  <pic:nvPicPr>
                    <pic:cNvPr id="0" name="image14.jpg"/>
                    <pic:cNvPicPr preferRelativeResize="0"/>
                  </pic:nvPicPr>
                  <pic:blipFill>
                    <a:blip r:embed="rId32"/>
                    <a:srcRect b="0" l="0" r="0" t="0"/>
                    <a:stretch>
                      <a:fillRect/>
                    </a:stretch>
                  </pic:blipFill>
                  <pic:spPr>
                    <a:xfrm>
                      <a:off x="0" y="0"/>
                      <a:ext cx="4980305"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7b. Greece 2018 (Decremental  ECI Sensitivity)</w:t>
      </w:r>
    </w:p>
    <w:p w:rsidR="00000000" w:rsidDel="00000000" w:rsidP="00000000" w:rsidRDefault="00000000" w:rsidRPr="00000000" w14:paraId="000001D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2013 ECI Sensitivity graphs. We see that in the positive shocking case increases in exports of High Complexity Products, Machinery lead ECI gains but require over 200% expansions, a highly unrealistic number. Services and Utilities offer modest ECI gain with approximately 75% increases in export. </w:t>
      </w:r>
    </w:p>
    <w:p w:rsidR="00000000" w:rsidDel="00000000" w:rsidP="00000000" w:rsidRDefault="00000000" w:rsidRPr="00000000" w14:paraId="000001D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2013 negative shocking case, we see that again Greece is fairly sensitive to decreases in export of Raw Manufacturing, Textile, and Chemical Manufacturing similar to what we see in the 2018 case. There is also some sensitivity to drawdown in Metals as well in the 2013 graph which is less pronounced in 2018.  </w:t>
      </w:r>
    </w:p>
    <w:p w:rsidR="00000000" w:rsidDel="00000000" w:rsidP="00000000" w:rsidRDefault="00000000" w:rsidRPr="00000000" w14:paraId="000001E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84252" cy="2576513"/>
            <wp:effectExtent b="0" l="0" r="0" t="0"/>
            <wp:docPr id="11" name="image21.jpg"/>
            <a:graphic>
              <a:graphicData uri="http://schemas.openxmlformats.org/drawingml/2006/picture">
                <pic:pic>
                  <pic:nvPicPr>
                    <pic:cNvPr id="0" name="image21.jpg"/>
                    <pic:cNvPicPr preferRelativeResize="0"/>
                  </pic:nvPicPr>
                  <pic:blipFill>
                    <a:blip r:embed="rId33"/>
                    <a:srcRect b="0" l="0" r="0" t="0"/>
                    <a:stretch>
                      <a:fillRect/>
                    </a:stretch>
                  </pic:blipFill>
                  <pic:spPr>
                    <a:xfrm>
                      <a:off x="0" y="0"/>
                      <a:ext cx="4884252"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8a. Greece 2013 (Incremental ECI Sensitivity)</w:t>
      </w:r>
    </w:p>
    <w:p w:rsidR="00000000" w:rsidDel="00000000" w:rsidP="00000000" w:rsidRDefault="00000000" w:rsidRPr="00000000" w14:paraId="000001E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29200" cy="2619375"/>
            <wp:effectExtent b="0" l="0" r="0" t="0"/>
            <wp:docPr id="30" name="image30.jpg"/>
            <a:graphic>
              <a:graphicData uri="http://schemas.openxmlformats.org/drawingml/2006/picture">
                <pic:pic>
                  <pic:nvPicPr>
                    <pic:cNvPr id="0" name="image30.jpg"/>
                    <pic:cNvPicPr preferRelativeResize="0"/>
                  </pic:nvPicPr>
                  <pic:blipFill>
                    <a:blip r:embed="rId34"/>
                    <a:srcRect b="4844" l="0" r="0" t="0"/>
                    <a:stretch>
                      <a:fillRect/>
                    </a:stretch>
                  </pic:blipFill>
                  <pic:spPr>
                    <a:xfrm>
                      <a:off x="0" y="0"/>
                      <a:ext cx="50292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ageBreakBefore w:val="0"/>
        <w:spacing w:line="240" w:lineRule="auto"/>
        <w:ind w:left="720"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Figure 8b. Greece 2013 (Decremental  ECI Sensitivity)</w:t>
      </w:r>
      <w:r w:rsidDel="00000000" w:rsidR="00000000" w:rsidRPr="00000000">
        <w:rPr>
          <w:rtl w:val="0"/>
        </w:rPr>
      </w:r>
    </w:p>
    <w:p w:rsidR="00000000" w:rsidDel="00000000" w:rsidP="00000000" w:rsidRDefault="00000000" w:rsidRPr="00000000" w14:paraId="000001E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E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E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groups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E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E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E">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F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3"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F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Regression of Five-year GDP Growth over SOI</w:t>
      </w:r>
    </w:p>
    <w:p w:rsidR="00000000" w:rsidDel="00000000" w:rsidP="00000000" w:rsidRDefault="00000000" w:rsidRPr="00000000" w14:paraId="000001F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Greece and Its Implications</w:t>
      </w:r>
    </w:p>
    <w:p w:rsidR="00000000" w:rsidDel="00000000" w:rsidP="00000000" w:rsidRDefault="00000000" w:rsidRPr="00000000" w14:paraId="000001F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Greece, for instance, has a relatively low level of structural optimality in 2018 as compared with its developed peers; however, in 2021, Greece’s structural optimality improves significantly. As the regression in Figure 7a suggests (the orange curve represents export increase and the blue curve stands for opportunity gain of the corresponding industry), Greece demonstrates a below average level of correlation with the suggested developmental path, having an adjusted R-square of around -1.3%. Greece ranks 70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place among all countries in terms of SOI and has a 5-year growth rate of 10.8% from 2013 to 2018, which is consistent with the regression result in Figure 6. This is in direct contrast to emerging economies such as Turkey, where there is high SOI of around 21.8% and a corresponding GDP growth of 36.7% from 2013 to 2018, making it one of the fastest developing economies during the period. In sum, Greece’s slower economic progress from 2013 to 2018 can be at least partially explained by a mismatched development strategy that demonstrates a considerable level of deviations from our suggested developmental path. In specific, Greece invested heavily in the transportation industry, where there was not much opportunity gain, while it should have focused more on industry groups such as Services and Utilities.</w:t>
      </w:r>
    </w:p>
    <w:p w:rsidR="00000000" w:rsidDel="00000000" w:rsidP="00000000" w:rsidRDefault="00000000" w:rsidRPr="00000000" w14:paraId="000001F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18"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10a: SOI of Greece (2013-2018)</w:t>
      </w:r>
      <w:r w:rsidDel="00000000" w:rsidR="00000000" w:rsidRPr="00000000">
        <w:rPr>
          <w:rtl w:val="0"/>
        </w:rPr>
      </w:r>
    </w:p>
    <w:p w:rsidR="00000000" w:rsidDel="00000000" w:rsidP="00000000" w:rsidRDefault="00000000" w:rsidRPr="00000000" w14:paraId="000001F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2019-2021 years, Greece has a strong presence in the Transportation and Services &amp; Utilities industries, but opportunity for further investment is found in the Precious Stones and Energy Drilling &amp; Mining. Greece has seen a growth in GDP over those three years of 3.89%, with an average growth of 2.19%, compared to -1.7% for the average yearly growth for the five years prior. Greece’s ranking in terms of SOI increased to 51st place.</w:t>
      </w:r>
    </w:p>
    <w:p w:rsidR="00000000" w:rsidDel="00000000" w:rsidP="00000000" w:rsidRDefault="00000000" w:rsidRPr="00000000" w14:paraId="000002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Higher than before, its adjusted R-squared value of 21.54% indicates a much higher correlation between the GDP growth and the implemented development path. Progress is slow on a global scale during this period, but Greece demonstrates a greater ability to adjust to negative economic shocks by improving SOI and increasing GDP growth than it did between 2013 and 2018.</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374900"/>
            <wp:effectExtent b="0" l="0" r="0" t="0"/>
            <wp:docPr id="6"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10b: SOI of Greece (2019-2021)</w:t>
      </w:r>
      <w:r w:rsidDel="00000000" w:rsidR="00000000" w:rsidRPr="00000000">
        <w:rPr>
          <w:rtl w:val="0"/>
        </w:rPr>
      </w:r>
    </w:p>
    <w:p w:rsidR="00000000" w:rsidDel="00000000" w:rsidP="00000000" w:rsidRDefault="00000000" w:rsidRPr="00000000" w14:paraId="0000020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5">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206">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20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20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Greece has demonstrated a low level of economic growth in terms of GDP during the period from 2013 to 2018, concurrent with a stagnation in economic complexity as compared with other major European economies. For 2019-2021, the growth in GDP has increased alongside a significant boost in ECI, distinguishing itself from its comparable countries and higher than some of the leading economies in the world.</w:t>
      </w:r>
    </w:p>
    <w:p w:rsidR="00000000" w:rsidDel="00000000" w:rsidP="00000000" w:rsidRDefault="00000000" w:rsidRPr="00000000" w14:paraId="0000020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2013-2018 period, we believe, can be partially explained through analysis of the economic and product complexity structure of Greece on the industry group level. The product classification system we adopt allows us to measure the realized industry development for various industry groups and to observe that Greece invested heavily in developing Chemical Manufacturing, Precious Stones and Metals during the this period, while its emerging peers and developed economies around the globe adopted much more complex and progressive paths. </w:t>
      </w:r>
    </w:p>
    <w:p w:rsidR="00000000" w:rsidDel="00000000" w:rsidP="00000000" w:rsidRDefault="00000000" w:rsidRPr="00000000" w14:paraId="0000020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Greece could have furthered its gains by prioritizing Chemicals, Services and Utilities following 2018. We further note that Greece displayed a slightly mismatched development strategy that indicates a moderate level of structural optimality on the complexity level during the 2013-2018 period, having an adjusted R-square of around -1.3%. Since a significant positive correlation exists between five-year GDP growth and the structural optimality index of an economy as we define and calculate, Greece indeed had a suboptimal growth experience as compared with fast-growing economies both on a regional scale and on a global scale in the period of 2013-2018.</w:t>
      </w:r>
      <w:r w:rsidDel="00000000" w:rsidR="00000000" w:rsidRPr="00000000">
        <w:rPr>
          <w:rtl w:val="0"/>
        </w:rPr>
      </w:r>
    </w:p>
    <w:p w:rsidR="00000000" w:rsidDel="00000000" w:rsidP="00000000" w:rsidRDefault="00000000" w:rsidRPr="00000000" w14:paraId="0000020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For the period of 2019-2021, Greece performed much stronger than before and compared to other countries in terms of ECI, despite only a moderate increase in GDP relative to comparable countries. We infer that during the COVID-19 period, Greece focused on developing higher complexity industries despite a lower demand for these industries given the global economic downturn. We also note that Greece has increased its investment in the sectors identified earlier, leading to a strong boost from Metals and Daily Instruments industries, leaving some room for strategic improvement. The ECI suggests that greater growth could have been achieved through Precious Stones, followed by Clothing &amp; Accessories and Textile. Still, the observed growth increased the adjusted R-squared value to 21.54% in 2021, demonstrating the pursued strategies contributed to the GDP. With the revised focus, Greece has further potential to advance its economic growth to maintain its position among other countries to continue ongoing economic expansion.</w:t>
      </w:r>
      <w:r w:rsidDel="00000000" w:rsidR="00000000" w:rsidRPr="00000000">
        <w:rPr>
          <w:rtl w:val="0"/>
        </w:rPr>
      </w:r>
    </w:p>
    <w:p w:rsidR="00000000" w:rsidDel="00000000" w:rsidP="00000000" w:rsidRDefault="00000000" w:rsidRPr="00000000" w14:paraId="0000020F">
      <w:pPr>
        <w:pageBreakBefore w:val="0"/>
        <w:spacing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0">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21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2">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213">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14">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215">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16">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17">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18">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219">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1A">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21B">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1C">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1D">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1E">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1F">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0">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2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sectPr>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1.png"/><Relationship Id="rId22" Type="http://schemas.openxmlformats.org/officeDocument/2006/relationships/image" Target="media/image25.jpg"/><Relationship Id="rId21"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3.png"/><Relationship Id="rId25" Type="http://schemas.openxmlformats.org/officeDocument/2006/relationships/image" Target="media/image32.jpg"/><Relationship Id="rId28" Type="http://schemas.openxmlformats.org/officeDocument/2006/relationships/image" Target="media/image12.jp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2.png"/><Relationship Id="rId7" Type="http://schemas.openxmlformats.org/officeDocument/2006/relationships/image" Target="media/image23.png"/><Relationship Id="rId8" Type="http://schemas.openxmlformats.org/officeDocument/2006/relationships/image" Target="media/image26.png"/><Relationship Id="rId31" Type="http://schemas.openxmlformats.org/officeDocument/2006/relationships/image" Target="media/image10.jpg"/><Relationship Id="rId30" Type="http://schemas.openxmlformats.org/officeDocument/2006/relationships/image" Target="media/image7.png"/><Relationship Id="rId11" Type="http://schemas.openxmlformats.org/officeDocument/2006/relationships/image" Target="media/image11.png"/><Relationship Id="rId33" Type="http://schemas.openxmlformats.org/officeDocument/2006/relationships/image" Target="media/image21.jpg"/><Relationship Id="rId10" Type="http://schemas.openxmlformats.org/officeDocument/2006/relationships/image" Target="media/image27.png"/><Relationship Id="rId32" Type="http://schemas.openxmlformats.org/officeDocument/2006/relationships/image" Target="media/image14.jpg"/><Relationship Id="rId13" Type="http://schemas.openxmlformats.org/officeDocument/2006/relationships/image" Target="media/image20.png"/><Relationship Id="rId35" Type="http://schemas.openxmlformats.org/officeDocument/2006/relationships/image" Target="media/image19.png"/><Relationship Id="rId12" Type="http://schemas.openxmlformats.org/officeDocument/2006/relationships/image" Target="media/image18.png"/><Relationship Id="rId34" Type="http://schemas.openxmlformats.org/officeDocument/2006/relationships/image" Target="media/image30.jpg"/><Relationship Id="rId15" Type="http://schemas.openxmlformats.org/officeDocument/2006/relationships/image" Target="media/image22.jpg"/><Relationship Id="rId37" Type="http://schemas.openxmlformats.org/officeDocument/2006/relationships/image" Target="media/image5.png"/><Relationship Id="rId14" Type="http://schemas.openxmlformats.org/officeDocument/2006/relationships/image" Target="media/image24.png"/><Relationship Id="rId36" Type="http://schemas.openxmlformats.org/officeDocument/2006/relationships/image" Target="media/image6.png"/><Relationship Id="rId17" Type="http://schemas.openxmlformats.org/officeDocument/2006/relationships/image" Target="media/image28.jpg"/><Relationship Id="rId16" Type="http://schemas.openxmlformats.org/officeDocument/2006/relationships/image" Target="media/image29.jpg"/><Relationship Id="rId38" Type="http://schemas.openxmlformats.org/officeDocument/2006/relationships/footer" Target="footer1.xml"/><Relationship Id="rId19" Type="http://schemas.openxmlformats.org/officeDocument/2006/relationships/image" Target="media/image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