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b w:val="1"/>
          <w:bCs w:val="1"/>
          <w:color w:val="695d46"/>
          <w:sz w:val="18"/>
          <w:szCs w:val="18"/>
        </w:rPr>
      </w:pPr>
      <w:bookmarkStart w:colFirst="0" w:colLast="0" w:name="_z6ne0og04bp5" w:id="0"/>
      <w:bookmarkEnd w:id="0"/>
      <w:r w:rsidDel="00000000" w:rsidR="00000000" w:rsidRPr="00000000">
        <w:rPr>
          <w:rFonts w:ascii="Open Sans" w:cs="Open Sans" w:eastAsia="Open Sans" w:hAnsi="Open Sans"/>
          <w:color w:val="695d46"/>
          <w:sz w:val="20"/>
          <w:szCs w:val="20"/>
        </w:rPr>
        <w:drawing>
          <wp:inline distB="114300" distT="114300" distL="114300" distR="114300">
            <wp:extent cx="5731200" cy="101600"/>
            <wp:effectExtent b="0" l="0" r="0" t="0"/>
            <wp:docPr descr="horizontal line" id="9" name="image7.png"/>
            <a:graphic>
              <a:graphicData uri="http://schemas.openxmlformats.org/drawingml/2006/picture">
                <pic:pic>
                  <pic:nvPicPr>
                    <pic:cNvPr descr="horizontal line" id="0" name="image7.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b w:val="1"/>
          <w:bCs w:val="1"/>
          <w:color w:val="695d46"/>
          <w:sz w:val="18"/>
          <w:szCs w:val="18"/>
        </w:rPr>
        <w:drawing>
          <wp:inline distB="114300" distT="114300" distL="114300" distR="114300">
            <wp:extent cx="5731200" cy="4000500"/>
            <wp:effectExtent b="0" l="0" r="0" t="0"/>
            <wp:docPr id="2" name="image30.png"/>
            <a:graphic>
              <a:graphicData uri="http://schemas.openxmlformats.org/drawingml/2006/picture">
                <pic:pic>
                  <pic:nvPicPr>
                    <pic:cNvPr id="0" name="image30.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spacing w:lin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2"/>
          <w:szCs w:val="12"/>
          <w:rtl w:val="0"/>
        </w:rPr>
        <w:t xml:space="preserve"> https://atlas.cid.harvard.edu/</w:t>
      </w:r>
    </w:p>
    <w:p w:rsidR="00000000" w:rsidDel="00000000" w:rsidP="00000000" w:rsidRDefault="00000000" w:rsidRPr="00000000" w14:paraId="00000003">
      <w:pPr>
        <w:pStyle w:val="Title"/>
        <w:keepNext w:val="0"/>
        <w:keepLines w:val="0"/>
        <w:pageBreakBefore w:val="0"/>
        <w:spacing w:after="0" w:before="320" w:line="240" w:lineRule="auto"/>
        <w:rPr>
          <w:rFonts w:ascii="PT Sans Narrow" w:cs="PT Sans Narrow" w:eastAsia="PT Sans Narrow" w:hAnsi="PT Sans Narrow"/>
          <w:b w:val="1"/>
          <w:bCs w:val="1"/>
          <w:color w:val="666666"/>
          <w:sz w:val="56"/>
          <w:szCs w:val="56"/>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56"/>
          <w:szCs w:val="56"/>
          <w:rtl w:val="0"/>
        </w:rPr>
        <w:t xml:space="preserve">Optimal Industry Development Strategy Using Economic and Product Complexity</w:t>
      </w:r>
    </w:p>
    <w:p w:rsidR="00000000" w:rsidDel="00000000" w:rsidP="00000000" w:rsidRDefault="00000000" w:rsidRPr="00000000" w14:paraId="00000004">
      <w:pPr>
        <w:pStyle w:val="Title"/>
        <w:keepNext w:val="0"/>
        <w:keepLines w:val="0"/>
        <w:pageBreakBefore w:val="0"/>
        <w:spacing w:after="0" w:before="320" w:line="240" w:lineRule="auto"/>
        <w:rPr>
          <w:rFonts w:ascii="PT Sans Narrow" w:cs="PT Sans Narrow" w:eastAsia="PT Sans Narrow" w:hAnsi="PT Sans Narrow"/>
          <w:b w:val="1"/>
          <w:bCs w:val="1"/>
          <w:sz w:val="56"/>
          <w:szCs w:val="56"/>
        </w:rPr>
      </w:pPr>
      <w:bookmarkStart w:colFirst="0" w:colLast="0" w:name="_q5cok54tx0k8" w:id="2"/>
      <w:bookmarkEnd w:id="2"/>
      <w:r w:rsidDel="00000000" w:rsidR="00000000" w:rsidRPr="00000000">
        <w:rPr>
          <w:rFonts w:ascii="PT Sans Narrow" w:cs="PT Sans Narrow" w:eastAsia="PT Sans Narrow" w:hAnsi="PT Sans Narrow"/>
          <w:b w:val="1"/>
          <w:bCs w:val="1"/>
          <w:sz w:val="56"/>
          <w:szCs w:val="56"/>
          <w:rtl w:val="0"/>
        </w:rPr>
        <w:t xml:space="preserve">Italy</w:t>
      </w:r>
      <w:r w:rsidDel="00000000" w:rsidR="00000000" w:rsidRPr="00000000">
        <w:rPr>
          <w:rtl w:val="0"/>
        </w:rPr>
      </w:r>
    </w:p>
    <w:p w:rsidR="00000000" w:rsidDel="00000000" w:rsidP="00000000" w:rsidRDefault="00000000" w:rsidRPr="00000000" w14:paraId="00000005">
      <w:pPr>
        <w:pageBreakBefore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18"/>
          <w:szCs w:val="18"/>
        </w:rPr>
      </w:pPr>
      <w:r w:rsidDel="00000000" w:rsidR="00000000" w:rsidRPr="00000000">
        <w:rPr>
          <w:rFonts w:ascii="Arial Unicode MS" w:cs="Arial Unicode MS" w:eastAsia="Arial Unicode MS" w:hAnsi="Arial Unicode MS"/>
          <w:b w:val="1"/>
          <w:bCs w:val="1"/>
          <w:sz w:val="32"/>
          <w:szCs w:val="32"/>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240" w:lineRule="auto"/>
        <w:rPr>
          <w:rFonts w:ascii="PT Sans Narrow" w:cs="PT Sans Narrow" w:eastAsia="PT Sans Narrow" w:hAnsi="PT Sans Narrow"/>
          <w:color w:val="008575"/>
          <w:sz w:val="28"/>
          <w:szCs w:val="28"/>
        </w:rPr>
      </w:pPr>
      <w:r w:rsidDel="00000000" w:rsidR="00000000" w:rsidRPr="00000000">
        <w:rPr>
          <w:rFonts w:ascii="PT Sans Narrow" w:cs="PT Sans Narrow" w:eastAsia="PT Sans Narrow" w:hAnsi="PT Sans Narrow"/>
          <w:color w:val="008575"/>
          <w:sz w:val="28"/>
          <w:szCs w:val="28"/>
          <w:rtl w:val="0"/>
        </w:rPr>
        <w:t xml:space="preserve">The Economic Complexity Lab - Columbia University</w:t>
      </w:r>
    </w:p>
    <w:p w:rsidR="00000000" w:rsidDel="00000000" w:rsidP="00000000" w:rsidRDefault="00000000" w:rsidRPr="00000000" w14:paraId="00000008">
      <w:pPr>
        <w:pageBreakBefore w:val="0"/>
        <w:spacing w:line="240" w:lineRule="auto"/>
        <w:rPr>
          <w:rFonts w:ascii="Times New Roman" w:cs="Times New Roman" w:eastAsia="Times New Roman" w:hAnsi="Times New Roman"/>
          <w:sz w:val="40"/>
          <w:szCs w:val="40"/>
        </w:rPr>
      </w:pPr>
      <w:r w:rsidDel="00000000" w:rsidR="00000000" w:rsidRPr="00000000">
        <w:rPr>
          <w:rFonts w:ascii="PT Sans Narrow" w:cs="PT Sans Narrow" w:eastAsia="PT Sans Narrow" w:hAnsi="PT Sans Narrow"/>
          <w:sz w:val="24"/>
          <w:szCs w:val="24"/>
          <w:rtl w:val="0"/>
        </w:rPr>
        <w:t xml:space="preserve">Haoxian Chen, Davepriyan Gunaratnam, Rohan Macherla, Ajit Akole, Shomik Ghose, Alex Wei-Liang Ku, Sannidhya Modi, Xilin Wang, Alexandra Garcia</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Optimal Industry Development Strategy for Italy</w:t>
      </w:r>
    </w:p>
    <w:p w:rsidR="00000000" w:rsidDel="00000000" w:rsidP="00000000" w:rsidRDefault="00000000" w:rsidRPr="00000000" w14:paraId="0000000A">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ageBreakBefore w:val="0"/>
        <w:spacing w:line="240" w:lineRule="auto"/>
        <w:rPr>
          <w:rFonts w:ascii="Times New Roman" w:cs="Times New Roman" w:eastAsia="Times New Roman" w:hAnsi="Times New Roman"/>
          <w:sz w:val="24"/>
          <w:szCs w:val="24"/>
        </w:rPr>
      </w:pPr>
      <w:r w:rsidDel="00000000" w:rsidR="00000000" w:rsidRPr="00000000">
        <w:rPr>
          <w:rFonts w:ascii="Times" w:cs="Times" w:eastAsia="Times" w:hAnsi="Times"/>
          <w:b w:val="1"/>
          <w:bCs w:val="1"/>
          <w:sz w:val="28"/>
          <w:szCs w:val="28"/>
          <w:rtl w:val="0"/>
        </w:rPr>
        <w:t xml:space="preserve">0. Executive Summary</w:t>
      </w:r>
      <w:r w:rsidDel="00000000" w:rsidR="00000000" w:rsidRPr="00000000">
        <w:rPr>
          <w:rtl w:val="0"/>
        </w:rPr>
      </w:r>
    </w:p>
    <w:p w:rsidR="00000000" w:rsidDel="00000000" w:rsidP="00000000" w:rsidRDefault="00000000" w:rsidRPr="00000000" w14:paraId="0000000C">
      <w:pPr>
        <w:pageBreakBefore w:val="0"/>
        <w:spacing w:line="240" w:lineRule="auto"/>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report, we aim to uncover the economic path Italy went through during the period from 2013 to 2018. Specifically, we dive into the topic through a macroeconomic overview of Italy from the perspective of Gross Domestic Product (GDP) and Economic Complexity Index (ECI), which reflect countries’ production capability and production structure, respectively. We find that during the period of our interest, Italy demonstrated a low level of economic growth with an annual GDP growth rate of 0.2%, concurrent with a decrease in economic complexity as compared with other major economies in Europe. </w:t>
      </w:r>
    </w:p>
    <w:p w:rsidR="00000000" w:rsidDel="00000000" w:rsidP="00000000" w:rsidRDefault="00000000" w:rsidRPr="00000000" w14:paraId="0000000E">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level of economic progress during the period, we believe, can be partially explained through analysis of the economic and product complexity structure of Italy on the industry group level. The product classification system we adopt allows us to measure the realized industry development for various industry groups and to observe that Italy invested heavily in Transportation, Machinery and Construction.</w:t>
      </w:r>
    </w:p>
    <w:p w:rsidR="00000000" w:rsidDel="00000000" w:rsidP="00000000" w:rsidRDefault="00000000" w:rsidRPr="00000000" w14:paraId="00000010">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our analysis of the opportunity gain and a sensitivity analysis of major industry groups, Italy can further its gains by prioritizing Vegetables, Fruits and Plants, Services and Utilities. We further note that Italy has a slightly mismatched development strategy that indicates a moderate level of structural optimality on the complexity level, having an adjusted R-square of around 4.8%. Since a significant positive correlation exists between five-year GDP growth and the structural optimality index of an economy as we define and calculate, Italy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012">
      <w:pPr>
        <w:pageBreakBefore w:val="0"/>
        <w:spacing w:line="240" w:lineRule="auto"/>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spacing w:line="240" w:lineRule="auto"/>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4">
      <w:pPr>
        <w:pageBreakBefore w:val="0"/>
        <w:spacing w:line="240" w:lineRule="auto"/>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5">
      <w:pPr>
        <w:pageBreakBefore w:val="0"/>
        <w:spacing w:line="240" w:lineRule="auto"/>
        <w:jc w:val="both"/>
        <w:rPr>
          <w:rFonts w:ascii="Times" w:cs="Times" w:eastAsia="Times" w:hAnsi="Times"/>
          <w:b w:val="1"/>
          <w:bCs w:val="1"/>
          <w:sz w:val="28"/>
          <w:szCs w:val="28"/>
        </w:rPr>
      </w:pPr>
      <w:r w:rsidDel="00000000" w:rsidR="00000000" w:rsidRPr="00000000">
        <w:rPr>
          <w:rFonts w:ascii="Times New Roman" w:cs="Times New Roman" w:eastAsia="Times New Roman" w:hAnsi="Times New Roman"/>
          <w:sz w:val="24"/>
          <w:szCs w:val="24"/>
          <w:rtl w:val="0"/>
        </w:rPr>
        <w:t xml:space="preserve">In this report, we aim to uncover the economic path Brazil went through during the period from 2013 to 2018. Specifically, we dive into the topic through a macroeconomic overview of Brazil from the perspective of Gross Domestic Product (GDP) and Economic Complexity Index (ECI), which reflect countries’ production capability and production structure, respectively. We then analyze the industrial framework and changes of Brazil during the period based on quantitative measures such as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Brazil, as deduced from regression models we have established on a global scale, which take into account countries’ stances in their product space.</w:t>
      </w:r>
      <w:r w:rsidDel="00000000" w:rsidR="00000000" w:rsidRPr="00000000">
        <w:rPr>
          <w:rtl w:val="0"/>
        </w:rPr>
      </w:r>
    </w:p>
    <w:p w:rsidR="00000000" w:rsidDel="00000000" w:rsidP="00000000" w:rsidRDefault="00000000" w:rsidRPr="00000000" w14:paraId="00000016">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7">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8">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9">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GDP Ranking and Changes</w:t>
      </w:r>
    </w:p>
    <w:p w:rsidR="00000000" w:rsidDel="00000000" w:rsidP="00000000" w:rsidRDefault="00000000" w:rsidRPr="00000000" w14:paraId="0000001A">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8th largest economy in the world by GDP, Italy has a GDP of 2.14 trillion USD in 2013 and 2.08 trillion USD in 2018, exhibiting a extraordinary level of economic output. Figure 1 illustrates the time-series GDP results for world’s leading European economies from 1999-2018. During the period from 2013 to 2018, Italy exhibits an average annual GDP growth rate 0.2%. This rate is at par as the annual growth rate of the group of major european economies in the world, which have a geometric average growth rate of 0.6% and an arithmetic average growth rate of 0.9%. The steady economic growth in Italy, we believe, can be reflected through consistent ECI and PCI, and can be further explained by a set of production strategies Greece adopted during the period, which we will expand at the later stage of the report.</w:t>
      </w:r>
    </w:p>
    <w:p w:rsidR="00000000" w:rsidDel="00000000" w:rsidP="00000000" w:rsidRDefault="00000000" w:rsidRPr="00000000" w14:paraId="0000001B">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ageBreakBefore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3606800"/>
            <wp:effectExtent b="12700" l="12700" r="12700" t="12700"/>
            <wp:docPr id="3"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943600" cy="3606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D">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GDP Comparison Among European Economies</w:t>
      </w:r>
    </w:p>
    <w:p w:rsidR="00000000" w:rsidDel="00000000" w:rsidP="00000000" w:rsidRDefault="00000000" w:rsidRPr="00000000" w14:paraId="0000001E">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ECI Ranking and Changes</w:t>
      </w:r>
    </w:p>
    <w:p w:rsidR="00000000" w:rsidDel="00000000" w:rsidP="00000000" w:rsidRDefault="00000000" w:rsidRPr="00000000" w14:paraId="00000020">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Economic Complexity Index (ECI), as defined by Ricardo Hausmann and Cesar Hidalgo in 2009 to explain the knowledge accumulated in a country's population, exhibits a similar pattern for Italy. As illustrated in Figure 2 below, Italy exhibits a decreasing level in terms of its production capability from 2013 to 2018. This is in direct contrast to countries such as France, which demonstrates an advantage over Italy in terms of both ECI and GDP growth during the period.</w:t>
      </w:r>
    </w:p>
    <w:p w:rsidR="00000000" w:rsidDel="00000000" w:rsidP="00000000" w:rsidRDefault="00000000" w:rsidRPr="00000000" w14:paraId="0000002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51886" cy="1785938"/>
            <wp:effectExtent b="12700" l="12700" r="12700" t="1270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951886" cy="1785938"/>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805113" cy="1817266"/>
            <wp:effectExtent b="12700" l="12700" r="12700" t="12700"/>
            <wp:docPr id="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805113" cy="181726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2">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Figure 2: ECI Comparison                            Figure 3: GDP and ECI (Italy)</w:t>
      </w:r>
    </w:p>
    <w:p w:rsidR="00000000" w:rsidDel="00000000" w:rsidP="00000000" w:rsidRDefault="00000000" w:rsidRPr="00000000" w14:paraId="00000023">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4">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offers a further comparison of GDP and ECI over the time span from 2013 to 2018 for Italy. The sudden drop in GDP during in year 2014 is accompanied by a drop in ECI, indicating the potential that the slight economic growth experienced by Italy during this period might be attributed to its slow-growing ECI, or the ineffectiveness of the country in developing a competitive product space that helps to accumulate complicated knowledge and technology. In order to provide a more concrete answer to why this has happened, we will dive into an analysis of Italy’s production structure and its product space designs in the next few chapters. </w:t>
      </w:r>
    </w:p>
    <w:p w:rsidR="00000000" w:rsidDel="00000000" w:rsidP="00000000" w:rsidRDefault="00000000" w:rsidRPr="00000000" w14:paraId="00000025">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6">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27">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8">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Product Categorization</w:t>
      </w:r>
    </w:p>
    <w:p w:rsidR="00000000" w:rsidDel="00000000" w:rsidP="00000000" w:rsidRDefault="00000000" w:rsidRPr="00000000" w14:paraId="0000002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2A">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2C">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2D">
            <w:pPr>
              <w:pageBreakBefore w:val="0"/>
              <w:spacing w:line="24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Category</w:t>
            </w:r>
          </w:p>
        </w:tc>
        <w:tc>
          <w:tcPr/>
          <w:p w:rsidR="00000000" w:rsidDel="00000000" w:rsidP="00000000" w:rsidRDefault="00000000" w:rsidRPr="00000000" w14:paraId="0000002E">
            <w:pPr>
              <w:pageBreakBefore w:val="0"/>
              <w:spacing w:line="24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Description</w:t>
            </w:r>
          </w:p>
        </w:tc>
      </w:tr>
      <w:tr>
        <w:trPr>
          <w:cantSplit w:val="0"/>
          <w:tblHeader w:val="0"/>
        </w:trPr>
        <w:tc>
          <w:tcPr/>
          <w:p w:rsidR="00000000" w:rsidDel="00000000" w:rsidP="00000000" w:rsidRDefault="00000000" w:rsidRPr="00000000" w14:paraId="0000002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 By-products</w:t>
            </w:r>
          </w:p>
        </w:tc>
        <w:tc>
          <w:tcPr/>
          <w:p w:rsidR="00000000" w:rsidDel="00000000" w:rsidP="00000000" w:rsidRDefault="00000000" w:rsidRPr="00000000" w14:paraId="0000003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1">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Vegetables, Fruits and Plants</w:t>
            </w:r>
          </w:p>
        </w:tc>
        <w:tc>
          <w:tcPr/>
          <w:p w:rsidR="00000000" w:rsidDel="00000000" w:rsidP="00000000" w:rsidRDefault="00000000" w:rsidRPr="00000000" w14:paraId="0000003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Preparations</w:t>
            </w:r>
          </w:p>
        </w:tc>
        <w:tc>
          <w:tcPr/>
          <w:p w:rsidR="00000000" w:rsidDel="00000000" w:rsidP="00000000" w:rsidRDefault="00000000" w:rsidRPr="00000000" w14:paraId="0000003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5">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Clothing and Accessories</w:t>
            </w:r>
          </w:p>
        </w:tc>
        <w:tc>
          <w:tcPr/>
          <w:p w:rsidR="00000000" w:rsidDel="00000000" w:rsidP="00000000" w:rsidRDefault="00000000" w:rsidRPr="00000000" w14:paraId="0000003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3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p w:rsidR="00000000" w:rsidDel="00000000" w:rsidP="00000000" w:rsidRDefault="00000000" w:rsidRPr="00000000" w14:paraId="0000003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39">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 Products</w:t>
            </w:r>
          </w:p>
        </w:tc>
        <w:tc>
          <w:tcPr/>
          <w:p w:rsidR="00000000" w:rsidDel="00000000" w:rsidP="00000000" w:rsidRDefault="00000000" w:rsidRPr="00000000" w14:paraId="0000003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3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Metals</w:t>
            </w:r>
          </w:p>
        </w:tc>
        <w:tc>
          <w:tcPr/>
          <w:p w:rsidR="00000000" w:rsidDel="00000000" w:rsidP="00000000" w:rsidRDefault="00000000" w:rsidRPr="00000000" w14:paraId="0000003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of all sorts of raw Metals</w:t>
            </w:r>
          </w:p>
        </w:tc>
      </w:tr>
      <w:tr>
        <w:trPr>
          <w:cantSplit w:val="0"/>
          <w:tblHeader w:val="0"/>
        </w:trPr>
        <w:tc>
          <w:tcPr/>
          <w:p w:rsidR="00000000" w:rsidDel="00000000" w:rsidP="00000000" w:rsidRDefault="00000000" w:rsidRPr="00000000" w14:paraId="0000003D">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Refined and Processed Stones</w:t>
            </w:r>
          </w:p>
        </w:tc>
        <w:tc>
          <w:tcPr/>
          <w:p w:rsidR="00000000" w:rsidDel="00000000" w:rsidP="00000000" w:rsidRDefault="00000000" w:rsidRPr="00000000" w14:paraId="0000003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3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Energy Drilling and Mining</w:t>
            </w:r>
          </w:p>
        </w:tc>
        <w:tc>
          <w:tcPr/>
          <w:p w:rsidR="00000000" w:rsidDel="00000000" w:rsidP="00000000" w:rsidRDefault="00000000" w:rsidRPr="00000000" w14:paraId="0000004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1">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p w:rsidR="00000000" w:rsidDel="00000000" w:rsidP="00000000" w:rsidRDefault="00000000" w:rsidRPr="00000000" w14:paraId="0000004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Manufacturing</w:t>
            </w:r>
          </w:p>
        </w:tc>
        <w:tc>
          <w:tcPr/>
          <w:p w:rsidR="00000000" w:rsidDel="00000000" w:rsidP="00000000" w:rsidRDefault="00000000" w:rsidRPr="00000000" w14:paraId="0000004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5">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c>
          <w:tcPr/>
          <w:p w:rsidR="00000000" w:rsidDel="00000000" w:rsidP="00000000" w:rsidRDefault="00000000" w:rsidRPr="00000000" w14:paraId="0000004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4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Chemicals</w:t>
            </w:r>
          </w:p>
        </w:tc>
        <w:tc>
          <w:tcPr/>
          <w:p w:rsidR="00000000" w:rsidDel="00000000" w:rsidP="00000000" w:rsidRDefault="00000000" w:rsidRPr="00000000" w14:paraId="0000004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chemical materials and by-products</w:t>
            </w:r>
          </w:p>
        </w:tc>
      </w:tr>
      <w:tr>
        <w:trPr>
          <w:cantSplit w:val="0"/>
          <w:tblHeader w:val="0"/>
        </w:trPr>
        <w:tc>
          <w:tcPr/>
          <w:p w:rsidR="00000000" w:rsidDel="00000000" w:rsidP="00000000" w:rsidRDefault="00000000" w:rsidRPr="00000000" w14:paraId="00000049">
            <w:pPr>
              <w:pageBreakBefore w:val="0"/>
              <w:tabs>
                <w:tab w:val="left" w:leader="none" w:pos="1718"/>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p w:rsidR="00000000" w:rsidDel="00000000" w:rsidP="00000000" w:rsidRDefault="00000000" w:rsidRPr="00000000" w14:paraId="0000004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4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p w:rsidR="00000000" w:rsidDel="00000000" w:rsidP="00000000" w:rsidRDefault="00000000" w:rsidRPr="00000000" w14:paraId="0000004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4D">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Weapons</w:t>
            </w:r>
          </w:p>
        </w:tc>
        <w:tc>
          <w:tcPr/>
          <w:p w:rsidR="00000000" w:rsidDel="00000000" w:rsidP="00000000" w:rsidRDefault="00000000" w:rsidRPr="00000000" w14:paraId="0000004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Explosives, arms and ammunition</w:t>
            </w:r>
          </w:p>
        </w:tc>
      </w:tr>
      <w:tr>
        <w:trPr>
          <w:cantSplit w:val="0"/>
          <w:tblHeader w:val="0"/>
        </w:trPr>
        <w:tc>
          <w:tcPr/>
          <w:p w:rsidR="00000000" w:rsidDel="00000000" w:rsidP="00000000" w:rsidRDefault="00000000" w:rsidRPr="00000000" w14:paraId="0000004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c>
          <w:tcPr/>
          <w:p w:rsidR="00000000" w:rsidDel="00000000" w:rsidP="00000000" w:rsidRDefault="00000000" w:rsidRPr="00000000" w14:paraId="0000005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1">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5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Agglomeration of advanced products with highest PCIs</w:t>
            </w:r>
          </w:p>
        </w:tc>
      </w:tr>
    </w:tbl>
    <w:p w:rsidR="00000000" w:rsidDel="00000000" w:rsidP="00000000" w:rsidRDefault="00000000" w:rsidRPr="00000000" w14:paraId="00000053">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Categorization of Products</w:t>
      </w:r>
    </w:p>
    <w:p w:rsidR="00000000" w:rsidDel="00000000" w:rsidP="00000000" w:rsidRDefault="00000000" w:rsidRPr="00000000" w14:paraId="00000055">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57">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59">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A">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5B">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w:t>
            </w:r>
            <w:r w:rsidDel="00000000" w:rsidR="00000000" w:rsidRPr="00000000">
              <w:rPr>
                <w:rFonts w:ascii="Times New Roman" w:cs="Times New Roman" w:eastAsia="Times New Roman" w:hAnsi="Times New Roman"/>
                <w:sz w:val="20"/>
                <w:szCs w:val="20"/>
                <w:rtl w:val="0"/>
              </w:rPr>
              <w:t xml:space="preserve"> Preparations</w:t>
            </w:r>
          </w:p>
        </w:tc>
        <w:tc>
          <w:tcPr/>
          <w:p w:rsidR="00000000" w:rsidDel="00000000" w:rsidP="00000000" w:rsidRDefault="00000000" w:rsidRPr="00000000" w14:paraId="0000005C">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w:t>
            </w:r>
            <w:r w:rsidDel="00000000" w:rsidR="00000000" w:rsidRPr="00000000">
              <w:rPr>
                <w:rFonts w:ascii="Times New Roman" w:cs="Times New Roman" w:eastAsia="Times New Roman" w:hAnsi="Times New Roman"/>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5D">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Adj.R-squared</w:t>
            </w:r>
          </w:p>
        </w:tc>
        <w:tc>
          <w:tcPr>
            <w:vAlign w:val="bottom"/>
          </w:tcPr>
          <w:p w:rsidR="00000000" w:rsidDel="00000000" w:rsidP="00000000" w:rsidRDefault="00000000" w:rsidRPr="00000000" w14:paraId="0000005E">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0.075</w:t>
            </w:r>
          </w:p>
        </w:tc>
        <w:tc>
          <w:tcPr>
            <w:vAlign w:val="bottom"/>
          </w:tcPr>
          <w:p w:rsidR="00000000" w:rsidDel="00000000" w:rsidP="00000000" w:rsidRDefault="00000000" w:rsidRPr="00000000" w14:paraId="0000005F">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0.006</w:t>
            </w:r>
          </w:p>
        </w:tc>
        <w:tc>
          <w:tcPr>
            <w:vAlign w:val="bottom"/>
          </w:tcPr>
          <w:p w:rsidR="00000000" w:rsidDel="00000000" w:rsidP="00000000" w:rsidRDefault="00000000" w:rsidRPr="00000000" w14:paraId="00000060">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0.002</w:t>
            </w:r>
          </w:p>
        </w:tc>
      </w:tr>
      <w:tr>
        <w:trPr>
          <w:cantSplit w:val="0"/>
          <w:tblHeader w:val="0"/>
        </w:trPr>
        <w:tc>
          <w:tcPr/>
          <w:p w:rsidR="00000000" w:rsidDel="00000000" w:rsidP="00000000" w:rsidRDefault="00000000" w:rsidRPr="00000000" w14:paraId="00000061">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2">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9.556</w:t>
            </w:r>
          </w:p>
        </w:tc>
        <w:tc>
          <w:tcPr>
            <w:vAlign w:val="bottom"/>
          </w:tcPr>
          <w:p w:rsidR="00000000" w:rsidDel="00000000" w:rsidP="00000000" w:rsidRDefault="00000000" w:rsidRPr="00000000" w14:paraId="00000063">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1.638</w:t>
            </w:r>
          </w:p>
        </w:tc>
        <w:tc>
          <w:tcPr>
            <w:vAlign w:val="bottom"/>
          </w:tcPr>
          <w:p w:rsidR="00000000" w:rsidDel="00000000" w:rsidP="00000000" w:rsidRDefault="00000000" w:rsidRPr="00000000" w14:paraId="00000064">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1.175</w:t>
            </w:r>
          </w:p>
        </w:tc>
      </w:tr>
      <w:tr>
        <w:trPr>
          <w:cantSplit w:val="0"/>
          <w:tblHeader w:val="0"/>
        </w:trPr>
        <w:tc>
          <w:tcPr/>
          <w:p w:rsidR="00000000" w:rsidDel="00000000" w:rsidP="00000000" w:rsidRDefault="00000000" w:rsidRPr="00000000" w14:paraId="00000065">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No. Observations</w:t>
            </w:r>
          </w:p>
        </w:tc>
        <w:tc>
          <w:tcPr>
            <w:vAlign w:val="bottom"/>
          </w:tcPr>
          <w:p w:rsidR="00000000" w:rsidDel="00000000" w:rsidP="00000000" w:rsidRDefault="00000000" w:rsidRPr="00000000" w14:paraId="00000066">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c>
          <w:tcPr>
            <w:vAlign w:val="bottom"/>
          </w:tcPr>
          <w:p w:rsidR="00000000" w:rsidDel="00000000" w:rsidP="00000000" w:rsidRDefault="00000000" w:rsidRPr="00000000" w14:paraId="00000067">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c>
          <w:tcPr>
            <w:vAlign w:val="bottom"/>
          </w:tcPr>
          <w:p w:rsidR="00000000" w:rsidDel="00000000" w:rsidP="00000000" w:rsidRDefault="00000000" w:rsidRPr="00000000" w14:paraId="00000068">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r>
    </w:tbl>
    <w:p w:rsidR="00000000" w:rsidDel="00000000" w:rsidP="00000000" w:rsidRDefault="00000000" w:rsidRPr="00000000" w14:paraId="00000069">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OLS Regression Results of GDP against Percentage Volume of Exports </w:t>
      </w:r>
    </w:p>
    <w:p w:rsidR="00000000" w:rsidDel="00000000" w:rsidP="00000000" w:rsidRDefault="00000000" w:rsidRPr="00000000" w14:paraId="0000006B">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D">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E">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6F">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w:t>
            </w:r>
            <w:r w:rsidDel="00000000" w:rsidR="00000000" w:rsidRPr="00000000">
              <w:rPr>
                <w:rFonts w:ascii="Times New Roman" w:cs="Times New Roman" w:eastAsia="Times New Roman" w:hAnsi="Times New Roman"/>
                <w:sz w:val="20"/>
                <w:szCs w:val="20"/>
                <w:rtl w:val="0"/>
              </w:rPr>
              <w:t xml:space="preserve"> Preparations</w:t>
            </w:r>
          </w:p>
        </w:tc>
        <w:tc>
          <w:tcPr/>
          <w:p w:rsidR="00000000" w:rsidDel="00000000" w:rsidP="00000000" w:rsidRDefault="00000000" w:rsidRPr="00000000" w14:paraId="00000070">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w:t>
            </w:r>
            <w:r w:rsidDel="00000000" w:rsidR="00000000" w:rsidRPr="00000000">
              <w:rPr>
                <w:rFonts w:ascii="Times New Roman" w:cs="Times New Roman" w:eastAsia="Times New Roman" w:hAnsi="Times New Roman"/>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1">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Adj.R-squared</w:t>
            </w:r>
          </w:p>
        </w:tc>
        <w:tc>
          <w:tcPr>
            <w:vAlign w:val="bottom"/>
          </w:tcPr>
          <w:p w:rsidR="00000000" w:rsidDel="00000000" w:rsidP="00000000" w:rsidRDefault="00000000" w:rsidRPr="00000000" w14:paraId="00000072">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0.149</w:t>
            </w:r>
          </w:p>
        </w:tc>
        <w:tc>
          <w:tcPr>
            <w:vAlign w:val="bottom"/>
          </w:tcPr>
          <w:p w:rsidR="00000000" w:rsidDel="00000000" w:rsidP="00000000" w:rsidRDefault="00000000" w:rsidRPr="00000000" w14:paraId="00000073">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0.003</w:t>
            </w:r>
          </w:p>
        </w:tc>
        <w:tc>
          <w:tcPr>
            <w:vAlign w:val="bottom"/>
          </w:tcPr>
          <w:p w:rsidR="00000000" w:rsidDel="00000000" w:rsidP="00000000" w:rsidRDefault="00000000" w:rsidRPr="00000000" w14:paraId="00000074">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-0.012</w:t>
            </w:r>
          </w:p>
        </w:tc>
      </w:tr>
      <w:tr>
        <w:trPr>
          <w:cantSplit w:val="0"/>
          <w:tblHeader w:val="0"/>
        </w:trPr>
        <w:tc>
          <w:tcPr/>
          <w:p w:rsidR="00000000" w:rsidDel="00000000" w:rsidP="00000000" w:rsidRDefault="00000000" w:rsidRPr="00000000" w14:paraId="00000075">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6">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4.510</w:t>
            </w:r>
          </w:p>
        </w:tc>
        <w:tc>
          <w:tcPr>
            <w:vAlign w:val="bottom"/>
          </w:tcPr>
          <w:p w:rsidR="00000000" w:rsidDel="00000000" w:rsidP="00000000" w:rsidRDefault="00000000" w:rsidRPr="00000000" w14:paraId="00000077">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1.059</w:t>
            </w:r>
          </w:p>
        </w:tc>
        <w:tc>
          <w:tcPr>
            <w:vAlign w:val="bottom"/>
          </w:tcPr>
          <w:p w:rsidR="00000000" w:rsidDel="00000000" w:rsidP="00000000" w:rsidRDefault="00000000" w:rsidRPr="00000000" w14:paraId="00000078">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0.7542</w:t>
            </w:r>
          </w:p>
        </w:tc>
      </w:tr>
      <w:tr>
        <w:trPr>
          <w:cantSplit w:val="0"/>
          <w:tblHeader w:val="0"/>
        </w:trPr>
        <w:tc>
          <w:tcPr/>
          <w:p w:rsidR="00000000" w:rsidDel="00000000" w:rsidP="00000000" w:rsidRDefault="00000000" w:rsidRPr="00000000" w14:paraId="00000079">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No. Observations</w:t>
            </w:r>
          </w:p>
        </w:tc>
        <w:tc>
          <w:tcPr>
            <w:vAlign w:val="bottom"/>
          </w:tcPr>
          <w:p w:rsidR="00000000" w:rsidDel="00000000" w:rsidP="00000000" w:rsidRDefault="00000000" w:rsidRPr="00000000" w14:paraId="0000007A">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vAlign w:val="bottom"/>
          </w:tcPr>
          <w:p w:rsidR="00000000" w:rsidDel="00000000" w:rsidP="00000000" w:rsidRDefault="00000000" w:rsidRPr="00000000" w14:paraId="0000007B">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vAlign w:val="bottom"/>
          </w:tcPr>
          <w:p w:rsidR="00000000" w:rsidDel="00000000" w:rsidP="00000000" w:rsidRDefault="00000000" w:rsidRPr="00000000" w14:paraId="0000007C">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bl>
    <w:p w:rsidR="00000000" w:rsidDel="00000000" w:rsidP="00000000" w:rsidRDefault="00000000" w:rsidRPr="00000000" w14:paraId="0000007D">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OLS Regression Results of GDP against Volume of Percentage Exports</w:t>
      </w:r>
    </w:p>
    <w:p w:rsidR="00000000" w:rsidDel="00000000" w:rsidP="00000000" w:rsidRDefault="00000000" w:rsidRPr="00000000" w14:paraId="0000007F">
      <w:pPr>
        <w:pageBreakBefore w:val="0"/>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0">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Realized Industry Development</w:t>
      </w:r>
    </w:p>
    <w:p w:rsidR="00000000" w:rsidDel="00000000" w:rsidP="00000000" w:rsidRDefault="00000000" w:rsidRPr="00000000" w14:paraId="00000083">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product categorization aforementioned, we aim to capture France’s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France and the 18 product groups in 2013 and 2018 through subtraction, where a positive RID indicates a shortening of the distance (i.e., advancement of the industry), and a negative RID indicates the reverse. As ranked in Table 2, during the period from 2013 to 2018, France has focused on products with a moderate level of complexity and those requiring intermediate skills, including raw manufacturing, Energy Drilling and Mining, which is unusual among developed economies. </w:t>
      </w:r>
    </w:p>
    <w:p w:rsidR="00000000" w:rsidDel="00000000" w:rsidP="00000000" w:rsidRDefault="00000000" w:rsidRPr="00000000" w14:paraId="00000084">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3114"/>
        <w:gridCol w:w="1276"/>
        <w:gridCol w:w="3260"/>
        <w:gridCol w:w="1360"/>
        <w:tblGridChange w:id="0">
          <w:tblGrid>
            <w:gridCol w:w="3114"/>
            <w:gridCol w:w="1276"/>
            <w:gridCol w:w="3260"/>
            <w:gridCol w:w="1360"/>
          </w:tblGrid>
        </w:tblGridChange>
      </w:tblGrid>
      <w:tr>
        <w:trPr>
          <w:cantSplit w:val="0"/>
          <w:tblHeader w:val="0"/>
        </w:trPr>
        <w:tc>
          <w:tcPr/>
          <w:p w:rsidR="00000000" w:rsidDel="00000000" w:rsidP="00000000" w:rsidRDefault="00000000" w:rsidRPr="00000000" w14:paraId="00000085">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tc>
        <w:tc>
          <w:tcPr/>
          <w:p w:rsidR="00000000" w:rsidDel="00000000" w:rsidP="00000000" w:rsidRDefault="00000000" w:rsidRPr="00000000" w14:paraId="00000086">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w:t>
            </w:r>
          </w:p>
        </w:tc>
        <w:tc>
          <w:tcPr/>
          <w:p w:rsidR="00000000" w:rsidDel="00000000" w:rsidP="00000000" w:rsidRDefault="00000000" w:rsidRPr="00000000" w14:paraId="00000087">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tc>
        <w:tc>
          <w:tcPr/>
          <w:p w:rsidR="00000000" w:rsidDel="00000000" w:rsidP="00000000" w:rsidRDefault="00000000" w:rsidRPr="00000000" w14:paraId="00000088">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w:t>
            </w:r>
          </w:p>
        </w:tc>
      </w:tr>
      <w:tr>
        <w:trPr>
          <w:cantSplit w:val="0"/>
          <w:tblHeader w:val="0"/>
        </w:trPr>
        <w:tc>
          <w:tcPr/>
          <w:p w:rsidR="00000000" w:rsidDel="00000000" w:rsidP="00000000" w:rsidRDefault="00000000" w:rsidRPr="00000000" w14:paraId="00000089">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1. Raw Manufacturing</w:t>
            </w:r>
          </w:p>
        </w:tc>
        <w:tc>
          <w:tcPr>
            <w:vAlign w:val="bottom"/>
          </w:tcPr>
          <w:p w:rsidR="00000000" w:rsidDel="00000000" w:rsidP="00000000" w:rsidRDefault="00000000" w:rsidRPr="00000000" w14:paraId="0000008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-0.080</w:t>
            </w:r>
          </w:p>
        </w:tc>
        <w:tc>
          <w:tcPr/>
          <w:p w:rsidR="00000000" w:rsidDel="00000000" w:rsidP="00000000" w:rsidRDefault="00000000" w:rsidRPr="00000000" w14:paraId="0000008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Energy Drilling and Mining</w:t>
            </w:r>
          </w:p>
        </w:tc>
        <w:tc>
          <w:tcPr>
            <w:vAlign w:val="bottom"/>
          </w:tcPr>
          <w:p w:rsidR="00000000" w:rsidDel="00000000" w:rsidP="00000000" w:rsidRDefault="00000000" w:rsidRPr="00000000" w14:paraId="0000008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-0.082</w:t>
            </w:r>
          </w:p>
        </w:tc>
      </w:tr>
      <w:tr>
        <w:trPr>
          <w:cantSplit w:val="0"/>
          <w:tblHeader w:val="0"/>
        </w:trPr>
        <w:tc>
          <w:tcPr/>
          <w:p w:rsidR="00000000" w:rsidDel="00000000" w:rsidP="00000000" w:rsidRDefault="00000000" w:rsidRPr="00000000" w14:paraId="0000008D">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3. Refined and Processed Stones</w:t>
            </w:r>
          </w:p>
        </w:tc>
        <w:tc>
          <w:tcPr>
            <w:vAlign w:val="bottom"/>
          </w:tcPr>
          <w:p w:rsidR="00000000" w:rsidDel="00000000" w:rsidP="00000000" w:rsidRDefault="00000000" w:rsidRPr="00000000" w14:paraId="0000008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-0.086</w:t>
            </w:r>
          </w:p>
        </w:tc>
        <w:tc>
          <w:tcPr/>
          <w:p w:rsidR="00000000" w:rsidDel="00000000" w:rsidP="00000000" w:rsidRDefault="00000000" w:rsidRPr="00000000" w14:paraId="0000008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Chemical Manufacturing</w:t>
            </w:r>
          </w:p>
        </w:tc>
        <w:tc>
          <w:tcPr>
            <w:vAlign w:val="bottom"/>
          </w:tcPr>
          <w:p w:rsidR="00000000" w:rsidDel="00000000" w:rsidP="00000000" w:rsidRDefault="00000000" w:rsidRPr="00000000" w14:paraId="0000009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-0.095</w:t>
            </w:r>
          </w:p>
        </w:tc>
      </w:tr>
      <w:tr>
        <w:trPr>
          <w:cantSplit w:val="0"/>
          <w:tblHeader w:val="0"/>
        </w:trPr>
        <w:tc>
          <w:tcPr/>
          <w:p w:rsidR="00000000" w:rsidDel="00000000" w:rsidP="00000000" w:rsidRDefault="00000000" w:rsidRPr="00000000" w14:paraId="00000091">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5. Chemicals</w:t>
            </w:r>
          </w:p>
        </w:tc>
        <w:tc>
          <w:tcPr>
            <w:vAlign w:val="bottom"/>
          </w:tcPr>
          <w:p w:rsidR="00000000" w:rsidDel="00000000" w:rsidP="00000000" w:rsidRDefault="00000000" w:rsidRPr="00000000" w14:paraId="0000009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-0.102</w:t>
            </w:r>
          </w:p>
        </w:tc>
        <w:tc>
          <w:tcPr/>
          <w:p w:rsidR="00000000" w:rsidDel="00000000" w:rsidP="00000000" w:rsidRDefault="00000000" w:rsidRPr="00000000" w14:paraId="0000009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Wood Products</w:t>
            </w:r>
          </w:p>
        </w:tc>
        <w:tc>
          <w:tcPr>
            <w:vAlign w:val="bottom"/>
          </w:tcPr>
          <w:p w:rsidR="00000000" w:rsidDel="00000000" w:rsidP="00000000" w:rsidRDefault="00000000" w:rsidRPr="00000000" w14:paraId="0000009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-0.111</w:t>
            </w:r>
          </w:p>
        </w:tc>
      </w:tr>
      <w:tr>
        <w:trPr>
          <w:cantSplit w:val="0"/>
          <w:tblHeader w:val="0"/>
        </w:trPr>
        <w:tc>
          <w:tcPr/>
          <w:p w:rsidR="00000000" w:rsidDel="00000000" w:rsidP="00000000" w:rsidRDefault="00000000" w:rsidRPr="00000000" w14:paraId="00000095">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7. Clothing and Accessories</w:t>
            </w:r>
          </w:p>
        </w:tc>
        <w:tc>
          <w:tcPr>
            <w:vAlign w:val="bottom"/>
          </w:tcPr>
          <w:p w:rsidR="00000000" w:rsidDel="00000000" w:rsidP="00000000" w:rsidRDefault="00000000" w:rsidRPr="00000000" w14:paraId="0000009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-0.113</w:t>
            </w:r>
          </w:p>
        </w:tc>
        <w:tc>
          <w:tcPr/>
          <w:p w:rsidR="00000000" w:rsidDel="00000000" w:rsidP="00000000" w:rsidRDefault="00000000" w:rsidRPr="00000000" w14:paraId="0000009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Services and Utilities </w:t>
            </w:r>
          </w:p>
        </w:tc>
        <w:tc>
          <w:tcPr>
            <w:vAlign w:val="bottom"/>
          </w:tcPr>
          <w:p w:rsidR="00000000" w:rsidDel="00000000" w:rsidP="00000000" w:rsidRDefault="00000000" w:rsidRPr="00000000" w14:paraId="0000009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-0.114</w:t>
            </w:r>
          </w:p>
        </w:tc>
      </w:tr>
      <w:tr>
        <w:trPr>
          <w:cantSplit w:val="0"/>
          <w:tblHeader w:val="0"/>
        </w:trPr>
        <w:tc>
          <w:tcPr/>
          <w:p w:rsidR="00000000" w:rsidDel="00000000" w:rsidP="00000000" w:rsidRDefault="00000000" w:rsidRPr="00000000" w14:paraId="00000099">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9. Weapons</w:t>
            </w:r>
          </w:p>
        </w:tc>
        <w:tc>
          <w:tcPr>
            <w:vAlign w:val="bottom"/>
          </w:tcPr>
          <w:p w:rsidR="00000000" w:rsidDel="00000000" w:rsidP="00000000" w:rsidRDefault="00000000" w:rsidRPr="00000000" w14:paraId="0000009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-0.114</w:t>
            </w:r>
          </w:p>
        </w:tc>
        <w:tc>
          <w:tcPr/>
          <w:p w:rsidR="00000000" w:rsidDel="00000000" w:rsidP="00000000" w:rsidRDefault="00000000" w:rsidRPr="00000000" w14:paraId="0000009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Animals and By-products</w:t>
            </w:r>
          </w:p>
        </w:tc>
        <w:tc>
          <w:tcPr>
            <w:vAlign w:val="bottom"/>
          </w:tcPr>
          <w:p w:rsidR="00000000" w:rsidDel="00000000" w:rsidP="00000000" w:rsidRDefault="00000000" w:rsidRPr="00000000" w14:paraId="0000009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-0.118</w:t>
            </w:r>
          </w:p>
        </w:tc>
      </w:tr>
      <w:tr>
        <w:trPr>
          <w:cantSplit w:val="0"/>
          <w:tblHeader w:val="0"/>
        </w:trPr>
        <w:tc>
          <w:tcPr/>
          <w:p w:rsidR="00000000" w:rsidDel="00000000" w:rsidP="00000000" w:rsidRDefault="00000000" w:rsidRPr="00000000" w14:paraId="0000009D">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11. Vegetables, Fruits and Plants</w:t>
            </w:r>
          </w:p>
        </w:tc>
        <w:tc>
          <w:tcPr>
            <w:vAlign w:val="bottom"/>
          </w:tcPr>
          <w:p w:rsidR="00000000" w:rsidDel="00000000" w:rsidP="00000000" w:rsidRDefault="00000000" w:rsidRPr="00000000" w14:paraId="0000009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-0.120</w:t>
            </w:r>
          </w:p>
        </w:tc>
        <w:tc>
          <w:tcPr/>
          <w:p w:rsidR="00000000" w:rsidDel="00000000" w:rsidP="00000000" w:rsidRDefault="00000000" w:rsidRPr="00000000" w14:paraId="0000009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High-complexity Products</w:t>
            </w:r>
          </w:p>
        </w:tc>
        <w:tc>
          <w:tcPr>
            <w:vAlign w:val="bottom"/>
          </w:tcPr>
          <w:p w:rsidR="00000000" w:rsidDel="00000000" w:rsidP="00000000" w:rsidRDefault="00000000" w:rsidRPr="00000000" w14:paraId="000000A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-0.129</w:t>
            </w:r>
          </w:p>
        </w:tc>
      </w:tr>
      <w:tr>
        <w:trPr>
          <w:cantSplit w:val="0"/>
          <w:tblHeader w:val="0"/>
        </w:trPr>
        <w:tc>
          <w:tcPr/>
          <w:p w:rsidR="00000000" w:rsidDel="00000000" w:rsidP="00000000" w:rsidRDefault="00000000" w:rsidRPr="00000000" w14:paraId="000000A1">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13. Food and Preparations</w:t>
            </w:r>
          </w:p>
        </w:tc>
        <w:tc>
          <w:tcPr>
            <w:vAlign w:val="bottom"/>
          </w:tcPr>
          <w:p w:rsidR="00000000" w:rsidDel="00000000" w:rsidP="00000000" w:rsidRDefault="00000000" w:rsidRPr="00000000" w14:paraId="000000A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-0.134</w:t>
            </w:r>
          </w:p>
        </w:tc>
        <w:tc>
          <w:tcPr/>
          <w:p w:rsidR="00000000" w:rsidDel="00000000" w:rsidP="00000000" w:rsidRDefault="00000000" w:rsidRPr="00000000" w14:paraId="000000A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Metals</w:t>
            </w:r>
          </w:p>
        </w:tc>
        <w:tc>
          <w:tcPr>
            <w:vAlign w:val="bottom"/>
          </w:tcPr>
          <w:p w:rsidR="00000000" w:rsidDel="00000000" w:rsidP="00000000" w:rsidRDefault="00000000" w:rsidRPr="00000000" w14:paraId="000000A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-0.136</w:t>
            </w:r>
          </w:p>
        </w:tc>
      </w:tr>
      <w:tr>
        <w:trPr>
          <w:cantSplit w:val="0"/>
          <w:tblHeader w:val="0"/>
        </w:trPr>
        <w:tc>
          <w:tcPr/>
          <w:p w:rsidR="00000000" w:rsidDel="00000000" w:rsidP="00000000" w:rsidRDefault="00000000" w:rsidRPr="00000000" w14:paraId="000000A5">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15. Textiles</w:t>
            </w:r>
          </w:p>
        </w:tc>
        <w:tc>
          <w:tcPr>
            <w:vAlign w:val="bottom"/>
          </w:tcPr>
          <w:p w:rsidR="00000000" w:rsidDel="00000000" w:rsidP="00000000" w:rsidRDefault="00000000" w:rsidRPr="00000000" w14:paraId="000000A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-0.147</w:t>
            </w:r>
          </w:p>
        </w:tc>
        <w:tc>
          <w:tcPr/>
          <w:p w:rsidR="00000000" w:rsidDel="00000000" w:rsidP="00000000" w:rsidRDefault="00000000" w:rsidRPr="00000000" w14:paraId="000000A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 Transportation</w:t>
            </w:r>
          </w:p>
        </w:tc>
        <w:tc>
          <w:tcPr>
            <w:vAlign w:val="bottom"/>
          </w:tcPr>
          <w:p w:rsidR="00000000" w:rsidDel="00000000" w:rsidP="00000000" w:rsidRDefault="00000000" w:rsidRPr="00000000" w14:paraId="000000A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-0.178</w:t>
            </w:r>
          </w:p>
        </w:tc>
      </w:tr>
      <w:tr>
        <w:trPr>
          <w:cantSplit w:val="0"/>
          <w:tblHeader w:val="0"/>
        </w:trPr>
        <w:tc>
          <w:tcPr/>
          <w:p w:rsidR="00000000" w:rsidDel="00000000" w:rsidP="00000000" w:rsidRDefault="00000000" w:rsidRPr="00000000" w14:paraId="000000A9">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17. Daily Instruments</w:t>
            </w:r>
          </w:p>
        </w:tc>
        <w:tc>
          <w:tcPr>
            <w:vAlign w:val="bottom"/>
          </w:tcPr>
          <w:p w:rsidR="00000000" w:rsidDel="00000000" w:rsidP="00000000" w:rsidRDefault="00000000" w:rsidRPr="00000000" w14:paraId="000000A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-0.241</w:t>
            </w:r>
          </w:p>
        </w:tc>
        <w:tc>
          <w:tcPr/>
          <w:p w:rsidR="00000000" w:rsidDel="00000000" w:rsidP="00000000" w:rsidRDefault="00000000" w:rsidRPr="00000000" w14:paraId="000000A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Machinery and Construction</w:t>
            </w:r>
          </w:p>
        </w:tc>
        <w:tc>
          <w:tcPr>
            <w:vAlign w:val="bottom"/>
          </w:tcPr>
          <w:p w:rsidR="00000000" w:rsidDel="00000000" w:rsidP="00000000" w:rsidRDefault="00000000" w:rsidRPr="00000000" w14:paraId="000000A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-0.324</w:t>
            </w:r>
          </w:p>
        </w:tc>
      </w:tr>
    </w:tbl>
    <w:p w:rsidR="00000000" w:rsidDel="00000000" w:rsidP="00000000" w:rsidRDefault="00000000" w:rsidRPr="00000000" w14:paraId="000000AD">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Realized Industry Development (RID) of France</w:t>
      </w:r>
    </w:p>
    <w:p w:rsidR="00000000" w:rsidDel="00000000" w:rsidP="00000000" w:rsidRDefault="00000000" w:rsidRPr="00000000" w14:paraId="000000AF">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0">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B1">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B2">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Product Categorization</w:t>
      </w:r>
    </w:p>
    <w:p w:rsidR="00000000" w:rsidDel="00000000" w:rsidP="00000000" w:rsidRDefault="00000000" w:rsidRPr="00000000" w14:paraId="000000B3">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B4">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B6">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5"/>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B7">
            <w:pPr>
              <w:pageBreakBefore w:val="0"/>
              <w:spacing w:line="24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Category</w:t>
            </w:r>
          </w:p>
        </w:tc>
        <w:tc>
          <w:tcPr/>
          <w:p w:rsidR="00000000" w:rsidDel="00000000" w:rsidP="00000000" w:rsidRDefault="00000000" w:rsidRPr="00000000" w14:paraId="000000B8">
            <w:pPr>
              <w:pageBreakBefore w:val="0"/>
              <w:spacing w:line="24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Description</w:t>
            </w:r>
          </w:p>
        </w:tc>
      </w:tr>
      <w:tr>
        <w:trPr>
          <w:cantSplit w:val="0"/>
          <w:tblHeader w:val="0"/>
        </w:trPr>
        <w:tc>
          <w:tcPr/>
          <w:p w:rsidR="00000000" w:rsidDel="00000000" w:rsidP="00000000" w:rsidRDefault="00000000" w:rsidRPr="00000000" w14:paraId="000000B9">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 By-products</w:t>
            </w:r>
          </w:p>
        </w:tc>
        <w:tc>
          <w:tcPr/>
          <w:p w:rsidR="00000000" w:rsidDel="00000000" w:rsidP="00000000" w:rsidRDefault="00000000" w:rsidRPr="00000000" w14:paraId="000000B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B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Vegetables, Fruits and Plants</w:t>
            </w:r>
          </w:p>
        </w:tc>
        <w:tc>
          <w:tcPr/>
          <w:p w:rsidR="00000000" w:rsidDel="00000000" w:rsidP="00000000" w:rsidRDefault="00000000" w:rsidRPr="00000000" w14:paraId="000000B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BD">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Preparations</w:t>
            </w:r>
          </w:p>
        </w:tc>
        <w:tc>
          <w:tcPr/>
          <w:p w:rsidR="00000000" w:rsidDel="00000000" w:rsidP="00000000" w:rsidRDefault="00000000" w:rsidRPr="00000000" w14:paraId="000000B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B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Clothing and Accessories</w:t>
            </w:r>
          </w:p>
        </w:tc>
        <w:tc>
          <w:tcPr/>
          <w:p w:rsidR="00000000" w:rsidDel="00000000" w:rsidP="00000000" w:rsidRDefault="00000000" w:rsidRPr="00000000" w14:paraId="000000C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C1">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p w:rsidR="00000000" w:rsidDel="00000000" w:rsidP="00000000" w:rsidRDefault="00000000" w:rsidRPr="00000000" w14:paraId="000000C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C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 Products</w:t>
            </w:r>
          </w:p>
        </w:tc>
        <w:tc>
          <w:tcPr/>
          <w:p w:rsidR="00000000" w:rsidDel="00000000" w:rsidP="00000000" w:rsidRDefault="00000000" w:rsidRPr="00000000" w14:paraId="000000C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C5">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Metals</w:t>
            </w:r>
          </w:p>
        </w:tc>
        <w:tc>
          <w:tcPr/>
          <w:p w:rsidR="00000000" w:rsidDel="00000000" w:rsidP="00000000" w:rsidRDefault="00000000" w:rsidRPr="00000000" w14:paraId="000000C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of all sorts of raw Metals</w:t>
            </w:r>
          </w:p>
        </w:tc>
      </w:tr>
      <w:tr>
        <w:trPr>
          <w:cantSplit w:val="0"/>
          <w:tblHeader w:val="0"/>
        </w:trPr>
        <w:tc>
          <w:tcPr/>
          <w:p w:rsidR="00000000" w:rsidDel="00000000" w:rsidP="00000000" w:rsidRDefault="00000000" w:rsidRPr="00000000" w14:paraId="000000C7">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Refined and Processed Stones</w:t>
            </w:r>
          </w:p>
        </w:tc>
        <w:tc>
          <w:tcPr/>
          <w:p w:rsidR="00000000" w:rsidDel="00000000" w:rsidP="00000000" w:rsidRDefault="00000000" w:rsidRPr="00000000" w14:paraId="000000C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C9">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Energy Drilling and Mining</w:t>
            </w:r>
          </w:p>
        </w:tc>
        <w:tc>
          <w:tcPr/>
          <w:p w:rsidR="00000000" w:rsidDel="00000000" w:rsidP="00000000" w:rsidRDefault="00000000" w:rsidRPr="00000000" w14:paraId="000000C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C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p w:rsidR="00000000" w:rsidDel="00000000" w:rsidP="00000000" w:rsidRDefault="00000000" w:rsidRPr="00000000" w14:paraId="000000C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CD">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Manufacturing</w:t>
            </w:r>
          </w:p>
        </w:tc>
        <w:tc>
          <w:tcPr/>
          <w:p w:rsidR="00000000" w:rsidDel="00000000" w:rsidP="00000000" w:rsidRDefault="00000000" w:rsidRPr="00000000" w14:paraId="000000C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C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c>
          <w:tcPr/>
          <w:p w:rsidR="00000000" w:rsidDel="00000000" w:rsidP="00000000" w:rsidRDefault="00000000" w:rsidRPr="00000000" w14:paraId="000000D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D1">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Chemicals</w:t>
            </w:r>
          </w:p>
        </w:tc>
        <w:tc>
          <w:tcPr/>
          <w:p w:rsidR="00000000" w:rsidDel="00000000" w:rsidP="00000000" w:rsidRDefault="00000000" w:rsidRPr="00000000" w14:paraId="000000D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chemical materials and by-products</w:t>
            </w:r>
          </w:p>
        </w:tc>
      </w:tr>
      <w:tr>
        <w:trPr>
          <w:cantSplit w:val="0"/>
          <w:tblHeader w:val="0"/>
        </w:trPr>
        <w:tc>
          <w:tcPr/>
          <w:p w:rsidR="00000000" w:rsidDel="00000000" w:rsidP="00000000" w:rsidRDefault="00000000" w:rsidRPr="00000000" w14:paraId="000000D3">
            <w:pPr>
              <w:pageBreakBefore w:val="0"/>
              <w:tabs>
                <w:tab w:val="left" w:leader="none" w:pos="1718"/>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p w:rsidR="00000000" w:rsidDel="00000000" w:rsidP="00000000" w:rsidRDefault="00000000" w:rsidRPr="00000000" w14:paraId="000000D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D5">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p w:rsidR="00000000" w:rsidDel="00000000" w:rsidP="00000000" w:rsidRDefault="00000000" w:rsidRPr="00000000" w14:paraId="000000D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D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Weapons</w:t>
            </w:r>
          </w:p>
        </w:tc>
        <w:tc>
          <w:tcPr/>
          <w:p w:rsidR="00000000" w:rsidDel="00000000" w:rsidP="00000000" w:rsidRDefault="00000000" w:rsidRPr="00000000" w14:paraId="000000D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Explosives, arms and ammunition</w:t>
            </w:r>
          </w:p>
        </w:tc>
      </w:tr>
      <w:tr>
        <w:trPr>
          <w:cantSplit w:val="0"/>
          <w:tblHeader w:val="0"/>
        </w:trPr>
        <w:tc>
          <w:tcPr/>
          <w:p w:rsidR="00000000" w:rsidDel="00000000" w:rsidP="00000000" w:rsidRDefault="00000000" w:rsidRPr="00000000" w14:paraId="000000D9">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c>
          <w:tcPr/>
          <w:p w:rsidR="00000000" w:rsidDel="00000000" w:rsidP="00000000" w:rsidRDefault="00000000" w:rsidRPr="00000000" w14:paraId="000000D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D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D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Agglomeration of advanced products with highest PCIs</w:t>
            </w:r>
          </w:p>
        </w:tc>
      </w:tr>
    </w:tbl>
    <w:p w:rsidR="00000000" w:rsidDel="00000000" w:rsidP="00000000" w:rsidRDefault="00000000" w:rsidRPr="00000000" w14:paraId="000000DD">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Categorization of Products</w:t>
      </w:r>
    </w:p>
    <w:p w:rsidR="00000000" w:rsidDel="00000000" w:rsidP="00000000" w:rsidRDefault="00000000" w:rsidRPr="00000000" w14:paraId="000000DF">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E1">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6"/>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E3">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4">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E5">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w:t>
            </w:r>
            <w:r w:rsidDel="00000000" w:rsidR="00000000" w:rsidRPr="00000000">
              <w:rPr>
                <w:rFonts w:ascii="Times New Roman" w:cs="Times New Roman" w:eastAsia="Times New Roman" w:hAnsi="Times New Roman"/>
                <w:sz w:val="20"/>
                <w:szCs w:val="20"/>
                <w:rtl w:val="0"/>
              </w:rPr>
              <w:t xml:space="preserve"> Preparations</w:t>
            </w:r>
          </w:p>
        </w:tc>
        <w:tc>
          <w:tcPr/>
          <w:p w:rsidR="00000000" w:rsidDel="00000000" w:rsidP="00000000" w:rsidRDefault="00000000" w:rsidRPr="00000000" w14:paraId="000000E6">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w:t>
            </w:r>
            <w:r w:rsidDel="00000000" w:rsidR="00000000" w:rsidRPr="00000000">
              <w:rPr>
                <w:rFonts w:ascii="Times New Roman" w:cs="Times New Roman" w:eastAsia="Times New Roman" w:hAnsi="Times New Roman"/>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E7">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Adj.R-squared</w:t>
            </w:r>
          </w:p>
        </w:tc>
        <w:tc>
          <w:tcPr>
            <w:vAlign w:val="bottom"/>
          </w:tcPr>
          <w:p w:rsidR="00000000" w:rsidDel="00000000" w:rsidP="00000000" w:rsidRDefault="00000000" w:rsidRPr="00000000" w14:paraId="000000E8">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0.075</w:t>
            </w:r>
          </w:p>
        </w:tc>
        <w:tc>
          <w:tcPr>
            <w:vAlign w:val="bottom"/>
          </w:tcPr>
          <w:p w:rsidR="00000000" w:rsidDel="00000000" w:rsidP="00000000" w:rsidRDefault="00000000" w:rsidRPr="00000000" w14:paraId="000000E9">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0.006</w:t>
            </w:r>
          </w:p>
        </w:tc>
        <w:tc>
          <w:tcPr>
            <w:vAlign w:val="bottom"/>
          </w:tcPr>
          <w:p w:rsidR="00000000" w:rsidDel="00000000" w:rsidP="00000000" w:rsidRDefault="00000000" w:rsidRPr="00000000" w14:paraId="000000EA">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0.002</w:t>
            </w:r>
          </w:p>
        </w:tc>
      </w:tr>
      <w:tr>
        <w:trPr>
          <w:cantSplit w:val="0"/>
          <w:tblHeader w:val="0"/>
        </w:trPr>
        <w:tc>
          <w:tcPr/>
          <w:p w:rsidR="00000000" w:rsidDel="00000000" w:rsidP="00000000" w:rsidRDefault="00000000" w:rsidRPr="00000000" w14:paraId="000000EB">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EC">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9.556</w:t>
            </w:r>
          </w:p>
        </w:tc>
        <w:tc>
          <w:tcPr>
            <w:vAlign w:val="bottom"/>
          </w:tcPr>
          <w:p w:rsidR="00000000" w:rsidDel="00000000" w:rsidP="00000000" w:rsidRDefault="00000000" w:rsidRPr="00000000" w14:paraId="000000ED">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1.638</w:t>
            </w:r>
          </w:p>
        </w:tc>
        <w:tc>
          <w:tcPr>
            <w:vAlign w:val="bottom"/>
          </w:tcPr>
          <w:p w:rsidR="00000000" w:rsidDel="00000000" w:rsidP="00000000" w:rsidRDefault="00000000" w:rsidRPr="00000000" w14:paraId="000000EE">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1.175</w:t>
            </w:r>
          </w:p>
        </w:tc>
      </w:tr>
      <w:tr>
        <w:trPr>
          <w:cantSplit w:val="0"/>
          <w:tblHeader w:val="0"/>
        </w:trPr>
        <w:tc>
          <w:tcPr/>
          <w:p w:rsidR="00000000" w:rsidDel="00000000" w:rsidP="00000000" w:rsidRDefault="00000000" w:rsidRPr="00000000" w14:paraId="000000EF">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No. Observations</w:t>
            </w:r>
          </w:p>
        </w:tc>
        <w:tc>
          <w:tcPr>
            <w:vAlign w:val="bottom"/>
          </w:tcPr>
          <w:p w:rsidR="00000000" w:rsidDel="00000000" w:rsidP="00000000" w:rsidRDefault="00000000" w:rsidRPr="00000000" w14:paraId="000000F0">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c>
          <w:tcPr>
            <w:vAlign w:val="bottom"/>
          </w:tcPr>
          <w:p w:rsidR="00000000" w:rsidDel="00000000" w:rsidP="00000000" w:rsidRDefault="00000000" w:rsidRPr="00000000" w14:paraId="000000F1">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c>
          <w:tcPr>
            <w:vAlign w:val="bottom"/>
          </w:tcPr>
          <w:p w:rsidR="00000000" w:rsidDel="00000000" w:rsidP="00000000" w:rsidRDefault="00000000" w:rsidRPr="00000000" w14:paraId="000000F2">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r>
    </w:tbl>
    <w:p w:rsidR="00000000" w:rsidDel="00000000" w:rsidP="00000000" w:rsidRDefault="00000000" w:rsidRPr="00000000" w14:paraId="000000F3">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OLS Regression Results of GDP against Percentage Volume of Exports </w:t>
      </w:r>
    </w:p>
    <w:p w:rsidR="00000000" w:rsidDel="00000000" w:rsidP="00000000" w:rsidRDefault="00000000" w:rsidRPr="00000000" w14:paraId="000000F5">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7"/>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F7">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8">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F9">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w:t>
            </w:r>
            <w:r w:rsidDel="00000000" w:rsidR="00000000" w:rsidRPr="00000000">
              <w:rPr>
                <w:rFonts w:ascii="Times New Roman" w:cs="Times New Roman" w:eastAsia="Times New Roman" w:hAnsi="Times New Roman"/>
                <w:sz w:val="20"/>
                <w:szCs w:val="20"/>
                <w:rtl w:val="0"/>
              </w:rPr>
              <w:t xml:space="preserve"> Preparations</w:t>
            </w:r>
          </w:p>
        </w:tc>
        <w:tc>
          <w:tcPr/>
          <w:p w:rsidR="00000000" w:rsidDel="00000000" w:rsidP="00000000" w:rsidRDefault="00000000" w:rsidRPr="00000000" w14:paraId="000000FA">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w:t>
            </w:r>
            <w:r w:rsidDel="00000000" w:rsidR="00000000" w:rsidRPr="00000000">
              <w:rPr>
                <w:rFonts w:ascii="Times New Roman" w:cs="Times New Roman" w:eastAsia="Times New Roman" w:hAnsi="Times New Roman"/>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FB">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Adj.R-squared</w:t>
            </w:r>
          </w:p>
        </w:tc>
        <w:tc>
          <w:tcPr>
            <w:vAlign w:val="bottom"/>
          </w:tcPr>
          <w:p w:rsidR="00000000" w:rsidDel="00000000" w:rsidP="00000000" w:rsidRDefault="00000000" w:rsidRPr="00000000" w14:paraId="000000FC">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0.149</w:t>
            </w:r>
          </w:p>
        </w:tc>
        <w:tc>
          <w:tcPr>
            <w:vAlign w:val="bottom"/>
          </w:tcPr>
          <w:p w:rsidR="00000000" w:rsidDel="00000000" w:rsidP="00000000" w:rsidRDefault="00000000" w:rsidRPr="00000000" w14:paraId="000000FD">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0.003</w:t>
            </w:r>
          </w:p>
        </w:tc>
        <w:tc>
          <w:tcPr>
            <w:vAlign w:val="bottom"/>
          </w:tcPr>
          <w:p w:rsidR="00000000" w:rsidDel="00000000" w:rsidP="00000000" w:rsidRDefault="00000000" w:rsidRPr="00000000" w14:paraId="000000FE">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-0.012</w:t>
            </w:r>
          </w:p>
        </w:tc>
      </w:tr>
      <w:tr>
        <w:trPr>
          <w:cantSplit w:val="0"/>
          <w:tblHeader w:val="0"/>
        </w:trPr>
        <w:tc>
          <w:tcPr/>
          <w:p w:rsidR="00000000" w:rsidDel="00000000" w:rsidP="00000000" w:rsidRDefault="00000000" w:rsidRPr="00000000" w14:paraId="000000FF">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100">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4.510</w:t>
            </w:r>
          </w:p>
        </w:tc>
        <w:tc>
          <w:tcPr>
            <w:vAlign w:val="bottom"/>
          </w:tcPr>
          <w:p w:rsidR="00000000" w:rsidDel="00000000" w:rsidP="00000000" w:rsidRDefault="00000000" w:rsidRPr="00000000" w14:paraId="00000101">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1.059</w:t>
            </w:r>
          </w:p>
        </w:tc>
        <w:tc>
          <w:tcPr>
            <w:vAlign w:val="bottom"/>
          </w:tcPr>
          <w:p w:rsidR="00000000" w:rsidDel="00000000" w:rsidP="00000000" w:rsidRDefault="00000000" w:rsidRPr="00000000" w14:paraId="00000102">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0.7542</w:t>
            </w:r>
          </w:p>
        </w:tc>
      </w:tr>
      <w:tr>
        <w:trPr>
          <w:cantSplit w:val="0"/>
          <w:tblHeader w:val="0"/>
        </w:trPr>
        <w:tc>
          <w:tcPr/>
          <w:p w:rsidR="00000000" w:rsidDel="00000000" w:rsidP="00000000" w:rsidRDefault="00000000" w:rsidRPr="00000000" w14:paraId="00000103">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No. Observations</w:t>
            </w:r>
          </w:p>
        </w:tc>
        <w:tc>
          <w:tcPr>
            <w:vAlign w:val="bottom"/>
          </w:tcPr>
          <w:p w:rsidR="00000000" w:rsidDel="00000000" w:rsidP="00000000" w:rsidRDefault="00000000" w:rsidRPr="00000000" w14:paraId="00000104">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vAlign w:val="bottom"/>
          </w:tcPr>
          <w:p w:rsidR="00000000" w:rsidDel="00000000" w:rsidP="00000000" w:rsidRDefault="00000000" w:rsidRPr="00000000" w14:paraId="00000105">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vAlign w:val="bottom"/>
          </w:tcPr>
          <w:p w:rsidR="00000000" w:rsidDel="00000000" w:rsidP="00000000" w:rsidRDefault="00000000" w:rsidRPr="00000000" w14:paraId="00000106">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bl>
    <w:p w:rsidR="00000000" w:rsidDel="00000000" w:rsidP="00000000" w:rsidRDefault="00000000" w:rsidRPr="00000000" w14:paraId="00000107">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OLS Regression Results of GDP against Volume of Percentage Exports</w:t>
      </w:r>
    </w:p>
    <w:p w:rsidR="00000000" w:rsidDel="00000000" w:rsidP="00000000" w:rsidRDefault="00000000" w:rsidRPr="00000000" w14:paraId="00000109">
      <w:pPr>
        <w:pageBreakBefore w:val="0"/>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A">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C">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Realized Industry Development</w:t>
      </w:r>
    </w:p>
    <w:p w:rsidR="00000000" w:rsidDel="00000000" w:rsidP="00000000" w:rsidRDefault="00000000" w:rsidRPr="00000000" w14:paraId="0000010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product categorization aforementioned, we aim to capture Italy’s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Italy and the 18 product groups in 2013 and 2018 through subtraction, where a positive RID indicates a shortening of the distance (i.e., advancement of the industry), and a negative RID indicates the reverse. As ranked in Table 2, during the period from 2013 to 2018, Italy has focused on products with a moderate level of complexity and those requiring intermediate skills. </w:t>
      </w:r>
    </w:p>
    <w:p w:rsidR="00000000" w:rsidDel="00000000" w:rsidP="00000000" w:rsidRDefault="00000000" w:rsidRPr="00000000" w14:paraId="0000010E">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00650" cy="2533650"/>
            <wp:effectExtent b="0" l="0" r="0" t="0"/>
            <wp:docPr id="21"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20065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Realized Industry Development (RID) of Italy</w:t>
      </w:r>
    </w:p>
    <w:p w:rsidR="00000000" w:rsidDel="00000000" w:rsidP="00000000" w:rsidRDefault="00000000" w:rsidRPr="00000000" w14:paraId="00000111">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2">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Regional and Global Comparison</w:t>
      </w:r>
    </w:p>
    <w:p w:rsidR="00000000" w:rsidDel="00000000" w:rsidP="00000000" w:rsidRDefault="00000000" w:rsidRPr="00000000" w14:paraId="00000113">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and 4 below summarize how the production strategy adopted by Italy compares with leading economies and a selected group of emerging economies in the world, as measured in RID. It can be directly observed that Italy focused on products with a lower complexity level, when compared against leading economies such as the United States and Germany, which gave a considerable level of attention to more advanced product groups such as clothing, services and utilities, and chemical manufacturing.</w:t>
      </w:r>
    </w:p>
    <w:p w:rsidR="00000000" w:rsidDel="00000000" w:rsidP="00000000" w:rsidRDefault="00000000" w:rsidRPr="00000000" w14:paraId="00000114">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8"/>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115">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w:t>
            </w:r>
          </w:p>
        </w:tc>
        <w:tc>
          <w:tcPr/>
          <w:p w:rsidR="00000000" w:rsidDel="00000000" w:rsidP="00000000" w:rsidRDefault="00000000" w:rsidRPr="00000000" w14:paraId="00000116">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France</w:t>
            </w:r>
          </w:p>
        </w:tc>
        <w:tc>
          <w:tcPr/>
          <w:p w:rsidR="00000000" w:rsidDel="00000000" w:rsidP="00000000" w:rsidRDefault="00000000" w:rsidRPr="00000000" w14:paraId="00000117">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United States</w:t>
            </w:r>
          </w:p>
        </w:tc>
        <w:tc>
          <w:tcPr/>
          <w:p w:rsidR="00000000" w:rsidDel="00000000" w:rsidP="00000000" w:rsidRDefault="00000000" w:rsidRPr="00000000" w14:paraId="00000118">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Germany</w:t>
            </w:r>
          </w:p>
        </w:tc>
      </w:tr>
      <w:tr>
        <w:trPr>
          <w:cantSplit w:val="0"/>
          <w:tblHeader w:val="0"/>
        </w:trPr>
        <w:tc>
          <w:tcPr/>
          <w:p w:rsidR="00000000" w:rsidDel="00000000" w:rsidP="00000000" w:rsidRDefault="00000000" w:rsidRPr="00000000" w14:paraId="00000119">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1</w:t>
            </w:r>
          </w:p>
        </w:tc>
        <w:tc>
          <w:tcPr>
            <w:vAlign w:val="bottom"/>
          </w:tcPr>
          <w:p w:rsidR="00000000" w:rsidDel="00000000" w:rsidP="00000000" w:rsidRDefault="00000000" w:rsidRPr="00000000" w14:paraId="0000011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vAlign w:val="bottom"/>
          </w:tcPr>
          <w:p w:rsidR="00000000" w:rsidDel="00000000" w:rsidP="00000000" w:rsidRDefault="00000000" w:rsidRPr="00000000" w14:paraId="0000011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c>
          <w:tcPr>
            <w:vAlign w:val="bottom"/>
          </w:tcPr>
          <w:p w:rsidR="00000000" w:rsidDel="00000000" w:rsidP="00000000" w:rsidRDefault="00000000" w:rsidRPr="00000000" w14:paraId="0000011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r>
      <w:tr>
        <w:trPr>
          <w:cantSplit w:val="0"/>
          <w:tblHeader w:val="0"/>
        </w:trPr>
        <w:tc>
          <w:tcPr/>
          <w:p w:rsidR="00000000" w:rsidDel="00000000" w:rsidP="00000000" w:rsidRDefault="00000000" w:rsidRPr="00000000" w14:paraId="0000011D">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2</w:t>
            </w:r>
          </w:p>
        </w:tc>
        <w:tc>
          <w:tcPr>
            <w:vAlign w:val="bottom"/>
          </w:tcPr>
          <w:p w:rsidR="00000000" w:rsidDel="00000000" w:rsidP="00000000" w:rsidRDefault="00000000" w:rsidRPr="00000000" w14:paraId="0000011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c>
          <w:tcPr>
            <w:vAlign w:val="bottom"/>
          </w:tcPr>
          <w:p w:rsidR="00000000" w:rsidDel="00000000" w:rsidP="00000000" w:rsidRDefault="00000000" w:rsidRPr="00000000" w14:paraId="0000011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Weapons</w:t>
            </w:r>
          </w:p>
        </w:tc>
        <w:tc>
          <w:tcPr>
            <w:vAlign w:val="bottom"/>
          </w:tcPr>
          <w:p w:rsidR="00000000" w:rsidDel="00000000" w:rsidP="00000000" w:rsidRDefault="00000000" w:rsidRPr="00000000" w14:paraId="0000012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r>
      <w:tr>
        <w:trPr>
          <w:cantSplit w:val="0"/>
          <w:tblHeader w:val="0"/>
        </w:trPr>
        <w:tc>
          <w:tcPr/>
          <w:p w:rsidR="00000000" w:rsidDel="00000000" w:rsidP="00000000" w:rsidRDefault="00000000" w:rsidRPr="00000000" w14:paraId="00000121">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3</w:t>
            </w:r>
          </w:p>
        </w:tc>
        <w:tc>
          <w:tcPr>
            <w:vAlign w:val="bottom"/>
          </w:tcPr>
          <w:p w:rsidR="00000000" w:rsidDel="00000000" w:rsidP="00000000" w:rsidRDefault="00000000" w:rsidRPr="00000000" w14:paraId="0000012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vAlign w:val="bottom"/>
          </w:tcPr>
          <w:p w:rsidR="00000000" w:rsidDel="00000000" w:rsidP="00000000" w:rsidRDefault="00000000" w:rsidRPr="00000000" w14:paraId="0000012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Manufacturing</w:t>
            </w:r>
          </w:p>
        </w:tc>
        <w:tc>
          <w:tcPr>
            <w:vAlign w:val="bottom"/>
          </w:tcPr>
          <w:p w:rsidR="00000000" w:rsidDel="00000000" w:rsidP="00000000" w:rsidRDefault="00000000" w:rsidRPr="00000000" w14:paraId="0000012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 Products</w:t>
            </w:r>
          </w:p>
        </w:tc>
      </w:tr>
      <w:tr>
        <w:trPr>
          <w:cantSplit w:val="0"/>
          <w:tblHeader w:val="0"/>
        </w:trPr>
        <w:tc>
          <w:tcPr/>
          <w:p w:rsidR="00000000" w:rsidDel="00000000" w:rsidP="00000000" w:rsidRDefault="00000000" w:rsidRPr="00000000" w14:paraId="00000125">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4</w:t>
            </w:r>
          </w:p>
        </w:tc>
        <w:tc>
          <w:tcPr>
            <w:vAlign w:val="bottom"/>
          </w:tcPr>
          <w:p w:rsidR="00000000" w:rsidDel="00000000" w:rsidP="00000000" w:rsidRDefault="00000000" w:rsidRPr="00000000" w14:paraId="0000012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 By-products</w:t>
            </w:r>
          </w:p>
        </w:tc>
        <w:tc>
          <w:tcPr>
            <w:vAlign w:val="bottom"/>
          </w:tcPr>
          <w:p w:rsidR="00000000" w:rsidDel="00000000" w:rsidP="00000000" w:rsidRDefault="00000000" w:rsidRPr="00000000" w14:paraId="0000012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Precious Stones</w:t>
            </w:r>
          </w:p>
        </w:tc>
        <w:tc>
          <w:tcPr>
            <w:vAlign w:val="bottom"/>
          </w:tcPr>
          <w:p w:rsidR="00000000" w:rsidDel="00000000" w:rsidP="00000000" w:rsidRDefault="00000000" w:rsidRPr="00000000" w14:paraId="0000012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Metals</w:t>
            </w:r>
          </w:p>
        </w:tc>
      </w:tr>
      <w:tr>
        <w:trPr>
          <w:cantSplit w:val="0"/>
          <w:tblHeader w:val="0"/>
        </w:trPr>
        <w:tc>
          <w:tcPr/>
          <w:p w:rsidR="00000000" w:rsidDel="00000000" w:rsidP="00000000" w:rsidRDefault="00000000" w:rsidRPr="00000000" w14:paraId="00000129">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5</w:t>
            </w:r>
          </w:p>
        </w:tc>
        <w:tc>
          <w:tcPr>
            <w:vAlign w:val="bottom"/>
          </w:tcPr>
          <w:p w:rsidR="00000000" w:rsidDel="00000000" w:rsidP="00000000" w:rsidRDefault="00000000" w:rsidRPr="00000000" w14:paraId="0000012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Preparations</w:t>
            </w:r>
          </w:p>
        </w:tc>
        <w:tc>
          <w:tcPr>
            <w:vAlign w:val="bottom"/>
          </w:tcPr>
          <w:p w:rsidR="00000000" w:rsidDel="00000000" w:rsidP="00000000" w:rsidRDefault="00000000" w:rsidRPr="00000000" w14:paraId="0000012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 By-products</w:t>
            </w:r>
          </w:p>
        </w:tc>
        <w:tc>
          <w:tcPr>
            <w:vAlign w:val="bottom"/>
          </w:tcPr>
          <w:p w:rsidR="00000000" w:rsidDel="00000000" w:rsidP="00000000" w:rsidRDefault="00000000" w:rsidRPr="00000000" w14:paraId="0000012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Preparations</w:t>
            </w:r>
          </w:p>
        </w:tc>
      </w:tr>
    </w:tbl>
    <w:p w:rsidR="00000000" w:rsidDel="00000000" w:rsidP="00000000" w:rsidRDefault="00000000" w:rsidRPr="00000000" w14:paraId="0000012D">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RID Comparison across Leading Economies</w:t>
      </w:r>
    </w:p>
    <w:p w:rsidR="00000000" w:rsidDel="00000000" w:rsidP="00000000" w:rsidRDefault="00000000" w:rsidRPr="00000000" w14:paraId="0000012F">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pageBreakBefore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9"/>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13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w:t>
            </w:r>
          </w:p>
        </w:tc>
        <w:tc>
          <w:tcPr/>
          <w:p w:rsidR="00000000" w:rsidDel="00000000" w:rsidP="00000000" w:rsidRDefault="00000000" w:rsidRPr="00000000" w14:paraId="00000132">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w:t>
            </w:r>
          </w:p>
        </w:tc>
        <w:tc>
          <w:tcPr/>
          <w:p w:rsidR="00000000" w:rsidDel="00000000" w:rsidP="00000000" w:rsidRDefault="00000000" w:rsidRPr="00000000" w14:paraId="00000133">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Korea</w:t>
            </w:r>
          </w:p>
        </w:tc>
        <w:tc>
          <w:tcPr/>
          <w:p w:rsidR="00000000" w:rsidDel="00000000" w:rsidP="00000000" w:rsidRDefault="00000000" w:rsidRPr="00000000" w14:paraId="00000134">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Singapore</w:t>
            </w:r>
          </w:p>
        </w:tc>
      </w:tr>
      <w:tr>
        <w:trPr>
          <w:cantSplit w:val="0"/>
          <w:tblHeader w:val="0"/>
        </w:trPr>
        <w:tc>
          <w:tcPr/>
          <w:p w:rsidR="00000000" w:rsidDel="00000000" w:rsidP="00000000" w:rsidRDefault="00000000" w:rsidRPr="00000000" w14:paraId="00000135">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1</w:t>
            </w:r>
          </w:p>
        </w:tc>
        <w:tc>
          <w:tcPr>
            <w:vAlign w:val="bottom"/>
          </w:tcPr>
          <w:p w:rsidR="00000000" w:rsidDel="00000000" w:rsidP="00000000" w:rsidRDefault="00000000" w:rsidRPr="00000000" w14:paraId="0000013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vAlign w:val="bottom"/>
          </w:tcPr>
          <w:p w:rsidR="00000000" w:rsidDel="00000000" w:rsidP="00000000" w:rsidRDefault="00000000" w:rsidRPr="00000000" w14:paraId="0000013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vAlign w:val="bottom"/>
          </w:tcPr>
          <w:p w:rsidR="00000000" w:rsidDel="00000000" w:rsidP="00000000" w:rsidRDefault="00000000" w:rsidRPr="00000000" w14:paraId="0000013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r>
      <w:tr>
        <w:trPr>
          <w:cantSplit w:val="0"/>
          <w:tblHeader w:val="0"/>
        </w:trPr>
        <w:tc>
          <w:tcPr/>
          <w:p w:rsidR="00000000" w:rsidDel="00000000" w:rsidP="00000000" w:rsidRDefault="00000000" w:rsidRPr="00000000" w14:paraId="00000139">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2</w:t>
            </w:r>
          </w:p>
        </w:tc>
        <w:tc>
          <w:tcPr>
            <w:vAlign w:val="bottom"/>
          </w:tcPr>
          <w:p w:rsidR="00000000" w:rsidDel="00000000" w:rsidP="00000000" w:rsidRDefault="00000000" w:rsidRPr="00000000" w14:paraId="0000013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vAlign w:val="bottom"/>
          </w:tcPr>
          <w:p w:rsidR="00000000" w:rsidDel="00000000" w:rsidP="00000000" w:rsidRDefault="00000000" w:rsidRPr="00000000" w14:paraId="0000013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w:t>
            </w:r>
          </w:p>
        </w:tc>
        <w:tc>
          <w:tcPr>
            <w:vAlign w:val="bottom"/>
          </w:tcPr>
          <w:p w:rsidR="00000000" w:rsidDel="00000000" w:rsidP="00000000" w:rsidRDefault="00000000" w:rsidRPr="00000000" w14:paraId="0000013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r>
      <w:tr>
        <w:trPr>
          <w:cantSplit w:val="0"/>
          <w:tblHeader w:val="0"/>
        </w:trPr>
        <w:tc>
          <w:tcPr/>
          <w:p w:rsidR="00000000" w:rsidDel="00000000" w:rsidP="00000000" w:rsidRDefault="00000000" w:rsidRPr="00000000" w14:paraId="0000013D">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3</w:t>
            </w:r>
          </w:p>
        </w:tc>
        <w:tc>
          <w:tcPr>
            <w:vAlign w:val="bottom"/>
          </w:tcPr>
          <w:p w:rsidR="00000000" w:rsidDel="00000000" w:rsidP="00000000" w:rsidRDefault="00000000" w:rsidRPr="00000000" w14:paraId="0000013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vAlign w:val="bottom"/>
          </w:tcPr>
          <w:p w:rsidR="00000000" w:rsidDel="00000000" w:rsidP="00000000" w:rsidRDefault="00000000" w:rsidRPr="00000000" w14:paraId="0000013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vAlign w:val="bottom"/>
          </w:tcPr>
          <w:p w:rsidR="00000000" w:rsidDel="00000000" w:rsidP="00000000" w:rsidRDefault="00000000" w:rsidRPr="00000000" w14:paraId="0000014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Precious Stones</w:t>
            </w:r>
          </w:p>
        </w:tc>
      </w:tr>
      <w:tr>
        <w:trPr>
          <w:cantSplit w:val="0"/>
          <w:tblHeader w:val="0"/>
        </w:trPr>
        <w:tc>
          <w:tcPr/>
          <w:p w:rsidR="00000000" w:rsidDel="00000000" w:rsidP="00000000" w:rsidRDefault="00000000" w:rsidRPr="00000000" w14:paraId="00000141">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4</w:t>
            </w:r>
          </w:p>
        </w:tc>
        <w:tc>
          <w:tcPr>
            <w:vAlign w:val="bottom"/>
          </w:tcPr>
          <w:p w:rsidR="00000000" w:rsidDel="00000000" w:rsidP="00000000" w:rsidRDefault="00000000" w:rsidRPr="00000000" w14:paraId="0000014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Energy Drilling and Mining</w:t>
            </w:r>
          </w:p>
        </w:tc>
        <w:tc>
          <w:tcPr>
            <w:vAlign w:val="bottom"/>
          </w:tcPr>
          <w:p w:rsidR="00000000" w:rsidDel="00000000" w:rsidP="00000000" w:rsidRDefault="00000000" w:rsidRPr="00000000" w14:paraId="0000014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c>
          <w:tcPr>
            <w:vAlign w:val="bottom"/>
          </w:tcPr>
          <w:p w:rsidR="00000000" w:rsidDel="00000000" w:rsidP="00000000" w:rsidRDefault="00000000" w:rsidRPr="00000000" w14:paraId="0000014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r>
      <w:tr>
        <w:trPr>
          <w:cantSplit w:val="0"/>
          <w:tblHeader w:val="0"/>
        </w:trPr>
        <w:tc>
          <w:tcPr/>
          <w:p w:rsidR="00000000" w:rsidDel="00000000" w:rsidP="00000000" w:rsidRDefault="00000000" w:rsidRPr="00000000" w14:paraId="00000145">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5</w:t>
            </w:r>
          </w:p>
        </w:tc>
        <w:tc>
          <w:tcPr>
            <w:vAlign w:val="bottom"/>
          </w:tcPr>
          <w:p w:rsidR="00000000" w:rsidDel="00000000" w:rsidP="00000000" w:rsidRDefault="00000000" w:rsidRPr="00000000" w14:paraId="0000014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vAlign w:val="bottom"/>
          </w:tcPr>
          <w:p w:rsidR="00000000" w:rsidDel="00000000" w:rsidP="00000000" w:rsidRDefault="00000000" w:rsidRPr="00000000" w14:paraId="0000014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vAlign w:val="bottom"/>
          </w:tcPr>
          <w:p w:rsidR="00000000" w:rsidDel="00000000" w:rsidP="00000000" w:rsidRDefault="00000000" w:rsidRPr="00000000" w14:paraId="0000014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r>
    </w:tbl>
    <w:p w:rsidR="00000000" w:rsidDel="00000000" w:rsidP="00000000" w:rsidRDefault="00000000" w:rsidRPr="00000000" w14:paraId="00000149">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RID Comparison across Emerging Economies</w:t>
      </w:r>
    </w:p>
    <w:p w:rsidR="00000000" w:rsidDel="00000000" w:rsidP="00000000" w:rsidRDefault="00000000" w:rsidRPr="00000000" w14:paraId="0000014B">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Table 4 further examines Italy’s development strategy against those of emerging economies on a global scale. Reasonably, emerging economies such as China, South Korea, Singapore and India have devoted the majority of their efforts into intermediate industry groups while developed economies such as Italy should have relied more on advanced industry groups. This trend holds true in general, regardless of the continent or the time period, and serves as an indicator for which phase of development a country is currently in as evaluated from its production strategy. Based on this standard, Italy is indeed adopting a moderate but slightly out-of-phase strategy that seeks development in industry groups with a lower level of complexity than it should.</w:t>
      </w:r>
      <w:r w:rsidDel="00000000" w:rsidR="00000000" w:rsidRPr="00000000">
        <w:rPr>
          <w:rtl w:val="0"/>
        </w:rPr>
      </w:r>
    </w:p>
    <w:p w:rsidR="00000000" w:rsidDel="00000000" w:rsidP="00000000" w:rsidRDefault="00000000" w:rsidRPr="00000000" w14:paraId="0000014D">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E">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14F">
      <w:pPr>
        <w:pageBreakBefore w:val="0"/>
        <w:spacing w:line="240" w:lineRule="auto"/>
        <w:jc w:val="both"/>
        <w:rPr>
          <w:rFonts w:ascii="Times" w:cs="Times" w:eastAsia="Times" w:hAnsi="Times"/>
          <w:b w:val="1"/>
          <w:bCs w:val="1"/>
          <w:sz w:val="28"/>
          <w:szCs w:val="28"/>
        </w:rPr>
      </w:pPr>
      <w:bookmarkStart w:colFirst="0" w:colLast="0" w:name="_gjdgxs" w:id="3"/>
      <w:bookmarkEnd w:id="3"/>
      <w:r w:rsidDel="00000000" w:rsidR="00000000" w:rsidRPr="00000000">
        <w:rPr>
          <w:rtl w:val="0"/>
        </w:rPr>
      </w:r>
    </w:p>
    <w:p w:rsidR="00000000" w:rsidDel="00000000" w:rsidP="00000000" w:rsidRDefault="00000000" w:rsidRPr="00000000" w14:paraId="00000150">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Suggested Development Vector</w:t>
      </w:r>
    </w:p>
    <w:p w:rsidR="00000000" w:rsidDel="00000000" w:rsidP="00000000" w:rsidRDefault="00000000" w:rsidRPr="00000000" w14:paraId="0000015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 are often in better shape.</w:t>
      </w:r>
    </w:p>
    <w:p w:rsidR="00000000" w:rsidDel="00000000" w:rsidP="00000000" w:rsidRDefault="00000000" w:rsidRPr="00000000" w14:paraId="00000152">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358900"/>
            <wp:effectExtent b="0" l="0" r="0" t="0"/>
            <wp:docPr id="30" name="image32.jpg"/>
            <a:graphic>
              <a:graphicData uri="http://schemas.openxmlformats.org/drawingml/2006/picture">
                <pic:pic>
                  <pic:nvPicPr>
                    <pic:cNvPr id="0" name="image32.jpg"/>
                    <pic:cNvPicPr preferRelativeResize="0"/>
                  </pic:nvPicPr>
                  <pic:blipFill>
                    <a:blip r:embed="rId12"/>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346200"/>
            <wp:effectExtent b="0" l="0" r="0" t="0"/>
            <wp:docPr id="11" name="image13.jpg"/>
            <a:graphic>
              <a:graphicData uri="http://schemas.openxmlformats.org/drawingml/2006/picture">
                <pic:pic>
                  <pic:nvPicPr>
                    <pic:cNvPr id="0" name="image13.jpg"/>
                    <pic:cNvPicPr preferRelativeResize="0"/>
                  </pic:nvPicPr>
                  <pic:blipFill>
                    <a:blip r:embed="rId13"/>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 SDV of High ECI Countries 2013(up) and 2018(down)</w:t>
      </w:r>
    </w:p>
    <w:p w:rsidR="00000000" w:rsidDel="00000000" w:rsidP="00000000" w:rsidRDefault="00000000" w:rsidRPr="00000000" w14:paraId="00000157">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define the ranking of opportunity gain for a country c, as the Suggested Development Vector (SDV) of c. Table 5 shows the SDV of a selected group of leading economies with outstanding economic complexity, with the industry groups ranked in decreasing order of significance. Dark grey indicates positive opportunity gain, gray indicates zero opportunity gains, and light grey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countries listed in Table 6 have nearly half of industries with positive opportunity gain. While the economies with absolute negative ECI, such as Nigeria and Algeria, all need to develop High-complexity Products, Machinery and Construction and Daily Instruments, those with median ECI are facing a more complicated and diverse situation, such as Italy and Spain.   </w:t>
      </w:r>
    </w:p>
    <w:p w:rsidR="00000000" w:rsidDel="00000000" w:rsidP="00000000" w:rsidRDefault="00000000" w:rsidRPr="00000000" w14:paraId="00000159">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be concluded that China is categorized to be a highly complexed country as compared with the world’s leading economies and other major economies in Europe.</w:t>
      </w:r>
    </w:p>
    <w:p w:rsidR="00000000" w:rsidDel="00000000" w:rsidP="00000000" w:rsidRDefault="00000000" w:rsidRPr="00000000" w14:paraId="0000015B">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2260600"/>
            <wp:effectExtent b="0" l="0" r="0" t="0"/>
            <wp:docPr id="7" name="image15.jpg"/>
            <a:graphic>
              <a:graphicData uri="http://schemas.openxmlformats.org/drawingml/2006/picture">
                <pic:pic>
                  <pic:nvPicPr>
                    <pic:cNvPr id="0" name="image15.jpg"/>
                    <pic:cNvPicPr preferRelativeResize="0"/>
                  </pic:nvPicPr>
                  <pic:blipFill>
                    <a:blip r:embed="rId14"/>
                    <a:srcRect b="0" l="0" r="0" t="0"/>
                    <a:stretch>
                      <a:fillRect/>
                    </a:stretch>
                  </pic:blipFill>
                  <pic:spPr>
                    <a:xfrm>
                      <a:off x="0" y="0"/>
                      <a:ext cx="573405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6: SDV of Other Typical Countries 2013</w:t>
      </w:r>
    </w:p>
    <w:p w:rsidR="00000000" w:rsidDel="00000000" w:rsidP="00000000" w:rsidRDefault="00000000" w:rsidRPr="00000000" w14:paraId="0000015F">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0">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1">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Budgeted Industry Development Strategy and Interpretation</w:t>
      </w:r>
    </w:p>
    <w:p w:rsidR="00000000" w:rsidDel="00000000" w:rsidP="00000000" w:rsidRDefault="00000000" w:rsidRPr="00000000" w14:paraId="00000162">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164">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28888" cy="1141284"/>
            <wp:effectExtent b="0" l="0" r="0" t="0"/>
            <wp:docPr id="16"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k(x) is the second largest eigenvector of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CC'</m:t>
            </m:r>
          </m:sub>
        </m:sSub>
      </m:oMath>
      <w:r w:rsidDel="00000000" w:rsidR="00000000" w:rsidRPr="00000000">
        <w:rPr>
          <w:rFonts w:ascii="Times New Roman" w:cs="Times New Roman" w:eastAsia="Times New Roman" w:hAnsi="Times New Roman"/>
          <w:sz w:val="24"/>
          <w:szCs w:val="24"/>
          <w:rtl w:val="0"/>
        </w:rPr>
        <w:t xml:space="preserve"> after adding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to the original export vector, C is the country that we are interested in, P is the product space, B is the heuristic budget. </w:t>
      </w:r>
    </w:p>
    <w:p w:rsidR="00000000" w:rsidDel="00000000" w:rsidP="00000000" w:rsidRDefault="00000000" w:rsidRPr="00000000" w14:paraId="00000168">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can solve this problem, then we can know what the largest ECI that a country can improve to. Accordingly, the optimal solution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w:rFonts w:ascii="Times New Roman" w:cs="Times New Roman" w:eastAsia="Times New Roman" w:hAnsi="Times New Roman"/>
            <w:sz w:val="24"/>
            <w:szCs w:val="24"/>
          </w:rPr>
          <m:t xml:space="preserve">p</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16A">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B">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16C">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38363" cy="718630"/>
            <wp:effectExtent b="0" l="0" r="0" t="0"/>
            <wp:docPr id="29"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ECI</m:t>
            </m:r>
          </m:e>
          <m:sub>
            <m:r>
              <w:rPr>
                <w:rFonts w:ascii="Times New Roman" w:cs="Times New Roman" w:eastAsia="Times New Roman" w:hAnsi="Times New Roman"/>
                <w:sz w:val="24"/>
                <w:szCs w:val="24"/>
              </w:rPr>
              <m:t xml:space="preserve">p</m:t>
            </m:r>
          </m:sub>
        </m:sSub>
      </m:oMath>
      <w:r w:rsidDel="00000000" w:rsidR="00000000" w:rsidRPr="00000000">
        <w:rPr>
          <w:rFonts w:ascii="Times New Roman" w:cs="Times New Roman" w:eastAsia="Times New Roman" w:hAnsi="Times New Roman"/>
          <w:sz w:val="24"/>
          <w:szCs w:val="24"/>
          <w:rtl w:val="0"/>
        </w:rPr>
        <w:t xml:space="preserve"> is just the ECI of the country after adding some amount of export increment to product </w:t>
      </w: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which is exactly the amount that is able to make ECI change. Also, we can express it in the way of </w:t>
      </w:r>
      <m:oMath>
        <m:r>
          <w:rPr>
            <w:rFonts w:ascii="Times New Roman" w:cs="Times New Roman" w:eastAsia="Times New Roman" w:hAnsi="Times New Roman"/>
            <w:sz w:val="24"/>
            <w:szCs w:val="24"/>
          </w:rPr>
          <m:t xml:space="preserve">||</m:t>
        </m:r>
      </m:oMath>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p</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0</m:t>
            </m:r>
          </m:sub>
        </m:sSub>
      </m:oMath>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F">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 of parts and selecting the portfolio with the largest ECI increment and most complex economic structure. </w:t>
      </w:r>
    </w:p>
    <w:p w:rsidR="00000000" w:rsidDel="00000000" w:rsidP="00000000" w:rsidRDefault="00000000" w:rsidRPr="00000000" w14:paraId="00000171">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2">
      <w:pPr>
        <w:pageBreakBefore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Besides, it is quite common that there is a surplus for the budget. To deal with the surplus, we just add it to the product which needs the least amount of dollar to make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cp</m:t>
            </m:r>
          </m:sub>
        </m:sSub>
      </m:oMath>
      <w:r w:rsidDel="00000000" w:rsidR="00000000" w:rsidRPr="00000000">
        <w:rPr>
          <w:rFonts w:ascii="Times New Roman" w:cs="Times New Roman" w:eastAsia="Times New Roman" w:hAnsi="Times New Roman"/>
          <w:sz w:val="24"/>
          <w:szCs w:val="24"/>
          <w:rtl w:val="0"/>
        </w:rPr>
        <w:t xml:space="preserve"> = 1, (i.e., the smallest amount of required export increase).</w:t>
      </w:r>
      <w:r w:rsidDel="00000000" w:rsidR="00000000" w:rsidRPr="00000000">
        <w:rPr>
          <w:rtl w:val="0"/>
        </w:rPr>
      </w:r>
    </w:p>
    <w:p w:rsidR="00000000" w:rsidDel="00000000" w:rsidP="00000000" w:rsidRDefault="00000000" w:rsidRPr="00000000" w14:paraId="00000173">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4">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Economic Panel:</w:t>
      </w:r>
    </w:p>
    <w:p w:rsidR="00000000" w:rsidDel="00000000" w:rsidP="00000000" w:rsidRDefault="00000000" w:rsidRPr="00000000" w14:paraId="00000175">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6">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stated above, the enhanced greedy algorithm is developed mainly for solving the optimal allocation strategy. In order to visualize this allocation, an economic panel is created, consisting of a pie chart, a line chart and a table. Firstly, a pie chart is used to show the percentage of each product in the optimal portfolio. The number located in the center of the circle denotes the heuristic growth of total export, which is also our budget. For example, for the first pie chart below, it shows we should allocate 25% for food and preparations, animals and by-products, and chemicals. In addition, we should allocate 12.5% for raw manufacturing and chemical manufacturing. The lines below the pie charts show how the ECI changes during the searching process of the greedy algorithm. For example, in the last pie chart, we can see there are three components, but there are four increments in the last line chart. That is just because many equalized amounts have been invested in high-complexity products. Even though sometimes people may feel 15% and 20% is nonsense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177">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8">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2044700"/>
            <wp:effectExtent b="0" l="0" r="0" t="0"/>
            <wp:docPr id="12"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73405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2044700"/>
            <wp:effectExtent b="0" l="0" r="0" t="0"/>
            <wp:docPr id="8"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73405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4050" cy="1739900"/>
            <wp:effectExtent b="0" l="0" r="0" t="0"/>
            <wp:docPr id="27" name="image16.jpg"/>
            <a:graphic>
              <a:graphicData uri="http://schemas.openxmlformats.org/drawingml/2006/picture">
                <pic:pic>
                  <pic:nvPicPr>
                    <pic:cNvPr id="0" name="image16.jpg"/>
                    <pic:cNvPicPr preferRelativeResize="0"/>
                  </pic:nvPicPr>
                  <pic:blipFill>
                    <a:blip r:embed="rId19"/>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C">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D">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E">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the economic panel for Italy in 2013. We can see that for different percentages of heuristic total export growth, the ECI of Italy has relatively similar performance. From all the four line graphs, we see that Italy already obtains some great increment in terms of ECI. However, increasing the budget for too large an amount would not produce a higher and higher ECI. Also the optimal ECI that we can achieve in all stages is not a great gain from the original one. This means that in long terms, Italy does not have a lot of room to improve. For the four export growth budget, the increment of ECI depends on services and utilities, vegetables products, and high-complexity products. </w:t>
      </w:r>
    </w:p>
    <w:p w:rsidR="00000000" w:rsidDel="00000000" w:rsidP="00000000" w:rsidRDefault="00000000" w:rsidRPr="00000000" w14:paraId="0000017F">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29338" cy="2095500"/>
            <wp:effectExtent b="0" l="0" r="0" t="0"/>
            <wp:docPr id="14"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6129338" cy="20955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2095500"/>
            <wp:effectExtent b="0" l="0" r="0" t="0"/>
            <wp:docPr id="10"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511300"/>
            <wp:effectExtent b="0" l="0" r="0" t="0"/>
            <wp:docPr id="4" name="image12.jpg"/>
            <a:graphic>
              <a:graphicData uri="http://schemas.openxmlformats.org/drawingml/2006/picture">
                <pic:pic>
                  <pic:nvPicPr>
                    <pic:cNvPr id="0" name="image12.jpg"/>
                    <pic:cNvPicPr preferRelativeResize="0"/>
                  </pic:nvPicPr>
                  <pic:blipFill>
                    <a:blip r:embed="rId22"/>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further suggestions on Italy’s development in the future. We also offer the optimization result of Poland based on export data in 2018. Below is the economic panel for Italy in 2018. We can see that for different percentages of heuristic total export growth, the ECI growth pattern of Poland is similar to the one in 2013. From all the four line graphs, we cannot see Italy has a great increase in ECI. This means that Italy has an even more limited space to develop. However, our optimization method shows Italy still can have gains by investing in services industry. Therefore, for future strategy, Italy should prioritize development of the services industry in order to optimize the ECI.</w:t>
      </w:r>
    </w:p>
    <w:p w:rsidR="00000000" w:rsidDel="00000000" w:rsidP="00000000" w:rsidRDefault="00000000" w:rsidRPr="00000000" w14:paraId="00000184">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5">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2095500"/>
            <wp:effectExtent b="0" l="0" r="0" t="0"/>
            <wp:docPr id="1"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614988" cy="2135934"/>
            <wp:effectExtent b="0" l="0" r="0" t="0"/>
            <wp:docPr id="25" name="image31.png"/>
            <a:graphic>
              <a:graphicData uri="http://schemas.openxmlformats.org/drawingml/2006/picture">
                <pic:pic>
                  <pic:nvPicPr>
                    <pic:cNvPr id="0" name="image31.png"/>
                    <pic:cNvPicPr preferRelativeResize="0"/>
                  </pic:nvPicPr>
                  <pic:blipFill>
                    <a:blip r:embed="rId24"/>
                    <a:srcRect b="0" l="0" r="0" t="0"/>
                    <a:stretch>
                      <a:fillRect/>
                    </a:stretch>
                  </pic:blipFill>
                  <pic:spPr>
                    <a:xfrm>
                      <a:off x="0" y="0"/>
                      <a:ext cx="5614988" cy="2135934"/>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8">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1193800"/>
            <wp:effectExtent b="0" l="0" r="0" t="0"/>
            <wp:docPr id="24" name="image23.jpg"/>
            <a:graphic>
              <a:graphicData uri="http://schemas.openxmlformats.org/drawingml/2006/picture">
                <pic:pic>
                  <pic:nvPicPr>
                    <pic:cNvPr id="0" name="image23.jpg"/>
                    <pic:cNvPicPr preferRelativeResize="0"/>
                  </pic:nvPicPr>
                  <pic:blipFill>
                    <a:blip r:embed="rId25"/>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A">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B">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C">
      <w:pPr>
        <w:pageBreakBefore w:val="0"/>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Sensitivity Analysis </w:t>
      </w:r>
    </w:p>
    <w:p w:rsidR="00000000" w:rsidDel="00000000" w:rsidP="00000000" w:rsidRDefault="00000000" w:rsidRPr="00000000" w14:paraId="0000018D">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following section our broad aim is to understand how sensitive Italy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 </w:t>
      </w:r>
    </w:p>
    <w:p w:rsidR="00000000" w:rsidDel="00000000" w:rsidP="00000000" w:rsidRDefault="00000000" w:rsidRPr="00000000" w14:paraId="0000018E">
      <w:pPr>
        <w:pageBreakBefore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ECI Sensitivity Graph</w:t>
      </w:r>
    </w:p>
    <w:p w:rsidR="00000000" w:rsidDel="00000000" w:rsidP="00000000" w:rsidRDefault="00000000" w:rsidRPr="00000000" w14:paraId="0000018F">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context of real life, comparing the various inflection points across industries can give us valuable insight.</w:t>
      </w:r>
    </w:p>
    <w:p w:rsidR="00000000" w:rsidDel="00000000" w:rsidP="00000000" w:rsidRDefault="00000000" w:rsidRPr="00000000" w14:paraId="00000190">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graphs are formulated as follows: There are four ECI Sensitivity graphs. The first two represent data from 2018. The first chart shows positive shocking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91">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00700" cy="2657475"/>
            <wp:effectExtent b="0" l="0" r="0" t="0"/>
            <wp:docPr id="13" name="image4.jpg"/>
            <a:graphic>
              <a:graphicData uri="http://schemas.openxmlformats.org/drawingml/2006/picture">
                <pic:pic>
                  <pic:nvPicPr>
                    <pic:cNvPr id="0" name="image4.jpg"/>
                    <pic:cNvPicPr preferRelativeResize="0"/>
                  </pic:nvPicPr>
                  <pic:blipFill>
                    <a:blip r:embed="rId26"/>
                    <a:srcRect b="0" l="0" r="0" t="9709"/>
                    <a:stretch>
                      <a:fillRect/>
                    </a:stretch>
                  </pic:blipFill>
                  <pic:spPr>
                    <a:xfrm>
                      <a:off x="0" y="0"/>
                      <a:ext cx="56007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pageBreakBefore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2018 (Incremental ECI Sensitivity)</w:t>
      </w:r>
    </w:p>
    <w:p w:rsidR="00000000" w:rsidDel="00000000" w:rsidP="00000000" w:rsidRDefault="00000000" w:rsidRPr="00000000" w14:paraId="00000193">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4">
      <w:pPr>
        <w:pageBreakBefore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SDV sensitivity</w:t>
      </w:r>
    </w:p>
    <w:p w:rsidR="00000000" w:rsidDel="00000000" w:rsidP="00000000" w:rsidRDefault="00000000" w:rsidRPr="00000000" w14:paraId="00000195">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96">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9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to the ECI sensitivity graphs above, we will be shocking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9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1739900"/>
            <wp:effectExtent b="0" l="0" r="0" t="0"/>
            <wp:docPr id="17" name="image3.jpg"/>
            <a:graphic>
              <a:graphicData uri="http://schemas.openxmlformats.org/drawingml/2006/picture">
                <pic:pic>
                  <pic:nvPicPr>
                    <pic:cNvPr id="0" name="image3.jpg"/>
                    <pic:cNvPicPr preferRelativeResize="0"/>
                  </pic:nvPicPr>
                  <pic:blipFill>
                    <a:blip r:embed="rId27"/>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pageBreakBefore w:val="0"/>
        <w:spacing w:lin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High-complexity Products 2018 (Incremental SDV Sensitivity)</w:t>
      </w:r>
    </w:p>
    <w:p w:rsidR="00000000" w:rsidDel="00000000" w:rsidP="00000000" w:rsidRDefault="00000000" w:rsidRPr="00000000" w14:paraId="0000019B">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C">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D">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Sensitivity Analysis Results and Interpretation</w:t>
      </w:r>
    </w:p>
    <w:p w:rsidR="00000000" w:rsidDel="00000000" w:rsidP="00000000" w:rsidRDefault="00000000" w:rsidRPr="00000000" w14:paraId="0000019E">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Italy’s 2018 ECI Sensitivity Charts. Firstly in the positive chart, we notice that only High Complexity products lead to any positive gain in ECI. However over 100% expansion in High Complexity Product export is needed to experience this gain. Italy is mildly insensitive to the majority of the other industries . </w:t>
      </w:r>
    </w:p>
    <w:p w:rsidR="00000000" w:rsidDel="00000000" w:rsidP="00000000" w:rsidRDefault="00000000" w:rsidRPr="00000000" w14:paraId="000001A0">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 consider Italy’s 2018 Negative Shock chart. We can see that Italy is fairly sensitive to High Complexity Products as well as Machinery. Italy is fairly insensitive to the majority of other industries although there seems to be a trend of small ECI drawdowns with small decreases of exports.  </w:t>
      </w:r>
    </w:p>
    <w:p w:rsidR="00000000" w:rsidDel="00000000" w:rsidP="00000000" w:rsidRDefault="00000000" w:rsidRPr="00000000" w14:paraId="000001A2">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014913" cy="2507456"/>
            <wp:effectExtent b="0" l="0" r="0" t="0"/>
            <wp:docPr id="26" name="image8.jpg"/>
            <a:graphic>
              <a:graphicData uri="http://schemas.openxmlformats.org/drawingml/2006/picture">
                <pic:pic>
                  <pic:nvPicPr>
                    <pic:cNvPr id="0" name="image8.jpg"/>
                    <pic:cNvPicPr preferRelativeResize="0"/>
                  </pic:nvPicPr>
                  <pic:blipFill>
                    <a:blip r:embed="rId28"/>
                    <a:srcRect b="0" l="0" r="0" t="0"/>
                    <a:stretch>
                      <a:fillRect/>
                    </a:stretch>
                  </pic:blipFill>
                  <pic:spPr>
                    <a:xfrm>
                      <a:off x="0" y="0"/>
                      <a:ext cx="5014913" cy="2507456"/>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Italy 2018 (Incremental ECI Sensitivity)</w:t>
      </w:r>
      <w:r w:rsidDel="00000000" w:rsidR="00000000" w:rsidRPr="00000000">
        <w:rPr>
          <w:rtl w:val="0"/>
        </w:rPr>
      </w:r>
    </w:p>
    <w:p w:rsidR="00000000" w:rsidDel="00000000" w:rsidP="00000000" w:rsidRDefault="00000000" w:rsidRPr="00000000" w14:paraId="000001A5">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6">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953589" cy="2490788"/>
            <wp:effectExtent b="0" l="0" r="0" t="0"/>
            <wp:docPr id="15" name="image9.jpg"/>
            <a:graphic>
              <a:graphicData uri="http://schemas.openxmlformats.org/drawingml/2006/picture">
                <pic:pic>
                  <pic:nvPicPr>
                    <pic:cNvPr id="0" name="image9.jpg"/>
                    <pic:cNvPicPr preferRelativeResize="0"/>
                  </pic:nvPicPr>
                  <pic:blipFill>
                    <a:blip r:embed="rId29"/>
                    <a:srcRect b="0" l="0" r="0" t="0"/>
                    <a:stretch>
                      <a:fillRect/>
                    </a:stretch>
                  </pic:blipFill>
                  <pic:spPr>
                    <a:xfrm>
                      <a:off x="0" y="0"/>
                      <a:ext cx="4953589" cy="2490788"/>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Italy 2018 (Decremental  ECI Sensitivity)</w:t>
      </w:r>
    </w:p>
    <w:p w:rsidR="00000000" w:rsidDel="00000000" w:rsidP="00000000" w:rsidRDefault="00000000" w:rsidRPr="00000000" w14:paraId="000001A8">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 consider the 2013 ECI Sensitivity graphs. We see that in the positive shocking case we have a similar sensitivity profile to the 2018 graph. Most industries giver either little or no benefit to ECI. However, High Complexity Products offer significant increases to ECI. </w:t>
      </w:r>
    </w:p>
    <w:p w:rsidR="00000000" w:rsidDel="00000000" w:rsidP="00000000" w:rsidRDefault="00000000" w:rsidRPr="00000000" w14:paraId="000001AA">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2013 negative shocking case, we see that Italy is once again fairly sensitive to High Complexity Products as well as Machinery. Other industries lead to small ECI gains after around 30% decreases in export values. </w:t>
      </w:r>
    </w:p>
    <w:p w:rsidR="00000000" w:rsidDel="00000000" w:rsidP="00000000" w:rsidRDefault="00000000" w:rsidRPr="00000000" w14:paraId="000001AC">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976551" cy="2643188"/>
            <wp:effectExtent b="0" l="0" r="0" t="0"/>
            <wp:docPr id="23" name="image28.jpg"/>
            <a:graphic>
              <a:graphicData uri="http://schemas.openxmlformats.org/drawingml/2006/picture">
                <pic:pic>
                  <pic:nvPicPr>
                    <pic:cNvPr id="0" name="image28.jpg"/>
                    <pic:cNvPicPr preferRelativeResize="0"/>
                  </pic:nvPicPr>
                  <pic:blipFill>
                    <a:blip r:embed="rId30"/>
                    <a:srcRect b="0" l="0" r="0" t="0"/>
                    <a:stretch>
                      <a:fillRect/>
                    </a:stretch>
                  </pic:blipFill>
                  <pic:spPr>
                    <a:xfrm>
                      <a:off x="0" y="0"/>
                      <a:ext cx="4976551" cy="2643188"/>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Italy 2013 (Incremental ECI Sensitivity)</w:t>
      </w:r>
    </w:p>
    <w:p w:rsidR="00000000" w:rsidDel="00000000" w:rsidP="00000000" w:rsidRDefault="00000000" w:rsidRPr="00000000" w14:paraId="000001AF">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0">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967415" cy="2566988"/>
            <wp:effectExtent b="0" l="0" r="0" t="0"/>
            <wp:docPr id="22" name="image24.jpg"/>
            <a:graphic>
              <a:graphicData uri="http://schemas.openxmlformats.org/drawingml/2006/picture">
                <pic:pic>
                  <pic:nvPicPr>
                    <pic:cNvPr id="0" name="image24.jpg"/>
                    <pic:cNvPicPr preferRelativeResize="0"/>
                  </pic:nvPicPr>
                  <pic:blipFill>
                    <a:blip r:embed="rId31"/>
                    <a:srcRect b="0" l="0" r="0" t="0"/>
                    <a:stretch>
                      <a:fillRect/>
                    </a:stretch>
                  </pic:blipFill>
                  <pic:spPr>
                    <a:xfrm>
                      <a:off x="0" y="0"/>
                      <a:ext cx="4967415" cy="2566988"/>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Italy 2013 (Decremental  ECI Sensitivity)</w:t>
      </w:r>
      <w:r w:rsidDel="00000000" w:rsidR="00000000" w:rsidRPr="00000000">
        <w:rPr>
          <w:rtl w:val="0"/>
        </w:rPr>
      </w:r>
    </w:p>
    <w:p w:rsidR="00000000" w:rsidDel="00000000" w:rsidP="00000000" w:rsidRDefault="00000000" w:rsidRPr="00000000" w14:paraId="000001B2">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we see the SDV sensitivity charts for High Complexity Products. We see that large increases in export of High Complexity Products makes room for other industries to shift into positive opportunity gain territory. A 130% increase in export leads to 2 new industries that offer positive opportunity gain: Chemicals, Services and Utilities</w:t>
      </w:r>
    </w:p>
    <w:p w:rsidR="00000000" w:rsidDel="00000000" w:rsidP="00000000" w:rsidRDefault="00000000" w:rsidRPr="00000000" w14:paraId="000001B5">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Considering the Negative SDV sensitivity chart we observe that as export of High Complexity products decreases a few other industries become attractive with positive opportunity gains, namely Transportation, Services and Utilities, and Chemicals. </w:t>
      </w:r>
    </w:p>
    <w:p w:rsidR="00000000" w:rsidDel="00000000" w:rsidP="00000000" w:rsidRDefault="00000000" w:rsidRPr="00000000" w14:paraId="000001B7">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8">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9">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1536700"/>
            <wp:effectExtent b="0" l="0" r="0" t="0"/>
            <wp:docPr id="18" name="image25.jpg"/>
            <a:graphic>
              <a:graphicData uri="http://schemas.openxmlformats.org/drawingml/2006/picture">
                <pic:pic>
                  <pic:nvPicPr>
                    <pic:cNvPr id="0" name="image25.jpg"/>
                    <pic:cNvPicPr preferRelativeResize="0"/>
                  </pic:nvPicPr>
                  <pic:blipFill>
                    <a:blip r:embed="rId32"/>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pageBreakBefore w:val="0"/>
        <w:spacing w:line="240"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Italy High-complexity Products 2018 (Incremental SDV Sensitivity)</w:t>
      </w:r>
    </w:p>
    <w:p w:rsidR="00000000" w:rsidDel="00000000" w:rsidP="00000000" w:rsidRDefault="00000000" w:rsidRPr="00000000" w14:paraId="000001BB">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C">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D">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E">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849832" cy="2443163"/>
            <wp:effectExtent b="0" l="0" r="0" t="0"/>
            <wp:docPr id="19" name="image6.jpg"/>
            <a:graphic>
              <a:graphicData uri="http://schemas.openxmlformats.org/drawingml/2006/picture">
                <pic:pic>
                  <pic:nvPicPr>
                    <pic:cNvPr id="0" name="image6.jpg"/>
                    <pic:cNvPicPr preferRelativeResize="0"/>
                  </pic:nvPicPr>
                  <pic:blipFill>
                    <a:blip r:embed="rId33"/>
                    <a:srcRect b="0" l="0" r="0" t="0"/>
                    <a:stretch>
                      <a:fillRect/>
                    </a:stretch>
                  </pic:blipFill>
                  <pic:spPr>
                    <a:xfrm>
                      <a:off x="0" y="0"/>
                      <a:ext cx="3849832" cy="2443163"/>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pageBreakBefore w:val="0"/>
        <w:spacing w:line="240"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Italy High-complexity Products 2018 (Decremental SDV Sensitivity)</w:t>
      </w:r>
    </w:p>
    <w:p w:rsidR="00000000" w:rsidDel="00000000" w:rsidP="00000000" w:rsidRDefault="00000000" w:rsidRPr="00000000" w14:paraId="000001C0">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1">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we see the SDV sensitivity charts for Food and Preparations. As expected, Italy is not very sensitive in both the positive shocking and negative shocking case to Food and Preparations. The country's SDV is largely unaffected by this particular industry. </w:t>
      </w:r>
    </w:p>
    <w:p w:rsidR="00000000" w:rsidDel="00000000" w:rsidP="00000000" w:rsidRDefault="00000000" w:rsidRPr="00000000" w14:paraId="000001C3">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4">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573152" cy="2433638"/>
            <wp:effectExtent b="0" l="0" r="0" t="0"/>
            <wp:docPr id="20" name="image19.jpg"/>
            <a:graphic>
              <a:graphicData uri="http://schemas.openxmlformats.org/drawingml/2006/picture">
                <pic:pic>
                  <pic:nvPicPr>
                    <pic:cNvPr id="0" name="image19.jpg"/>
                    <pic:cNvPicPr preferRelativeResize="0"/>
                  </pic:nvPicPr>
                  <pic:blipFill>
                    <a:blip r:embed="rId34"/>
                    <a:srcRect b="0" l="0" r="0" t="0"/>
                    <a:stretch>
                      <a:fillRect/>
                    </a:stretch>
                  </pic:blipFill>
                  <pic:spPr>
                    <a:xfrm>
                      <a:off x="0" y="0"/>
                      <a:ext cx="3573152" cy="2433638"/>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pageBreakBefore w:val="0"/>
        <w:spacing w:line="240"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Italy Food and Preparations 2018 (Decremental SDV Sensitivity)</w:t>
      </w:r>
    </w:p>
    <w:p w:rsidR="00000000" w:rsidDel="00000000" w:rsidP="00000000" w:rsidRDefault="00000000" w:rsidRPr="00000000" w14:paraId="000001C6">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7">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8">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801679" cy="2509838"/>
            <wp:effectExtent b="0" l="0" r="0" t="0"/>
            <wp:docPr id="32" name="image29.jpg"/>
            <a:graphic>
              <a:graphicData uri="http://schemas.openxmlformats.org/drawingml/2006/picture">
                <pic:pic>
                  <pic:nvPicPr>
                    <pic:cNvPr id="0" name="image29.jpg"/>
                    <pic:cNvPicPr preferRelativeResize="0"/>
                  </pic:nvPicPr>
                  <pic:blipFill>
                    <a:blip r:embed="rId35"/>
                    <a:srcRect b="0" l="0" r="0" t="0"/>
                    <a:stretch>
                      <a:fillRect/>
                    </a:stretch>
                  </pic:blipFill>
                  <pic:spPr>
                    <a:xfrm>
                      <a:off x="0" y="0"/>
                      <a:ext cx="2801679" cy="2509838"/>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pageBreakBefore w:val="0"/>
        <w:spacing w:line="240"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Italy Food and Preparations 2018 (Incremental SDV Sensitivity)</w:t>
      </w:r>
    </w:p>
    <w:p w:rsidR="00000000" w:rsidDel="00000000" w:rsidP="00000000" w:rsidRDefault="00000000" w:rsidRPr="00000000" w14:paraId="000001CA">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B">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CC">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D">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Structural Optimality Index</w:t>
      </w:r>
    </w:p>
    <w:p w:rsidR="00000000" w:rsidDel="00000000" w:rsidP="00000000" w:rsidRDefault="00000000" w:rsidRPr="00000000" w14:paraId="000001CE">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groups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CF">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obtaining this measure for all countries in our database, we further regress countries’ five-year economic growth, which is defined as the percent increase in GDP (USD), over their SOI. Figure 6 illustrates the regression output, which shows a strong positive correlation between countries’ SOI and their five-year GDP growth, significant at the 1% level and achieving an adjusted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D1">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0"/>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2">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 Variable: </w:t>
            </w:r>
            <w:r w:rsidDel="00000000" w:rsidR="00000000" w:rsidRPr="00000000">
              <w:rPr>
                <w:rFonts w:ascii="Times New Roman" w:cs="Times New Roman" w:eastAsia="Times New Roman" w:hAnsi="Times New Roman"/>
                <w:sz w:val="24"/>
                <w:szCs w:val="24"/>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F-Statistic: </w:t>
            </w:r>
            <w:r w:rsidDel="00000000" w:rsidR="00000000" w:rsidRPr="00000000">
              <w:rPr>
                <w:rFonts w:ascii="Times New Roman" w:cs="Times New Roman" w:eastAsia="Times New Roman" w:hAnsi="Times New Roman"/>
                <w:sz w:val="24"/>
                <w:szCs w:val="24"/>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 (F-Stat):</w:t>
            </w:r>
            <w:r w:rsidDel="00000000" w:rsidR="00000000" w:rsidRPr="00000000">
              <w:rPr>
                <w:rFonts w:ascii="Times New Roman" w:cs="Times New Roman" w:eastAsia="Times New Roman" w:hAnsi="Times New Roman"/>
                <w:sz w:val="24"/>
                <w:szCs w:val="24"/>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Adj R</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Observations: </w:t>
            </w:r>
            <w:r w:rsidDel="00000000" w:rsidR="00000000" w:rsidRPr="00000000">
              <w:rPr>
                <w:rFonts w:ascii="Times New Roman" w:cs="Times New Roman" w:eastAsia="Times New Roman" w:hAnsi="Times New Roman"/>
                <w:sz w:val="24"/>
                <w:szCs w:val="24"/>
                <w:rtl w:val="0"/>
              </w:rPr>
              <w:t xml:space="preserve">106</w:t>
            </w:r>
          </w:p>
        </w:tc>
      </w:tr>
    </w:tbl>
    <w:p w:rsidR="00000000" w:rsidDel="00000000" w:rsidP="00000000" w:rsidRDefault="00000000" w:rsidRPr="00000000" w14:paraId="000001DA">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31"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DB">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Regression of Five-year GDP Growth over SOI</w:t>
      </w:r>
    </w:p>
    <w:p w:rsidR="00000000" w:rsidDel="00000000" w:rsidP="00000000" w:rsidRDefault="00000000" w:rsidRPr="00000000" w14:paraId="000001DD">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SOI of Italy and Its Implications</w:t>
      </w:r>
    </w:p>
    <w:p w:rsidR="00000000" w:rsidDel="00000000" w:rsidP="00000000" w:rsidRDefault="00000000" w:rsidRPr="00000000" w14:paraId="000001D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Italy, for instance, has a relatively low level of structural optimality as compared with its developed peers. As the regression in Figure 7 suggests (the orange curve represents export increase and the blue curve stands for opportunity gain of the corresponding industry), France demonstrates a low level of correlation with the suggested developmental path, having an adjusted R-square of around 4.7%. France ranks 48</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place among all countries in terms of SOI and has a 5-year growth rate of 15.5% from 2013 to 2018, which is consistent with the regression result in Figure 6. These data points are very similar to that of France. This is in direct contrast to emerging economies such as Turkey, where there is high SOI of around 21.8% and a corresponding GDP growth of 36.7% from 2013 to 2018, making it one of the fastest developing economies during the period. In sum, Italy’s slower economic progress from 2013 to 2018 can be at least partially explained by a mismatched development strategy that demonstrates a considerable level of deviations from our suggested developmental path. For example, Italy invested heavily in the High-Complexity Products despite a lower opportunity gaine, while it should have focused more on industry groups such as Services and Utilities.</w:t>
      </w:r>
    </w:p>
    <w:p w:rsidR="00000000" w:rsidDel="00000000" w:rsidP="00000000" w:rsidRDefault="00000000" w:rsidRPr="00000000" w14:paraId="000001E0">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374900"/>
            <wp:effectExtent b="0" l="0" r="0" t="0"/>
            <wp:docPr id="28" name="image27.png"/>
            <a:graphic>
              <a:graphicData uri="http://schemas.openxmlformats.org/drawingml/2006/picture">
                <pic:pic>
                  <pic:nvPicPr>
                    <pic:cNvPr id="0" name="image27.png"/>
                    <pic:cNvPicPr preferRelativeResize="0"/>
                  </pic:nvPicPr>
                  <pic:blipFill>
                    <a:blip r:embed="rId37"/>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pageBreakBefore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Figure 7: SOI of Italy (2013-2018)</w:t>
      </w:r>
      <w:r w:rsidDel="00000000" w:rsidR="00000000" w:rsidRPr="00000000">
        <w:rPr>
          <w:rtl w:val="0"/>
        </w:rPr>
      </w:r>
    </w:p>
    <w:p w:rsidR="00000000" w:rsidDel="00000000" w:rsidP="00000000" w:rsidRDefault="00000000" w:rsidRPr="00000000" w14:paraId="000001E2">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3">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E5">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Italy has demonstrated a low level of economic growth in terms of GDP during the period from 2013 to 2018, concurrent with a stagnation in economic complexity as compared with other major European economies. </w:t>
      </w:r>
    </w:p>
    <w:p w:rsidR="00000000" w:rsidDel="00000000" w:rsidP="00000000" w:rsidRDefault="00000000" w:rsidRPr="00000000" w14:paraId="000001E7">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level of economic progress during the period, we believe, can be partially explained through analysis of the economic and product complexity structure of Italy on the industry group level. The product classification system we adopt allows us to measure the realized industry development for various industry groups and to observe that Italy invested heavily in Transportation, Machinery and Construction.</w:t>
      </w:r>
    </w:p>
    <w:p w:rsidR="00000000" w:rsidDel="00000000" w:rsidP="00000000" w:rsidRDefault="00000000" w:rsidRPr="00000000" w14:paraId="000001E9">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our analysis of the opportunity gain and a sensitivity analysis of major industry groups, Italy can further its gains by prioritizing Vegetables, Fruits and Plants, Services and Utilities. We further note that Italy has a slightly mismatched development strategy that indicates a moderate level of structural optimality on the complexity level, having an adjusted R-square of around 4.8%. Since a significant positive correlation exists between five-year GDP growth and the structural optimality index of an economy as we define and calculate, Italy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EB">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pageBreakBefore w:val="0"/>
        <w:spacing w:line="240"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ED">
      <w:pPr>
        <w:pageBreakBefore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1EE">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F">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Hausmann, R., Hidalgo, C., Bustos, S., Coscia, M., Chung, S., Jimenez, J., Simoes, A. and Yıldırım, M. (2007). </w:t>
      </w:r>
      <w:r w:rsidDel="00000000" w:rsidR="00000000" w:rsidRPr="00000000">
        <w:rPr>
          <w:rFonts w:ascii="Times New Roman" w:cs="Times New Roman" w:eastAsia="Times New Roman" w:hAnsi="Times New Roman"/>
          <w:i w:val="1"/>
          <w:iCs w:val="1"/>
          <w:sz w:val="24"/>
          <w:szCs w:val="24"/>
          <w:highlight w:val="white"/>
          <w:rtl w:val="0"/>
        </w:rPr>
        <w:t xml:space="preserve">The Atlas of Economic Complexity</w:t>
      </w:r>
      <w:r w:rsidDel="00000000" w:rsidR="00000000" w:rsidRPr="00000000">
        <w:rPr>
          <w:rFonts w:ascii="Times New Roman" w:cs="Times New Roman" w:eastAsia="Times New Roman" w:hAnsi="Times New Roman"/>
          <w:sz w:val="24"/>
          <w:szCs w:val="24"/>
          <w:highlight w:val="white"/>
          <w:rtl w:val="0"/>
        </w:rPr>
        <w:t xml:space="preserve">. [online] Atlas.cid.harvard.edu. Available at: http://atlas.cid.harvard.edu/.</w:t>
      </w:r>
    </w:p>
    <w:p w:rsidR="00000000" w:rsidDel="00000000" w:rsidP="00000000" w:rsidRDefault="00000000" w:rsidRPr="00000000" w14:paraId="000001F0">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F1">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Balassa, B., “The Purchasing Power Parity Doctrine - A Reapprais- al,” </w:t>
      </w:r>
      <w:r w:rsidDel="00000000" w:rsidR="00000000" w:rsidRPr="00000000">
        <w:rPr>
          <w:rFonts w:ascii="Times New Roman" w:cs="Times New Roman" w:eastAsia="Times New Roman" w:hAnsi="Times New Roman"/>
          <w:i w:val="1"/>
          <w:iCs w:val="1"/>
          <w:sz w:val="24"/>
          <w:szCs w:val="24"/>
          <w:highlight w:val="white"/>
          <w:rtl w:val="0"/>
        </w:rPr>
        <w:t xml:space="preserve">Journal of Political Economy </w:t>
      </w:r>
      <w:r w:rsidDel="00000000" w:rsidR="00000000" w:rsidRPr="00000000">
        <w:rPr>
          <w:rFonts w:ascii="Times New Roman" w:cs="Times New Roman" w:eastAsia="Times New Roman" w:hAnsi="Times New Roman"/>
          <w:b w:val="1"/>
          <w:bCs w:val="1"/>
          <w:sz w:val="24"/>
          <w:szCs w:val="24"/>
          <w:highlight w:val="white"/>
          <w:rtl w:val="0"/>
        </w:rPr>
        <w:t xml:space="preserve">72</w:t>
      </w:r>
      <w:r w:rsidDel="00000000" w:rsidR="00000000" w:rsidRPr="00000000">
        <w:rPr>
          <w:rFonts w:ascii="Times New Roman" w:cs="Times New Roman" w:eastAsia="Times New Roman" w:hAnsi="Times New Roman"/>
          <w:sz w:val="24"/>
          <w:szCs w:val="24"/>
          <w:highlight w:val="white"/>
          <w:rtl w:val="0"/>
        </w:rPr>
        <w:t xml:space="preserve">, 584-596 (1964). </w:t>
      </w:r>
    </w:p>
    <w:p w:rsidR="00000000" w:rsidDel="00000000" w:rsidP="00000000" w:rsidRDefault="00000000" w:rsidRPr="00000000" w14:paraId="000001F2">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F3">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F4">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F5">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United Nations Commodity Trade Statistics Database (http://comtrade.un.org/db/), accessed in August 2019. </w:t>
      </w:r>
    </w:p>
    <w:p w:rsidR="00000000" w:rsidDel="00000000" w:rsidP="00000000" w:rsidRDefault="00000000" w:rsidRPr="00000000" w14:paraId="000001F6">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F7">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World Economic Forum, “The global competitiveness report,” (various years). </w:t>
      </w:r>
    </w:p>
    <w:p w:rsidR="00000000" w:rsidDel="00000000" w:rsidP="00000000" w:rsidRDefault="00000000" w:rsidRPr="00000000" w14:paraId="000001F8">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F9">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FA">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FB">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FC">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FD">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FE">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sectPr>
      <w:footerReference r:id="rId3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pageBreakBefore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7">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8">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9">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2.jpg"/><Relationship Id="rId21" Type="http://schemas.openxmlformats.org/officeDocument/2006/relationships/image" Target="media/image21.png"/><Relationship Id="rId24" Type="http://schemas.openxmlformats.org/officeDocument/2006/relationships/image" Target="media/image31.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4.jpg"/><Relationship Id="rId25" Type="http://schemas.openxmlformats.org/officeDocument/2006/relationships/image" Target="media/image23.jpg"/><Relationship Id="rId28" Type="http://schemas.openxmlformats.org/officeDocument/2006/relationships/image" Target="media/image8.jpg"/><Relationship Id="rId27"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image" Target="media/image9.jpg"/><Relationship Id="rId7" Type="http://schemas.openxmlformats.org/officeDocument/2006/relationships/image" Target="media/image30.png"/><Relationship Id="rId8" Type="http://schemas.openxmlformats.org/officeDocument/2006/relationships/image" Target="media/image18.png"/><Relationship Id="rId31" Type="http://schemas.openxmlformats.org/officeDocument/2006/relationships/image" Target="media/image24.jpg"/><Relationship Id="rId30" Type="http://schemas.openxmlformats.org/officeDocument/2006/relationships/image" Target="media/image28.jpg"/><Relationship Id="rId11" Type="http://schemas.openxmlformats.org/officeDocument/2006/relationships/image" Target="media/image17.png"/><Relationship Id="rId33" Type="http://schemas.openxmlformats.org/officeDocument/2006/relationships/image" Target="media/image6.jpg"/><Relationship Id="rId10" Type="http://schemas.openxmlformats.org/officeDocument/2006/relationships/image" Target="media/image10.png"/><Relationship Id="rId32" Type="http://schemas.openxmlformats.org/officeDocument/2006/relationships/image" Target="media/image25.jpg"/><Relationship Id="rId13" Type="http://schemas.openxmlformats.org/officeDocument/2006/relationships/image" Target="media/image13.jpg"/><Relationship Id="rId35" Type="http://schemas.openxmlformats.org/officeDocument/2006/relationships/image" Target="media/image29.jpg"/><Relationship Id="rId12" Type="http://schemas.openxmlformats.org/officeDocument/2006/relationships/image" Target="media/image32.jpg"/><Relationship Id="rId34" Type="http://schemas.openxmlformats.org/officeDocument/2006/relationships/image" Target="media/image19.jpg"/><Relationship Id="rId15" Type="http://schemas.openxmlformats.org/officeDocument/2006/relationships/image" Target="media/image11.png"/><Relationship Id="rId37" Type="http://schemas.openxmlformats.org/officeDocument/2006/relationships/image" Target="media/image27.png"/><Relationship Id="rId14" Type="http://schemas.openxmlformats.org/officeDocument/2006/relationships/image" Target="media/image15.jpg"/><Relationship Id="rId36" Type="http://schemas.openxmlformats.org/officeDocument/2006/relationships/image" Target="media/image22.png"/><Relationship Id="rId17" Type="http://schemas.openxmlformats.org/officeDocument/2006/relationships/image" Target="media/image20.png"/><Relationship Id="rId16" Type="http://schemas.openxmlformats.org/officeDocument/2006/relationships/image" Target="media/image26.png"/><Relationship Id="rId38" Type="http://schemas.openxmlformats.org/officeDocument/2006/relationships/footer" Target="footer1.xml"/><Relationship Id="rId19" Type="http://schemas.openxmlformats.org/officeDocument/2006/relationships/image" Target="media/image16.jp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