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pacing w:after="0" w:before="0" w:line="288" w:lineRule="auto"/>
        <w:rPr>
          <w:b w:val="0"/>
          <w:i w:val="1"/>
          <w:color w:val="444499"/>
          <w:sz w:val="20"/>
          <w:szCs w:val="20"/>
        </w:rPr>
      </w:pPr>
      <w:bookmarkStart w:colFirst="0" w:colLast="0" w:name="_heading=h.gjdgxs" w:id="0"/>
      <w:bookmarkEnd w:id="0"/>
      <w:r w:rsidDel="00000000" w:rsidR="00000000" w:rsidRPr="00000000">
        <w:rPr>
          <w:rFonts w:ascii="Open Sans" w:cs="Open Sans" w:eastAsia="Open Sans" w:hAnsi="Open Sans"/>
          <w:b w:val="0"/>
          <w:color w:val="695d46"/>
          <w:sz w:val="24"/>
          <w:szCs w:val="24"/>
        </w:rPr>
        <w:drawing>
          <wp:inline distB="114300" distT="114300" distL="114300" distR="114300">
            <wp:extent cx="5731200" cy="101600"/>
            <wp:effectExtent b="0" l="0" r="0" t="0"/>
            <wp:docPr descr="horizontal line" id="2128018658" name="image1.png"/>
            <a:graphic>
              <a:graphicData uri="http://schemas.openxmlformats.org/drawingml/2006/picture">
                <pic:pic>
                  <pic:nvPicPr>
                    <pic:cNvPr descr="horizontal line" id="0" name="image1.png"/>
                    <pic:cNvPicPr preferRelativeResize="0"/>
                  </pic:nvPicPr>
                  <pic:blipFill>
                    <a:blip r:embed="rId9"/>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128018660" name="image33.png"/>
            <a:graphic>
              <a:graphicData uri="http://schemas.openxmlformats.org/drawingml/2006/picture">
                <pic:pic>
                  <pic:nvPicPr>
                    <pic:cNvPr id="0" name="image33.png"/>
                    <pic:cNvPicPr preferRelativeResize="0"/>
                  </pic:nvPicPr>
                  <pic:blipFill>
                    <a:blip r:embed="rId10"/>
                    <a:srcRect b="22654"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spacing w:before="320" w:lineRule="auto"/>
        <w:rPr>
          <w:rFonts w:ascii="PT Sans Narrow" w:cs="PT Sans Narrow" w:eastAsia="PT Sans Narrow" w:hAnsi="PT Sans Narrow"/>
          <w:b w:val="1"/>
          <w:color w:val="666666"/>
          <w:sz w:val="60"/>
          <w:szCs w:val="60"/>
        </w:rPr>
      </w:pPr>
      <w:bookmarkStart w:colFirst="0" w:colLast="0" w:name="_heading=h.30j0zll" w:id="1"/>
      <w:bookmarkEnd w:id="1"/>
      <w:sdt>
        <w:sdtPr>
          <w:tag w:val="goog_rdk_0"/>
        </w:sdtPr>
        <w:sdtContent>
          <w:commentRangeStart w:id="0"/>
        </w:sdtContent>
      </w:sdt>
      <w:r w:rsidDel="00000000" w:rsidR="00000000" w:rsidRPr="00000000">
        <w:rPr>
          <w:rFonts w:ascii="PT Sans Narrow" w:cs="PT Sans Narrow" w:eastAsia="PT Sans Narrow" w:hAnsi="PT Sans Narrow"/>
          <w:b w:val="1"/>
          <w:color w:val="666666"/>
          <w:sz w:val="60"/>
          <w:szCs w:val="60"/>
          <w:rtl w:val="0"/>
        </w:rPr>
        <w:t xml:space="preserve">Optimal </w:t>
      </w:r>
      <w:commentRangeEnd w:id="0"/>
      <w:r w:rsidDel="00000000" w:rsidR="00000000" w:rsidRPr="00000000">
        <w:commentReference w:id="0"/>
      </w:r>
      <w:r w:rsidDel="00000000" w:rsidR="00000000" w:rsidRPr="00000000">
        <w:rPr>
          <w:rFonts w:ascii="PT Sans Narrow" w:cs="PT Sans Narrow" w:eastAsia="PT Sans Narrow" w:hAnsi="PT Sans Narrow"/>
          <w:b w:val="1"/>
          <w:color w:val="666666"/>
          <w:sz w:val="60"/>
          <w:szCs w:val="60"/>
          <w:rtl w:val="0"/>
        </w:rPr>
        <w:t xml:space="preserve">Industry Development Strategy Using Economic and Product Complexity</w:t>
      </w:r>
    </w:p>
    <w:p w:rsidR="00000000" w:rsidDel="00000000" w:rsidP="00000000" w:rsidRDefault="00000000" w:rsidRPr="00000000" w14:paraId="00000004">
      <w:pPr>
        <w:pStyle w:val="Title"/>
        <w:spacing w:before="320" w:lineRule="auto"/>
        <w:rPr>
          <w:rFonts w:ascii="PT Sans Narrow" w:cs="PT Sans Narrow" w:eastAsia="PT Sans Narrow" w:hAnsi="PT Sans Narrow"/>
          <w:b w:val="1"/>
          <w:sz w:val="60"/>
          <w:szCs w:val="60"/>
        </w:rPr>
      </w:pPr>
      <w:bookmarkStart w:colFirst="0" w:colLast="0" w:name="_heading=h.1fob9te" w:id="2"/>
      <w:bookmarkEnd w:id="2"/>
      <w:r w:rsidDel="00000000" w:rsidR="00000000" w:rsidRPr="00000000">
        <w:rPr>
          <w:rFonts w:ascii="PT Sans Narrow" w:cs="PT Sans Narrow" w:eastAsia="PT Sans Narrow" w:hAnsi="PT Sans Narrow"/>
          <w:b w:val="1"/>
          <w:sz w:val="60"/>
          <w:szCs w:val="60"/>
          <w:rtl w:val="0"/>
        </w:rPr>
        <w:t xml:space="preserve">Italy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88" w:lineRule="auto"/>
        <w:rPr>
          <w:rFonts w:ascii="Arimo" w:cs="Arimo" w:eastAsia="Arimo" w:hAnsi="Arimo"/>
          <w:b w:val="1"/>
          <w:sz w:val="36"/>
          <w:szCs w:val="36"/>
        </w:rPr>
      </w:pPr>
      <w:r w:rsidDel="00000000" w:rsidR="00000000" w:rsidRPr="00000000">
        <w:rPr>
          <w:rFonts w:ascii="Arimo" w:cs="Arimo" w:eastAsia="Arimo" w:hAnsi="Arimo"/>
          <w:b w:val="1"/>
          <w:sz w:val="36"/>
          <w:szCs w:val="36"/>
          <w:rtl w:val="0"/>
        </w:rPr>
        <w:t xml:space="preserve">─</w:t>
      </w:r>
    </w:p>
    <w:p w:rsidR="00000000" w:rsidDel="00000000" w:rsidP="00000000" w:rsidRDefault="00000000" w:rsidRPr="00000000" w14:paraId="00000007">
      <w:pPr>
        <w:spacing w:line="288" w:lineRule="auto"/>
        <w:rPr>
          <w:rFonts w:ascii="Arimo" w:cs="Arimo" w:eastAsia="Arimo" w:hAnsi="Arimo"/>
          <w:b w:val="1"/>
          <w:sz w:val="36"/>
          <w:szCs w:val="36"/>
        </w:rPr>
      </w:pPr>
      <w:r w:rsidDel="00000000" w:rsidR="00000000" w:rsidRPr="00000000">
        <w:rPr>
          <w:rtl w:val="0"/>
        </w:rPr>
      </w:r>
    </w:p>
    <w:p w:rsidR="00000000" w:rsidDel="00000000" w:rsidP="00000000" w:rsidRDefault="00000000" w:rsidRPr="00000000" w14:paraId="00000008">
      <w:pPr>
        <w:spacing w:line="288" w:lineRule="auto"/>
        <w:rPr>
          <w:rFonts w:ascii="Arimo" w:cs="Arimo" w:eastAsia="Arimo" w:hAnsi="Arimo"/>
          <w:b w:val="1"/>
          <w:sz w:val="36"/>
          <w:szCs w:val="36"/>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PT Sans Narrow" w:cs="PT Sans Narrow" w:eastAsia="PT Sans Narrow" w:hAnsi="PT Sans Narrow"/>
          <w:b w:val="0"/>
          <w:i w:val="0"/>
          <w:smallCaps w:val="0"/>
          <w:strike w:val="0"/>
          <w:color w:val="000000"/>
          <w:sz w:val="28"/>
          <w:szCs w:val="28"/>
          <w:u w:val="none"/>
          <w:shd w:fill="auto" w:val="clear"/>
          <w:vertAlign w:val="baseline"/>
          <w:rtl w:val="0"/>
        </w:rPr>
        <w:t xml:space="preserve">Haoxian Chen, Davepriyan Gunaratnam, Rohan Macherla, Ajit Akole, Shomik Ghose, Alex Wei-Liang Ku, Sannidhya Modi, Xilin Wang, Alexandra Garcia, Kelly Mi, Alex Chung, Margarita Demkina</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sz w:val="40"/>
          <w:szCs w:val="40"/>
          <w:rtl w:val="0"/>
        </w:rPr>
        <w:t xml:space="preserve">Optimal Industry Development Strategy for Italy</w:t>
      </w:r>
    </w:p>
    <w:p w:rsidR="00000000" w:rsidDel="00000000" w:rsidP="00000000" w:rsidRDefault="00000000" w:rsidRPr="00000000" w14:paraId="0000000C">
      <w:pPr>
        <w:jc w:val="center"/>
        <w:rPr>
          <w:sz w:val="40"/>
          <w:szCs w:val="40"/>
        </w:rPr>
      </w:pPr>
      <w:r w:rsidDel="00000000" w:rsidR="00000000" w:rsidRPr="00000000">
        <w:rPr>
          <w:rtl w:val="0"/>
        </w:rPr>
      </w:r>
    </w:p>
    <w:p w:rsidR="00000000" w:rsidDel="00000000" w:rsidP="00000000" w:rsidRDefault="00000000" w:rsidRPr="00000000" w14:paraId="0000000D">
      <w:pPr>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0. Executive Summary</w:t>
      </w:r>
    </w:p>
    <w:p w:rsidR="00000000" w:rsidDel="00000000" w:rsidP="00000000" w:rsidRDefault="00000000" w:rsidRPr="00000000" w14:paraId="0000000E">
      <w:pPr>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report, we aim to uncover the economic path Italy went through during the period from 2013 to 2021. Specifically, we dive into the topic through a macroeconomic overview of Italy from the perspective of Gross Domestic Product (GDP) and Economic Complexity Index (ECI), which reflect countries’ production capability and production structure, respectively. We find that during the period of our interest, Italy demonstrated a low level of economic growth with an annual GDP growth rate of 0.2% between 2013 and 2018, concurrent with a decrease in economic complexity as compared with other major economies in Europe. </w:t>
      </w:r>
    </w:p>
    <w:p w:rsidR="00000000" w:rsidDel="00000000" w:rsidP="00000000" w:rsidRDefault="00000000" w:rsidRPr="00000000" w14:paraId="00000010">
      <w:pPr>
        <w:rPr>
          <w:color w:val="00000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mixed level of economic progress during the first period can be partially explained through the analysis of the economic and product complexity structure of Italy on the industry group level. The product classification system we adopt allows us to measure the realized industry development for various industry groups and to observe that Italy invested heavily in Transportation, Machinery, and Construction.</w:t>
      </w:r>
    </w:p>
    <w:p w:rsidR="00000000" w:rsidDel="00000000" w:rsidP="00000000" w:rsidRDefault="00000000" w:rsidRPr="00000000" w14:paraId="00000012">
      <w:pPr>
        <w:rPr>
          <w:color w:val="00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our analysis of the opportunity gain and sensitivity analysis of major industry groups, Italy can further its gains by prioritizing Vegetables, Fruits and Plants, Services, and Utilities in 2018. We further note that Italy has a slightly mismatched development strategy that indicates a moderate level of structural optimality on the complexity level, having an adjusted R-square of around 4.8%. Since a significant positive correlation exists between five-year GDP growth and the structural optimality index of an economy as we define and calculate, Italy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2019 and 2021, Italy demonstrated a decreased economic complexity compared to other major comparable economies. We further note that Italy has a heavily mismatched development strategy that indicates a lower prosperity level (compared to other similar countries) of structural optimality on the complexity level, having a much lower adjusted R-square of 0.27 in 2021, demonstrating stagnation in development. Since a slight positive correlation exists between three-year GDP growth between 2019 and 2021 and the structural optimality index of an economy as we define and calculate, Italy indeed has a suboptimal growth experience as compared with fast-growing economies both on a regional scale and on a global scale and has the potential to further its economic gains through industrial structure optimization as suggested in the paper. It could shift its focus to more manufacturing-focused industries like High-Complexity Products, Chemicals, and Chemical Manufacturing.</w:t>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three years following showed a slight improvement in Italy's economic growth, boosting its position on the global scale. Its GDP recovered to above the pre-pandemic levels, but it saw a significant decline in the ECI, particularly compared to its peer countries. Its current strategy has a lot of the viable potential upside to increase its performance and optimize its structure further.</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Times" w:cs="Times" w:eastAsia="Times" w:hAnsi="Times"/>
          <w:b w:val="1"/>
          <w:sz w:val="28"/>
          <w:szCs w:val="28"/>
        </w:rPr>
      </w:pPr>
      <w:r w:rsidDel="00000000" w:rsidR="00000000" w:rsidRPr="00000000">
        <w:rPr>
          <w:rFonts w:ascii="Times" w:cs="Times" w:eastAsia="Times" w:hAnsi="Times"/>
          <w:b w:val="1"/>
          <w:color w:val="000000"/>
          <w:sz w:val="28"/>
          <w:szCs w:val="28"/>
          <w:rtl w:val="0"/>
        </w:rPr>
        <w:t xml:space="preserve">1. Report Overview</w:t>
      </w: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report, we aim to uncover the economic path Italy went through during the period from 2019 to 2021, before and after the COVID pandemic, compared to its performance from 2013 to 2018. Specifically, we dive into the topic through a macroeconomic overview of Italy from the perspective of Gross Domestic Product (GDP) and Economic Complexity Index (ECI), which reflect countries’ production capability and production structure, respectively. We then analyze the industrial framework and changes of Italy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Italy, as deduced from regression models we have established on a global scale, which take into account countries’ stances in their product space.</w:t>
      </w:r>
    </w:p>
    <w:p w:rsidR="00000000" w:rsidDel="00000000" w:rsidP="00000000" w:rsidRDefault="00000000" w:rsidRPr="00000000" w14:paraId="0000001C">
      <w:pPr>
        <w:spacing w:after="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rFonts w:ascii="Times" w:cs="Times" w:eastAsia="Times" w:hAnsi="Time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2. Macroeconomic Results</w:t>
      </w:r>
    </w:p>
    <w:p w:rsidR="00000000" w:rsidDel="00000000" w:rsidP="00000000" w:rsidRDefault="00000000" w:rsidRPr="00000000" w14:paraId="00000021">
      <w:pPr>
        <w:jc w:val="both"/>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22">
      <w:pPr>
        <w:jc w:val="both"/>
        <w:rPr>
          <w:b w:val="1"/>
        </w:rPr>
      </w:pPr>
      <w:r w:rsidDel="00000000" w:rsidR="00000000" w:rsidRPr="00000000">
        <w:rPr>
          <w:b w:val="1"/>
          <w:rtl w:val="0"/>
        </w:rPr>
        <w:t xml:space="preserve">2.1 GDP Ranking and Changes</w:t>
      </w:r>
    </w:p>
    <w:p w:rsidR="00000000" w:rsidDel="00000000" w:rsidP="00000000" w:rsidRDefault="00000000" w:rsidRPr="00000000" w14:paraId="00000023">
      <w:pPr>
        <w:jc w:val="both"/>
        <w:rPr>
          <w:color w:val="000000"/>
        </w:rPr>
      </w:pPr>
      <w:r w:rsidDel="00000000" w:rsidR="00000000" w:rsidRPr="00000000">
        <w:rPr>
          <w:color w:val="000000"/>
          <w:rtl w:val="0"/>
        </w:rPr>
        <w:t xml:space="preserve">Figure 1a illustrates the time-series GDP results for Italy and some of its peer countries (Greece, Poland, Portugal, and France) from 2013 to 2018. Italy had a GDP of 2.14 trillion USD in 2013, 2.08 trillion USD in 2018, and 2.10 trillion USD, exhibiting a stable level of economic output. Similar to the other countries, Italy displayed an eventual upward trend over the period; however, its growth was consistent with France’s growth, outperforming Greece, Poland, and Portugal. </w:t>
      </w:r>
    </w:p>
    <w:p w:rsidR="00000000" w:rsidDel="00000000" w:rsidP="00000000" w:rsidRDefault="00000000" w:rsidRPr="00000000" w14:paraId="00000024">
      <w:pPr>
        <w:jc w:val="both"/>
        <w:rPr>
          <w:color w:val="000000"/>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During the period from 2013 to 2018, Italy exhibits an average annual GDP growth rate of 0.2%. This rate is at par with the annual growth rate of the group of major European economies in the world, which have a geometric average growth rate of 0.6% and an arithmetic average growth rate of 0.9%. The steady economic growth in Italy can be reflected through consistent ECI and PCI and can be further explained by a set of production strategies Greece adopted during the period, which we will expand on at the later stage of the report.</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Figure 1b shows the GDP levels for Italy and its peer countries from 2019 to 2021. Similar to the other countries, Italy displayed a slight change in GDP from 2019 to 2020 because of the pandemic, with all GDPs approximately rebounding in 2021. Over these three years, Italy’s average annual GDP growth rate (1.68%) is on the lower end among its peers, as it is greater than France’s (2.69%), Greece’s (2.19%), and Poland’s (4.29%) rates but still higher than Portugal’s rate (1.52%). It is notable that the GDP levels in Italy and France evened out and rebounded after 2018.</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rPr>
          <w:i w:val="1"/>
          <w:color w:val="444499"/>
          <w:sz w:val="20"/>
          <w:szCs w:val="20"/>
        </w:rPr>
      </w:pPr>
      <w:r w:rsidDel="00000000" w:rsidR="00000000" w:rsidRPr="00000000">
        <w:rPr>
          <w:b w:val="1"/>
          <w:sz w:val="28"/>
          <w:szCs w:val="28"/>
        </w:rPr>
        <w:drawing>
          <wp:inline distB="114300" distT="114300" distL="114300" distR="114300">
            <wp:extent cx="2778125" cy="1828800"/>
            <wp:effectExtent b="12700" l="12700" r="12700" t="12700"/>
            <wp:docPr id="212801865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78125" cy="1828800"/>
                    </a:xfrm>
                    <a:prstGeom prst="rect"/>
                    <a:ln w="12700">
                      <a:solidFill>
                        <a:srgbClr val="000000"/>
                      </a:solidFill>
                      <a:prstDash val="solid"/>
                    </a:ln>
                  </pic:spPr>
                </pic:pic>
              </a:graphicData>
            </a:graphic>
          </wp:inline>
        </w:drawing>
      </w:r>
      <w:r w:rsidDel="00000000" w:rsidR="00000000" w:rsidRPr="00000000">
        <w:rPr>
          <w:b w:val="1"/>
          <w:sz w:val="28"/>
          <w:szCs w:val="28"/>
        </w:rPr>
        <w:drawing>
          <wp:inline distB="0" distT="0" distL="0" distR="0">
            <wp:extent cx="2880360" cy="1828800"/>
            <wp:effectExtent b="12700" l="12700" r="12700" t="12700"/>
            <wp:docPr id="212801866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80360" cy="182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jc w:val="center"/>
        <w:rPr>
          <w:sz w:val="22"/>
          <w:szCs w:val="22"/>
        </w:rPr>
      </w:pPr>
      <w:r w:rsidDel="00000000" w:rsidR="00000000" w:rsidRPr="00000000">
        <w:rPr>
          <w:sz w:val="22"/>
          <w:szCs w:val="22"/>
          <w:rtl w:val="0"/>
        </w:rPr>
        <w:t xml:space="preserve">Figures 1a and 1b. GDP Comparison Among Peer Countries (left: 1999-2018; right: 2019-2021)</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both"/>
        <w:rPr>
          <w:b w:val="1"/>
        </w:rPr>
      </w:pPr>
      <w:r w:rsidDel="00000000" w:rsidR="00000000" w:rsidRPr="00000000">
        <w:rPr>
          <w:b w:val="1"/>
          <w:rtl w:val="0"/>
        </w:rPr>
        <w:t xml:space="preserve">2.2 ECI Ranking and Changes</w:t>
      </w:r>
    </w:p>
    <w:p w:rsidR="00000000" w:rsidDel="00000000" w:rsidP="00000000" w:rsidRDefault="00000000" w:rsidRPr="00000000" w14:paraId="0000002E">
      <w:pPr>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As shown, Italy exhibits a gradual decrease in production capability from 2013 to 2018. Italy is in a weak position in ECI terms but on par with its peers. The sudden drop in GDP during in the year 2014 is accompanied by a drop in ECI, indicating the potential that the slight economic growth experienced by Italy during this period might be attributed to its slow-growing ECI, or the ineffectiveness of the country in developing a competitive product space that helps to accumulate complicated knowledge and technology</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The comparable countries maintain a small change in ECI level between 2019 and 2020, with a sharp change between 2020 and 2021. Italy exhibits a large decrease in production capability in 2021, exacerbated drastically by COIVD as one of the reasons. Italy has seen a -184% decrease in its ECI, which is the worst out among Greece (204%), Poland (-130%), Portugal (-107%), and France (-159%).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drawing>
          <wp:inline distB="114300" distT="114300" distL="114300" distR="114300">
            <wp:extent cx="2692400" cy="1828800"/>
            <wp:effectExtent b="12700" l="12700" r="12700" t="12700"/>
            <wp:docPr id="212801866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92400" cy="1828800"/>
                    </a:xfrm>
                    <a:prstGeom prst="rect"/>
                    <a:ln w="12700">
                      <a:solidFill>
                        <a:srgbClr val="000000"/>
                      </a:solidFill>
                      <a:prstDash val="solid"/>
                    </a:ln>
                  </pic:spPr>
                </pic:pic>
              </a:graphicData>
            </a:graphic>
          </wp:inline>
        </w:drawing>
      </w:r>
      <w:r w:rsidDel="00000000" w:rsidR="00000000" w:rsidRPr="00000000">
        <w:rPr/>
        <w:drawing>
          <wp:inline distB="0" distT="0" distL="0" distR="0">
            <wp:extent cx="2865813" cy="1920240"/>
            <wp:effectExtent b="0" l="0" r="0" t="0"/>
            <wp:docPr id="212801866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865813" cy="19202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5">
      <w:pPr>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Figures 3a and 3b offer a further comparison of GDP Growth and ECI over the time span from 2013 to 2021 for Italy. Similar to the GDP drop and further increase from 2013 to 2018, the GDP growth during the period from 2019 to 2021 is accompanied by a similarly volatile increase in ECI. The results show that the economic growth experienced by Italy during the period from 2013 to 2018 is only partially consistent with the predictions by ECI and that Italy made weak progress towards effectively developing a competitive product space that helps to accumulate complicated knowledge and technology. For the period 2019 to 2021, the ECI followed GDP trends, which can be interpreted as advancements in production. In order to provide a more concrete answer to why this has happened, we will dive into an analysis of Italy’s production structure and its product space designs in the next few sections.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114300" distT="114300" distL="114300" distR="114300">
            <wp:extent cx="2645439" cy="1734967"/>
            <wp:effectExtent b="12700" l="12700" r="12700" t="12700"/>
            <wp:docPr id="212801866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645439" cy="1734967"/>
                    </a:xfrm>
                    <a:prstGeom prst="rect"/>
                    <a:ln w="12700">
                      <a:solidFill>
                        <a:srgbClr val="000000"/>
                      </a:solidFill>
                      <a:prstDash val="solid"/>
                    </a:ln>
                  </pic:spPr>
                </pic:pic>
              </a:graphicData>
            </a:graphic>
          </wp:inline>
        </w:drawing>
      </w:r>
      <w:r w:rsidDel="00000000" w:rsidR="00000000" w:rsidRPr="00000000">
        <w:rPr/>
        <w:drawing>
          <wp:inline distB="0" distT="0" distL="0" distR="0">
            <wp:extent cx="2929080" cy="1755316"/>
            <wp:effectExtent b="0" l="0" r="0" t="0"/>
            <wp:docPr id="212801866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929080" cy="175531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i w:val="1"/>
          <w:color w:val="444499"/>
          <w:sz w:val="20"/>
          <w:szCs w:val="20"/>
        </w:rPr>
      </w:pPr>
      <w:r w:rsidDel="00000000" w:rsidR="00000000" w:rsidRPr="00000000">
        <w:rPr>
          <w:sz w:val="22"/>
          <w:szCs w:val="22"/>
          <w:rtl w:val="0"/>
        </w:rPr>
        <w:t xml:space="preserve">Figures 3a and 3b. GDP Growth and ECI for Italy (left: 2013-2018; right: 2019-2021)</w:t>
      </w:r>
      <w:r w:rsidDel="00000000" w:rsidR="00000000" w:rsidRPr="00000000">
        <w:rPr>
          <w:rtl w:val="0"/>
        </w:rPr>
      </w:r>
    </w:p>
    <w:p w:rsidR="00000000" w:rsidDel="00000000" w:rsidP="00000000" w:rsidRDefault="00000000" w:rsidRPr="00000000" w14:paraId="0000003B">
      <w:pPr>
        <w:jc w:val="both"/>
        <w:rPr>
          <w:b w:val="1"/>
        </w:rPr>
      </w:pPr>
      <w:r w:rsidDel="00000000" w:rsidR="00000000" w:rsidRPr="00000000">
        <w:rPr>
          <w:rtl w:val="0"/>
        </w:rPr>
      </w:r>
    </w:p>
    <w:p w:rsidR="00000000" w:rsidDel="00000000" w:rsidP="00000000" w:rsidRDefault="00000000" w:rsidRPr="00000000" w14:paraId="0000003C">
      <w:pPr>
        <w:jc w:val="both"/>
        <w:rPr>
          <w:rFonts w:ascii="Times" w:cs="Times" w:eastAsia="Times" w:hAnsi="Time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D">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3. Production Analysis</w:t>
      </w:r>
    </w:p>
    <w:p w:rsidR="00000000" w:rsidDel="00000000" w:rsidP="00000000" w:rsidRDefault="00000000" w:rsidRPr="00000000" w14:paraId="0000003E">
      <w:pPr>
        <w:jc w:val="both"/>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03F">
      <w:pPr>
        <w:jc w:val="both"/>
        <w:rPr>
          <w:b w:val="1"/>
        </w:rPr>
      </w:pPr>
      <w:r w:rsidDel="00000000" w:rsidR="00000000" w:rsidRPr="00000000">
        <w:rPr>
          <w:b w:val="1"/>
          <w:rtl w:val="0"/>
        </w:rPr>
        <w:t xml:space="preserve">3.1 Product Categorization</w:t>
      </w:r>
    </w:p>
    <w:p w:rsidR="00000000" w:rsidDel="00000000" w:rsidP="00000000" w:rsidRDefault="00000000" w:rsidRPr="00000000" w14:paraId="00000040">
      <w:pPr>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3">
      <w:pPr>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4">
            <w:pPr>
              <w:jc w:val="both"/>
              <w:rPr/>
            </w:pPr>
            <w:r w:rsidDel="00000000" w:rsidR="00000000" w:rsidRPr="00000000">
              <w:rPr>
                <w:b w:val="0"/>
                <w:rtl w:val="0"/>
              </w:rPr>
              <w:t xml:space="preserve">Category</w:t>
            </w:r>
            <w:r w:rsidDel="00000000" w:rsidR="00000000" w:rsidRPr="00000000">
              <w:rPr>
                <w:rtl w:val="0"/>
              </w:rPr>
            </w:r>
          </w:p>
        </w:tc>
        <w:tc>
          <w:tcPr/>
          <w:p w:rsidR="00000000" w:rsidDel="00000000" w:rsidP="00000000" w:rsidRDefault="00000000" w:rsidRPr="00000000" w14:paraId="00000045">
            <w:pPr>
              <w:jc w:val="both"/>
              <w:rPr/>
            </w:pPr>
            <w:r w:rsidDel="00000000" w:rsidR="00000000" w:rsidRPr="00000000">
              <w:rPr>
                <w:b w:val="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4">
            <w:pPr>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60">
            <w:pPr>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A">
      <w:pPr>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jc w:val="center"/>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Animals and By-products</w:t>
            </w:r>
          </w:p>
        </w:tc>
      </w:tr>
      <w:tr>
        <w:trPr>
          <w:cantSplit w:val="0"/>
          <w:trHeight w:val="270" w:hRule="atLeast"/>
          <w:tblHeader w:val="0"/>
        </w:trPr>
        <w:tc>
          <w:tcPr/>
          <w:p w:rsidR="00000000" w:rsidDel="00000000" w:rsidP="00000000" w:rsidRDefault="00000000" w:rsidRPr="00000000" w14:paraId="00000075">
            <w:pPr>
              <w:jc w:val="center"/>
              <w:rPr>
                <w:sz w:val="20"/>
                <w:szCs w:val="20"/>
              </w:rPr>
            </w:pPr>
            <w:r w:rsidDel="00000000" w:rsidR="00000000" w:rsidRPr="00000000">
              <w:rPr>
                <w:b w:val="0"/>
                <w:sz w:val="20"/>
                <w:szCs w:val="20"/>
                <w:rtl w:val="0"/>
              </w:rPr>
              <w:t xml:space="preserve">Adj. R-squared</w:t>
            </w:r>
            <w:r w:rsidDel="00000000" w:rsidR="00000000" w:rsidRPr="00000000">
              <w:rPr>
                <w:rtl w:val="0"/>
              </w:rPr>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77">
            <w:pPr>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78">
            <w:pPr>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79">
            <w:pPr>
              <w:jc w:val="center"/>
              <w:rPr>
                <w:sz w:val="20"/>
                <w:szCs w:val="20"/>
              </w:rPr>
            </w:pPr>
            <w:r w:rsidDel="00000000" w:rsidR="00000000" w:rsidRPr="00000000">
              <w:rPr>
                <w:b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B">
            <w:pPr>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C">
            <w:pPr>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D">
            <w:pPr>
              <w:jc w:val="center"/>
              <w:rPr>
                <w:sz w:val="20"/>
                <w:szCs w:val="20"/>
              </w:rPr>
            </w:pPr>
            <w:r w:rsidDel="00000000" w:rsidR="00000000" w:rsidRPr="00000000">
              <w:rPr>
                <w:b w:val="0"/>
                <w:sz w:val="20"/>
                <w:szCs w:val="20"/>
                <w:rtl w:val="0"/>
              </w:rPr>
              <w:t xml:space="preserve">No. Observations</w:t>
            </w:r>
            <w:r w:rsidDel="00000000" w:rsidR="00000000" w:rsidRPr="00000000">
              <w:rPr>
                <w:rtl w:val="0"/>
              </w:rPr>
            </w:r>
          </w:p>
        </w:tc>
        <w:tc>
          <w:tcPr>
            <w:vAlign w:val="bottom"/>
          </w:tcPr>
          <w:p w:rsidR="00000000" w:rsidDel="00000000" w:rsidP="00000000" w:rsidRDefault="00000000" w:rsidRPr="00000000" w14:paraId="0000007E">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F">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80">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81">
      <w:pPr>
        <w:jc w:val="center"/>
        <w:rPr>
          <w:sz w:val="22"/>
          <w:szCs w:val="22"/>
        </w:rPr>
      </w:pPr>
      <w:r w:rsidDel="00000000" w:rsidR="00000000" w:rsidRPr="00000000">
        <w:rPr>
          <w:sz w:val="22"/>
          <w:szCs w:val="22"/>
          <w:rtl w:val="0"/>
        </w:rPr>
        <w:t xml:space="preserve">Table 2a. OLS Regression Results of GDP against Percentage Volume of Exports </w:t>
      </w:r>
    </w:p>
    <w:p w:rsidR="00000000" w:rsidDel="00000000" w:rsidP="00000000" w:rsidRDefault="00000000" w:rsidRPr="00000000" w14:paraId="00000082">
      <w:pPr>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83">
            <w:pPr>
              <w:jc w:val="center"/>
              <w:rPr/>
            </w:pPr>
            <w:r w:rsidDel="00000000" w:rsidR="00000000" w:rsidRPr="00000000">
              <w:rPr>
                <w:rtl w:val="0"/>
              </w:rPr>
            </w:r>
          </w:p>
        </w:tc>
        <w:tc>
          <w:tcPr/>
          <w:p w:rsidR="00000000" w:rsidDel="00000000" w:rsidP="00000000" w:rsidRDefault="00000000" w:rsidRPr="00000000" w14:paraId="00000084">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Animals and By-products</w:t>
            </w:r>
          </w:p>
        </w:tc>
      </w:tr>
      <w:tr>
        <w:trPr>
          <w:cantSplit w:val="0"/>
          <w:trHeight w:val="270" w:hRule="atLeast"/>
          <w:tblHeader w:val="0"/>
        </w:trPr>
        <w:tc>
          <w:tcPr/>
          <w:p w:rsidR="00000000" w:rsidDel="00000000" w:rsidP="00000000" w:rsidRDefault="00000000" w:rsidRPr="00000000" w14:paraId="00000087">
            <w:pPr>
              <w:jc w:val="center"/>
              <w:rPr>
                <w:sz w:val="20"/>
                <w:szCs w:val="20"/>
              </w:rPr>
            </w:pPr>
            <w:r w:rsidDel="00000000" w:rsidR="00000000" w:rsidRPr="00000000">
              <w:rPr>
                <w:b w:val="0"/>
                <w:sz w:val="20"/>
                <w:szCs w:val="20"/>
                <w:rtl w:val="0"/>
              </w:rPr>
              <w:t xml:space="preserve">Adj. R-squared</w:t>
            </w:r>
            <w:r w:rsidDel="00000000" w:rsidR="00000000" w:rsidRPr="00000000">
              <w:rPr>
                <w:rtl w:val="0"/>
              </w:rPr>
            </w:r>
          </w:p>
        </w:tc>
        <w:tc>
          <w:tcPr>
            <w:vAlign w:val="bottom"/>
          </w:tcPr>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89">
            <w:pPr>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A">
            <w:pPr>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B">
            <w:pPr>
              <w:jc w:val="center"/>
              <w:rPr>
                <w:sz w:val="20"/>
                <w:szCs w:val="20"/>
              </w:rPr>
            </w:pPr>
            <w:r w:rsidDel="00000000" w:rsidR="00000000" w:rsidRPr="00000000">
              <w:rPr>
                <w:b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C">
            <w:pPr>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D">
            <w:pPr>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E">
            <w:pPr>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F">
            <w:pPr>
              <w:jc w:val="center"/>
              <w:rPr>
                <w:sz w:val="20"/>
                <w:szCs w:val="20"/>
              </w:rPr>
            </w:pPr>
            <w:r w:rsidDel="00000000" w:rsidR="00000000" w:rsidRPr="00000000">
              <w:rPr>
                <w:b w:val="0"/>
                <w:sz w:val="20"/>
                <w:szCs w:val="20"/>
                <w:rtl w:val="0"/>
              </w:rPr>
              <w:t xml:space="preserve">No. Observations</w:t>
            </w:r>
            <w:r w:rsidDel="00000000" w:rsidR="00000000" w:rsidRPr="00000000">
              <w:rPr>
                <w:rtl w:val="0"/>
              </w:rPr>
            </w:r>
          </w:p>
        </w:tc>
        <w:tc>
          <w:tcPr>
            <w:vAlign w:val="bottom"/>
          </w:tcPr>
          <w:p w:rsidR="00000000" w:rsidDel="00000000" w:rsidP="00000000" w:rsidRDefault="00000000" w:rsidRPr="00000000" w14:paraId="00000090">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91">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92">
            <w:pPr>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93">
      <w:pPr>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94">
      <w:pPr>
        <w:jc w:val="center"/>
        <w:rPr>
          <w:sz w:val="22"/>
          <w:szCs w:val="22"/>
        </w:rPr>
      </w:pPr>
      <w:r w:rsidDel="00000000" w:rsidR="00000000" w:rsidRPr="00000000">
        <w:rPr>
          <w:rtl w:val="0"/>
        </w:rPr>
      </w:r>
    </w:p>
    <w:p w:rsidR="00000000" w:rsidDel="00000000" w:rsidP="00000000" w:rsidRDefault="00000000" w:rsidRPr="00000000" w14:paraId="00000095">
      <w:pPr>
        <w:jc w:val="both"/>
        <w:rPr>
          <w:b w:val="1"/>
        </w:rPr>
      </w:pPr>
      <w:r w:rsidDel="00000000" w:rsidR="00000000" w:rsidRPr="00000000">
        <w:rPr>
          <w:rtl w:val="0"/>
        </w:rPr>
      </w:r>
    </w:p>
    <w:p w:rsidR="00000000" w:rsidDel="00000000" w:rsidP="00000000" w:rsidRDefault="00000000" w:rsidRPr="00000000" w14:paraId="00000096">
      <w:pPr>
        <w:jc w:val="both"/>
        <w:rPr>
          <w:b w:val="1"/>
        </w:rPr>
      </w:pPr>
      <w:r w:rsidDel="00000000" w:rsidR="00000000" w:rsidRPr="00000000">
        <w:rPr>
          <w:b w:val="1"/>
          <w:rtl w:val="0"/>
        </w:rPr>
        <w:t xml:space="preserve">3.2 Realized Industry Development</w:t>
      </w:r>
    </w:p>
    <w:p w:rsidR="00000000" w:rsidDel="00000000" w:rsidP="00000000" w:rsidRDefault="00000000" w:rsidRPr="00000000" w14:paraId="00000097">
      <w:pPr>
        <w:jc w:val="both"/>
        <w:rPr/>
      </w:pPr>
      <w:r w:rsidDel="00000000" w:rsidR="00000000" w:rsidRPr="00000000">
        <w:rPr>
          <w:rtl w:val="0"/>
        </w:rPr>
        <w:t xml:space="preserve">Based on the aforementioned product categorization, we aim to capture Italy's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Defining this net distance change as the Realized Industry Development (RID), our export data allow us to calculate and compare the RID of Italy and the 18 product groups in 2021 and 2018 through the difference, where a positive RID indicates a shortening of the distance (i.e., advancement of the industry), and a negative RID indicates the reverse. It is notable that the number of industries with positive RID has increased from none to all but one from 2018 to 2021.</w:t>
      </w:r>
    </w:p>
    <w:p w:rsidR="00000000" w:rsidDel="00000000" w:rsidP="00000000" w:rsidRDefault="00000000" w:rsidRPr="00000000" w14:paraId="0000009A">
      <w:pPr>
        <w:jc w:val="center"/>
        <w:rPr>
          <w:sz w:val="22"/>
          <w:szCs w:val="22"/>
        </w:rPr>
      </w:pPr>
      <w:r w:rsidDel="00000000" w:rsidR="00000000" w:rsidRPr="00000000">
        <w:rPr>
          <w:rtl w:val="0"/>
        </w:rPr>
      </w:r>
    </w:p>
    <w:tbl>
      <w:tblPr>
        <w:tblStyle w:val="Table4"/>
        <w:tblW w:w="6140.0" w:type="dxa"/>
        <w:jc w:val="center"/>
        <w:tblLayout w:type="fixed"/>
        <w:tblLook w:val="0400"/>
      </w:tblPr>
      <w:tblGrid>
        <w:gridCol w:w="3540"/>
        <w:gridCol w:w="1300"/>
        <w:gridCol w:w="1300"/>
        <w:tblGridChange w:id="0">
          <w:tblGrid>
            <w:gridCol w:w="3540"/>
            <w:gridCol w:w="1300"/>
            <w:gridCol w:w="1300"/>
          </w:tblGrid>
        </w:tblGridChange>
      </w:tblGrid>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5a5a5" w:val="clear"/>
            <w:vAlign w:val="center"/>
          </w:tcPr>
          <w:p w:rsidR="00000000" w:rsidDel="00000000" w:rsidP="00000000" w:rsidRDefault="00000000" w:rsidRPr="00000000" w14:paraId="0000009B">
            <w:pPr>
              <w:ind w:firstLine="201"/>
              <w:rPr>
                <w:b w:val="1"/>
                <w:color w:val="ffffff"/>
                <w:sz w:val="20"/>
                <w:szCs w:val="20"/>
              </w:rPr>
            </w:pPr>
            <w:r w:rsidDel="00000000" w:rsidR="00000000" w:rsidRPr="00000000">
              <w:rPr>
                <w:b w:val="1"/>
                <w:color w:val="ffffff"/>
                <w:sz w:val="20"/>
                <w:szCs w:val="20"/>
                <w:rtl w:val="0"/>
              </w:rPr>
              <w:t xml:space="preserve">Category</w:t>
            </w:r>
          </w:p>
        </w:tc>
        <w:tc>
          <w:tcPr>
            <w:tcBorders>
              <w:top w:color="000000" w:space="0" w:sz="0" w:val="nil"/>
              <w:left w:color="000000" w:space="0" w:sz="0" w:val="nil"/>
              <w:bottom w:color="000000" w:space="0" w:sz="0" w:val="nil"/>
              <w:right w:color="000000" w:space="0" w:sz="0" w:val="nil"/>
            </w:tcBorders>
            <w:shd w:fill="a5a5a5" w:val="clear"/>
            <w:vAlign w:val="center"/>
          </w:tcPr>
          <w:p w:rsidR="00000000" w:rsidDel="00000000" w:rsidP="00000000" w:rsidRDefault="00000000" w:rsidRPr="00000000" w14:paraId="0000009C">
            <w:pPr>
              <w:jc w:val="both"/>
              <w:rPr>
                <w:b w:val="1"/>
                <w:color w:val="ffffff"/>
                <w:sz w:val="20"/>
                <w:szCs w:val="20"/>
              </w:rPr>
            </w:pPr>
            <w:r w:rsidDel="00000000" w:rsidR="00000000" w:rsidRPr="00000000">
              <w:rPr>
                <w:b w:val="1"/>
                <w:color w:val="ffffff"/>
                <w:sz w:val="20"/>
                <w:szCs w:val="20"/>
                <w:rtl w:val="0"/>
              </w:rPr>
              <w:t xml:space="preserve">RID (2021)</w:t>
            </w:r>
          </w:p>
        </w:tc>
        <w:tc>
          <w:tcPr>
            <w:tcBorders>
              <w:top w:color="000000" w:space="0" w:sz="0" w:val="nil"/>
              <w:left w:color="000000" w:space="0" w:sz="0" w:val="nil"/>
              <w:bottom w:color="000000" w:space="0" w:sz="0" w:val="nil"/>
              <w:right w:color="000000" w:space="0" w:sz="0" w:val="nil"/>
            </w:tcBorders>
            <w:shd w:fill="a5a5a5" w:val="clear"/>
            <w:vAlign w:val="center"/>
          </w:tcPr>
          <w:p w:rsidR="00000000" w:rsidDel="00000000" w:rsidP="00000000" w:rsidRDefault="00000000" w:rsidRPr="00000000" w14:paraId="0000009D">
            <w:pPr>
              <w:jc w:val="both"/>
              <w:rPr>
                <w:b w:val="1"/>
                <w:color w:val="ffffff"/>
                <w:sz w:val="20"/>
                <w:szCs w:val="20"/>
              </w:rPr>
            </w:pPr>
            <w:r w:rsidDel="00000000" w:rsidR="00000000" w:rsidRPr="00000000">
              <w:rPr>
                <w:b w:val="1"/>
                <w:color w:val="ffffff"/>
                <w:sz w:val="20"/>
                <w:szCs w:val="20"/>
                <w:rtl w:val="0"/>
              </w:rPr>
              <w:t xml:space="preserve">RID (2018)</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9E">
            <w:pPr>
              <w:ind w:firstLine="200"/>
              <w:rPr>
                <w:color w:val="7b7b7b"/>
                <w:sz w:val="20"/>
                <w:szCs w:val="20"/>
              </w:rPr>
            </w:pPr>
            <w:r w:rsidDel="00000000" w:rsidR="00000000" w:rsidRPr="00000000">
              <w:rPr>
                <w:color w:val="7b7b7b"/>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9F">
            <w:pPr>
              <w:jc w:val="center"/>
              <w:rPr>
                <w:color w:val="000000"/>
                <w:sz w:val="20"/>
                <w:szCs w:val="20"/>
              </w:rPr>
            </w:pPr>
            <w:r w:rsidDel="00000000" w:rsidR="00000000" w:rsidRPr="00000000">
              <w:rPr>
                <w:color w:val="000000"/>
                <w:sz w:val="20"/>
                <w:szCs w:val="20"/>
                <w:rtl w:val="0"/>
              </w:rPr>
              <w:t xml:space="preserve">-0.007</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A0">
            <w:pPr>
              <w:jc w:val="center"/>
              <w:rPr>
                <w:color w:val="000000"/>
                <w:sz w:val="20"/>
                <w:szCs w:val="20"/>
              </w:rPr>
            </w:pPr>
            <w:r w:rsidDel="00000000" w:rsidR="00000000" w:rsidRPr="00000000">
              <w:rPr>
                <w:color w:val="000000"/>
                <w:sz w:val="20"/>
                <w:szCs w:val="20"/>
                <w:rtl w:val="0"/>
              </w:rPr>
              <w:t xml:space="preserve">-0.080</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1">
            <w:pPr>
              <w:ind w:firstLine="200"/>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0.008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3">
            <w:pPr>
              <w:jc w:val="center"/>
              <w:rPr>
                <w:sz w:val="20"/>
                <w:szCs w:val="20"/>
              </w:rPr>
            </w:pPr>
            <w:r w:rsidDel="00000000" w:rsidR="00000000" w:rsidRPr="00000000">
              <w:rPr>
                <w:sz w:val="20"/>
                <w:szCs w:val="20"/>
                <w:rtl w:val="0"/>
              </w:rPr>
              <w:t xml:space="preserve">-0.118</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A4">
            <w:pPr>
              <w:ind w:firstLine="200"/>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A5">
            <w:pPr>
              <w:jc w:val="center"/>
              <w:rPr>
                <w:color w:val="000000"/>
                <w:sz w:val="20"/>
                <w:szCs w:val="20"/>
              </w:rPr>
            </w:pPr>
            <w:r w:rsidDel="00000000" w:rsidR="00000000" w:rsidRPr="00000000">
              <w:rPr>
                <w:color w:val="000000"/>
                <w:sz w:val="20"/>
                <w:szCs w:val="20"/>
                <w:rtl w:val="0"/>
              </w:rPr>
              <w:t xml:space="preserve">0.008</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A6">
            <w:pPr>
              <w:jc w:val="center"/>
              <w:rPr>
                <w:color w:val="000000"/>
                <w:sz w:val="20"/>
                <w:szCs w:val="20"/>
              </w:rPr>
            </w:pPr>
            <w:r w:rsidDel="00000000" w:rsidR="00000000" w:rsidRPr="00000000">
              <w:rPr>
                <w:color w:val="000000"/>
                <w:sz w:val="20"/>
                <w:szCs w:val="20"/>
                <w:rtl w:val="0"/>
              </w:rPr>
              <w:t xml:space="preserve">-0.120</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7">
            <w:pPr>
              <w:ind w:firstLine="200"/>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8">
            <w:pPr>
              <w:jc w:val="center"/>
              <w:rPr>
                <w:sz w:val="20"/>
                <w:szCs w:val="20"/>
              </w:rPr>
            </w:pPr>
            <w:r w:rsidDel="00000000" w:rsidR="00000000" w:rsidRPr="00000000">
              <w:rPr>
                <w:sz w:val="20"/>
                <w:szCs w:val="20"/>
                <w:rtl w:val="0"/>
              </w:rPr>
              <w:t xml:space="preserve">0.009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9">
            <w:pPr>
              <w:jc w:val="center"/>
              <w:rPr>
                <w:sz w:val="20"/>
                <w:szCs w:val="20"/>
              </w:rPr>
            </w:pPr>
            <w:r w:rsidDel="00000000" w:rsidR="00000000" w:rsidRPr="00000000">
              <w:rPr>
                <w:sz w:val="20"/>
                <w:szCs w:val="20"/>
                <w:rtl w:val="0"/>
              </w:rPr>
              <w:t xml:space="preserve">-0.324</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AA">
            <w:pPr>
              <w:ind w:firstLine="200"/>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AB">
            <w:pPr>
              <w:jc w:val="center"/>
              <w:rPr>
                <w:color w:val="000000"/>
                <w:sz w:val="20"/>
                <w:szCs w:val="20"/>
              </w:rPr>
            </w:pPr>
            <w:r w:rsidDel="00000000" w:rsidR="00000000" w:rsidRPr="00000000">
              <w:rPr>
                <w:color w:val="000000"/>
                <w:sz w:val="20"/>
                <w:szCs w:val="20"/>
                <w:rtl w:val="0"/>
              </w:rPr>
              <w:t xml:space="preserve">0.011</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AC">
            <w:pPr>
              <w:jc w:val="center"/>
              <w:rPr>
                <w:color w:val="000000"/>
                <w:sz w:val="20"/>
                <w:szCs w:val="20"/>
              </w:rPr>
            </w:pPr>
            <w:r w:rsidDel="00000000" w:rsidR="00000000" w:rsidRPr="00000000">
              <w:rPr>
                <w:color w:val="000000"/>
                <w:sz w:val="20"/>
                <w:szCs w:val="20"/>
                <w:rtl w:val="0"/>
              </w:rPr>
              <w:t xml:space="preserve">-0.114</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D">
            <w:pPr>
              <w:ind w:firstLine="200"/>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E">
            <w:pPr>
              <w:jc w:val="center"/>
              <w:rPr>
                <w:sz w:val="20"/>
                <w:szCs w:val="20"/>
              </w:rPr>
            </w:pPr>
            <w:r w:rsidDel="00000000" w:rsidR="00000000" w:rsidRPr="00000000">
              <w:rPr>
                <w:sz w:val="20"/>
                <w:szCs w:val="20"/>
                <w:rtl w:val="0"/>
              </w:rPr>
              <w:t xml:space="preserve">0.026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-0.082</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0">
            <w:pPr>
              <w:ind w:firstLine="200"/>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1">
            <w:pPr>
              <w:jc w:val="center"/>
              <w:rPr>
                <w:color w:val="000000"/>
                <w:sz w:val="20"/>
                <w:szCs w:val="20"/>
              </w:rPr>
            </w:pPr>
            <w:r w:rsidDel="00000000" w:rsidR="00000000" w:rsidRPr="00000000">
              <w:rPr>
                <w:color w:val="000000"/>
                <w:sz w:val="20"/>
                <w:szCs w:val="20"/>
                <w:rtl w:val="0"/>
              </w:rPr>
              <w:t xml:space="preserve">0.027</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2">
            <w:pPr>
              <w:jc w:val="center"/>
              <w:rPr>
                <w:color w:val="000000"/>
                <w:sz w:val="20"/>
                <w:szCs w:val="20"/>
              </w:rPr>
            </w:pPr>
            <w:r w:rsidDel="00000000" w:rsidR="00000000" w:rsidRPr="00000000">
              <w:rPr>
                <w:color w:val="000000"/>
                <w:sz w:val="20"/>
                <w:szCs w:val="20"/>
                <w:rtl w:val="0"/>
              </w:rPr>
              <w:t xml:space="preserve">-0.241</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3">
            <w:pPr>
              <w:ind w:firstLine="200"/>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0.033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-0.134</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6">
            <w:pPr>
              <w:ind w:firstLine="200"/>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7">
            <w:pPr>
              <w:jc w:val="center"/>
              <w:rPr>
                <w:color w:val="000000"/>
                <w:sz w:val="20"/>
                <w:szCs w:val="20"/>
              </w:rPr>
            </w:pPr>
            <w:r w:rsidDel="00000000" w:rsidR="00000000" w:rsidRPr="00000000">
              <w:rPr>
                <w:color w:val="000000"/>
                <w:sz w:val="20"/>
                <w:szCs w:val="20"/>
                <w:rtl w:val="0"/>
              </w:rPr>
              <w:t xml:space="preserve">0.036</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8">
            <w:pPr>
              <w:jc w:val="center"/>
              <w:rPr>
                <w:color w:val="000000"/>
                <w:sz w:val="20"/>
                <w:szCs w:val="20"/>
              </w:rPr>
            </w:pPr>
            <w:r w:rsidDel="00000000" w:rsidR="00000000" w:rsidRPr="00000000">
              <w:rPr>
                <w:color w:val="000000"/>
                <w:sz w:val="20"/>
                <w:szCs w:val="20"/>
                <w:rtl w:val="0"/>
              </w:rPr>
              <w:t xml:space="preserve">-0.114</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9">
            <w:pPr>
              <w:ind w:firstLine="200"/>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A">
            <w:pPr>
              <w:jc w:val="center"/>
              <w:rPr>
                <w:sz w:val="20"/>
                <w:szCs w:val="20"/>
              </w:rPr>
            </w:pPr>
            <w:r w:rsidDel="00000000" w:rsidR="00000000" w:rsidRPr="00000000">
              <w:rPr>
                <w:sz w:val="20"/>
                <w:szCs w:val="20"/>
                <w:rtl w:val="0"/>
              </w:rPr>
              <w:t xml:space="preserve">0.043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-0.113</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C">
            <w:pPr>
              <w:ind w:firstLine="200"/>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D">
            <w:pPr>
              <w:jc w:val="center"/>
              <w:rPr>
                <w:color w:val="000000"/>
                <w:sz w:val="20"/>
                <w:szCs w:val="20"/>
              </w:rPr>
            </w:pPr>
            <w:r w:rsidDel="00000000" w:rsidR="00000000" w:rsidRPr="00000000">
              <w:rPr>
                <w:color w:val="000000"/>
                <w:sz w:val="20"/>
                <w:szCs w:val="20"/>
                <w:rtl w:val="0"/>
              </w:rPr>
              <w:t xml:space="preserve">0.048</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BE">
            <w:pPr>
              <w:jc w:val="center"/>
              <w:rPr>
                <w:color w:val="000000"/>
                <w:sz w:val="20"/>
                <w:szCs w:val="20"/>
              </w:rPr>
            </w:pPr>
            <w:r w:rsidDel="00000000" w:rsidR="00000000" w:rsidRPr="00000000">
              <w:rPr>
                <w:color w:val="000000"/>
                <w:sz w:val="20"/>
                <w:szCs w:val="20"/>
                <w:rtl w:val="0"/>
              </w:rPr>
              <w:t xml:space="preserve">-0.111</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F">
            <w:pPr>
              <w:ind w:firstLine="200"/>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0.049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-0.129</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C2">
            <w:pPr>
              <w:ind w:firstLine="200"/>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C3">
            <w:pPr>
              <w:jc w:val="center"/>
              <w:rPr>
                <w:color w:val="000000"/>
                <w:sz w:val="20"/>
                <w:szCs w:val="20"/>
              </w:rPr>
            </w:pPr>
            <w:r w:rsidDel="00000000" w:rsidR="00000000" w:rsidRPr="00000000">
              <w:rPr>
                <w:color w:val="000000"/>
                <w:sz w:val="20"/>
                <w:szCs w:val="20"/>
                <w:rtl w:val="0"/>
              </w:rPr>
              <w:t xml:space="preserve">0.050</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C4">
            <w:pPr>
              <w:jc w:val="center"/>
              <w:rPr>
                <w:color w:val="000000"/>
                <w:sz w:val="20"/>
                <w:szCs w:val="20"/>
              </w:rPr>
            </w:pPr>
            <w:r w:rsidDel="00000000" w:rsidR="00000000" w:rsidRPr="00000000">
              <w:rPr>
                <w:color w:val="000000"/>
                <w:sz w:val="20"/>
                <w:szCs w:val="20"/>
                <w:rtl w:val="0"/>
              </w:rPr>
              <w:t xml:space="preserve">-0.147</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5">
            <w:pPr>
              <w:ind w:firstLine="200"/>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0.050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-0.095</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C8">
            <w:pPr>
              <w:ind w:firstLine="200"/>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C9">
            <w:pPr>
              <w:jc w:val="center"/>
              <w:rPr>
                <w:color w:val="000000"/>
                <w:sz w:val="20"/>
                <w:szCs w:val="20"/>
              </w:rPr>
            </w:pPr>
            <w:r w:rsidDel="00000000" w:rsidR="00000000" w:rsidRPr="00000000">
              <w:rPr>
                <w:color w:val="000000"/>
                <w:sz w:val="20"/>
                <w:szCs w:val="20"/>
                <w:rtl w:val="0"/>
              </w:rPr>
              <w:t xml:space="preserve">0.069</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CA">
            <w:pPr>
              <w:jc w:val="center"/>
              <w:rPr>
                <w:color w:val="000000"/>
                <w:sz w:val="20"/>
                <w:szCs w:val="20"/>
              </w:rPr>
            </w:pPr>
            <w:r w:rsidDel="00000000" w:rsidR="00000000" w:rsidRPr="00000000">
              <w:rPr>
                <w:color w:val="000000"/>
                <w:sz w:val="20"/>
                <w:szCs w:val="20"/>
                <w:rtl w:val="0"/>
              </w:rPr>
              <w:t xml:space="preserve">-0.136</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B">
            <w:pPr>
              <w:ind w:firstLine="200"/>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0.085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-0.086</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CE">
            <w:pPr>
              <w:ind w:firstLine="200"/>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CF">
            <w:pPr>
              <w:jc w:val="center"/>
              <w:rPr>
                <w:color w:val="000000"/>
                <w:sz w:val="20"/>
                <w:szCs w:val="20"/>
              </w:rPr>
            </w:pPr>
            <w:r w:rsidDel="00000000" w:rsidR="00000000" w:rsidRPr="00000000">
              <w:rPr>
                <w:color w:val="000000"/>
                <w:sz w:val="20"/>
                <w:szCs w:val="20"/>
                <w:rtl w:val="0"/>
              </w:rPr>
              <w:t xml:space="preserve">0.094</w:t>
            </w:r>
          </w:p>
        </w:tc>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D0">
            <w:pPr>
              <w:jc w:val="center"/>
              <w:rPr>
                <w:color w:val="000000"/>
                <w:sz w:val="20"/>
                <w:szCs w:val="20"/>
              </w:rPr>
            </w:pPr>
            <w:r w:rsidDel="00000000" w:rsidR="00000000" w:rsidRPr="00000000">
              <w:rPr>
                <w:color w:val="000000"/>
                <w:sz w:val="20"/>
                <w:szCs w:val="20"/>
                <w:rtl w:val="0"/>
              </w:rPr>
              <w:t xml:space="preserve">-0.102</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1">
            <w:pPr>
              <w:ind w:firstLine="200"/>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0.126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-0.178</w:t>
            </w:r>
          </w:p>
        </w:tc>
      </w:tr>
    </w:tbl>
    <w:p w:rsidR="00000000" w:rsidDel="00000000" w:rsidP="00000000" w:rsidRDefault="00000000" w:rsidRPr="00000000" w14:paraId="000000D4">
      <w:pPr>
        <w:jc w:val="center"/>
        <w:rPr>
          <w:sz w:val="22"/>
          <w:szCs w:val="22"/>
        </w:rPr>
      </w:pPr>
      <w:r w:rsidDel="00000000" w:rsidR="00000000" w:rsidRPr="00000000">
        <w:rPr>
          <w:sz w:val="22"/>
          <w:szCs w:val="22"/>
          <w:rtl w:val="0"/>
        </w:rPr>
        <w:t xml:space="preserve">Table 3. Realized Industry Development (RID) of Italy</w:t>
      </w:r>
    </w:p>
    <w:p w:rsidR="00000000" w:rsidDel="00000000" w:rsidP="00000000" w:rsidRDefault="00000000" w:rsidRPr="00000000" w14:paraId="000000D5">
      <w:pPr>
        <w:jc w:val="center"/>
        <w:rPr>
          <w:b w:val="1"/>
        </w:rPr>
      </w:pPr>
      <w:r w:rsidDel="00000000" w:rsidR="00000000" w:rsidRPr="00000000">
        <w:rPr>
          <w:rtl w:val="0"/>
        </w:rPr>
      </w:r>
    </w:p>
    <w:p w:rsidR="00000000" w:rsidDel="00000000" w:rsidP="00000000" w:rsidRDefault="00000000" w:rsidRPr="00000000" w14:paraId="000000D6">
      <w:pPr>
        <w:jc w:val="both"/>
        <w:rPr>
          <w:b w:val="1"/>
        </w:rPr>
      </w:pPr>
      <w:r w:rsidDel="00000000" w:rsidR="00000000" w:rsidRPr="00000000">
        <w:rPr>
          <w:b w:val="1"/>
          <w:rtl w:val="0"/>
        </w:rPr>
        <w:t xml:space="preserve">3.3 Regional and Global Comparison</w:t>
      </w:r>
    </w:p>
    <w:p w:rsidR="00000000" w:rsidDel="00000000" w:rsidP="00000000" w:rsidRDefault="00000000" w:rsidRPr="00000000" w14:paraId="000000D7">
      <w:pPr>
        <w:jc w:val="both"/>
        <w:rPr/>
      </w:pPr>
      <w:r w:rsidDel="00000000" w:rsidR="00000000" w:rsidRPr="00000000">
        <w:rPr>
          <w:rtl w:val="0"/>
        </w:rPr>
        <w:t xml:space="preserve">Tables 4a-4b below summarize how the production strategy adopted by Italy compares with selected leading economies in the world across different years, as measured in RID. Leading economies such as France, the UK, and Germany gave a considerable level of attention to more advanced product groups, such as High-complexity Products, in 2018 and shifted toward a wider variety in groups toward more infrastructure and natural resources in 2021.</w:t>
      </w:r>
    </w:p>
    <w:p w:rsidR="00000000" w:rsidDel="00000000" w:rsidP="00000000" w:rsidRDefault="00000000" w:rsidRPr="00000000" w14:paraId="000000D8">
      <w:pPr>
        <w:rPr>
          <w:sz w:val="22"/>
          <w:szCs w:val="22"/>
        </w:rPr>
      </w:pPr>
      <w:r w:rsidDel="00000000" w:rsidR="00000000" w:rsidRPr="00000000">
        <w:rPr>
          <w:rtl w:val="0"/>
        </w:rPr>
      </w:r>
    </w:p>
    <w:tbl>
      <w:tblPr>
        <w:tblStyle w:val="Table5"/>
        <w:tblW w:w="89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D9">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DA">
            <w:pPr>
              <w:jc w:val="both"/>
              <w:rPr/>
            </w:pPr>
            <w:r w:rsidDel="00000000" w:rsidR="00000000" w:rsidRPr="00000000">
              <w:rPr>
                <w:rtl w:val="0"/>
              </w:rPr>
              <w:t xml:space="preserve">France</w:t>
            </w:r>
          </w:p>
        </w:tc>
        <w:tc>
          <w:tcPr>
            <w:vAlign w:val="center"/>
          </w:tcPr>
          <w:p w:rsidR="00000000" w:rsidDel="00000000" w:rsidP="00000000" w:rsidRDefault="00000000" w:rsidRPr="00000000" w14:paraId="000000DB">
            <w:pPr>
              <w:jc w:val="both"/>
              <w:rPr/>
            </w:pPr>
            <w:r w:rsidDel="00000000" w:rsidR="00000000" w:rsidRPr="00000000">
              <w:rPr>
                <w:rtl w:val="0"/>
              </w:rPr>
              <w:t xml:space="preserve">the UK</w:t>
            </w:r>
          </w:p>
        </w:tc>
        <w:tc>
          <w:tcPr>
            <w:vAlign w:val="center"/>
          </w:tcPr>
          <w:p w:rsidR="00000000" w:rsidDel="00000000" w:rsidP="00000000" w:rsidRDefault="00000000" w:rsidRPr="00000000" w14:paraId="000000DC">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DD">
            <w:pPr>
              <w:jc w:val="both"/>
              <w:rPr>
                <w:sz w:val="20"/>
                <w:szCs w:val="20"/>
              </w:rPr>
            </w:pPr>
            <w:r w:rsidDel="00000000" w:rsidR="00000000" w:rsidRPr="00000000">
              <w:rPr>
                <w:b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E1">
            <w:pPr>
              <w:jc w:val="both"/>
              <w:rPr>
                <w:sz w:val="20"/>
                <w:szCs w:val="20"/>
              </w:rPr>
            </w:pPr>
            <w:r w:rsidDel="00000000" w:rsidR="00000000" w:rsidRPr="00000000">
              <w:rPr>
                <w:b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E5">
            <w:pPr>
              <w:jc w:val="both"/>
              <w:rPr>
                <w:sz w:val="20"/>
                <w:szCs w:val="20"/>
              </w:rPr>
            </w:pPr>
            <w:r w:rsidDel="00000000" w:rsidR="00000000" w:rsidRPr="00000000">
              <w:rPr>
                <w:b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E9">
            <w:pPr>
              <w:jc w:val="both"/>
              <w:rPr>
                <w:sz w:val="20"/>
                <w:szCs w:val="20"/>
              </w:rPr>
            </w:pPr>
            <w:r w:rsidDel="00000000" w:rsidR="00000000" w:rsidRPr="00000000">
              <w:rPr>
                <w:b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ED">
            <w:pPr>
              <w:jc w:val="both"/>
              <w:rPr>
                <w:sz w:val="20"/>
                <w:szCs w:val="20"/>
              </w:rPr>
            </w:pPr>
            <w:r w:rsidDel="00000000" w:rsidR="00000000" w:rsidRPr="00000000">
              <w:rPr>
                <w:b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F1">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F2">
      <w:pPr>
        <w:jc w:val="both"/>
        <w:rPr/>
      </w:pPr>
      <w:r w:rsidDel="00000000" w:rsidR="00000000" w:rsidRPr="00000000">
        <w:rPr>
          <w:rtl w:val="0"/>
        </w:rPr>
      </w:r>
    </w:p>
    <w:tbl>
      <w:tblPr>
        <w:tblStyle w:val="Table6"/>
        <w:tblW w:w="89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F3">
            <w:pPr>
              <w:jc w:val="both"/>
              <w:rPr/>
            </w:pPr>
            <w:r w:rsidDel="00000000" w:rsidR="00000000" w:rsidRPr="00000000">
              <w:rPr>
                <w:rtl w:val="0"/>
              </w:rPr>
              <w:t xml:space="preserve">Ranking</w:t>
            </w:r>
          </w:p>
        </w:tc>
        <w:tc>
          <w:tcPr/>
          <w:p w:rsidR="00000000" w:rsidDel="00000000" w:rsidP="00000000" w:rsidRDefault="00000000" w:rsidRPr="00000000" w14:paraId="000000F4">
            <w:pPr>
              <w:jc w:val="both"/>
              <w:rPr/>
            </w:pPr>
            <w:r w:rsidDel="00000000" w:rsidR="00000000" w:rsidRPr="00000000">
              <w:rPr>
                <w:rtl w:val="0"/>
              </w:rPr>
              <w:t xml:space="preserve">France</w:t>
            </w:r>
          </w:p>
        </w:tc>
        <w:tc>
          <w:tcPr/>
          <w:p w:rsidR="00000000" w:rsidDel="00000000" w:rsidP="00000000" w:rsidRDefault="00000000" w:rsidRPr="00000000" w14:paraId="000000F5">
            <w:pPr>
              <w:jc w:val="both"/>
              <w:rPr/>
            </w:pPr>
            <w:r w:rsidDel="00000000" w:rsidR="00000000" w:rsidRPr="00000000">
              <w:rPr>
                <w:rtl w:val="0"/>
              </w:rPr>
              <w:t xml:space="preserve">the UK</w:t>
            </w:r>
          </w:p>
        </w:tc>
        <w:tc>
          <w:tcPr/>
          <w:p w:rsidR="00000000" w:rsidDel="00000000" w:rsidP="00000000" w:rsidRDefault="00000000" w:rsidRPr="00000000" w14:paraId="000000F6">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F7">
            <w:pPr>
              <w:jc w:val="both"/>
              <w:rPr>
                <w:sz w:val="20"/>
                <w:szCs w:val="20"/>
              </w:rPr>
            </w:pPr>
            <w:r w:rsidDel="00000000" w:rsidR="00000000" w:rsidRPr="00000000">
              <w:rPr>
                <w:b w:val="0"/>
                <w:sz w:val="20"/>
                <w:szCs w:val="20"/>
                <w:rtl w:val="0"/>
              </w:rPr>
              <w:t xml:space="preserve">1</w:t>
            </w:r>
            <w:r w:rsidDel="00000000" w:rsidR="00000000" w:rsidRPr="00000000">
              <w:rPr>
                <w:rtl w:val="0"/>
              </w:rPr>
            </w:r>
          </w:p>
        </w:tc>
        <w:tc>
          <w:tcPr>
            <w:tcMar>
              <w:top w:w="14.0" w:type="dxa"/>
              <w:left w:w="14.0" w:type="dxa"/>
              <w:bottom w:w="14.0" w:type="dxa"/>
              <w:right w:w="14.0" w:type="dxa"/>
            </w:tcMar>
            <w:vAlign w:val="bottom"/>
          </w:tcPr>
          <w:p w:rsidR="00000000" w:rsidDel="00000000" w:rsidP="00000000" w:rsidRDefault="00000000" w:rsidRPr="00000000" w14:paraId="000000F8">
            <w:pPr>
              <w:ind w:left="90" w:firstLine="0"/>
              <w:jc w:val="both"/>
              <w:rPr>
                <w:sz w:val="20"/>
                <w:szCs w:val="20"/>
              </w:rPr>
            </w:pPr>
            <w:r w:rsidDel="00000000" w:rsidR="00000000" w:rsidRPr="00000000">
              <w:rPr>
                <w:sz w:val="20"/>
                <w:szCs w:val="20"/>
                <w:rtl w:val="0"/>
              </w:rPr>
              <w:t xml:space="preserve">Services and Utilities</w:t>
            </w:r>
          </w:p>
        </w:tc>
        <w:tc>
          <w:tcPr>
            <w:tcMar>
              <w:top w:w="14.0" w:type="dxa"/>
              <w:left w:w="14.0" w:type="dxa"/>
              <w:bottom w:w="14.0" w:type="dxa"/>
              <w:right w:w="14.0" w:type="dxa"/>
            </w:tcMar>
            <w:vAlign w:val="bottom"/>
          </w:tcPr>
          <w:p w:rsidR="00000000" w:rsidDel="00000000" w:rsidP="00000000" w:rsidRDefault="00000000" w:rsidRPr="00000000" w14:paraId="000000F9">
            <w:pPr>
              <w:ind w:firstLine="90"/>
              <w:jc w:val="both"/>
              <w:rPr>
                <w:sz w:val="20"/>
                <w:szCs w:val="20"/>
              </w:rPr>
            </w:pPr>
            <w:r w:rsidDel="00000000" w:rsidR="00000000" w:rsidRPr="00000000">
              <w:rPr>
                <w:sz w:val="20"/>
                <w:szCs w:val="20"/>
                <w:rtl w:val="0"/>
              </w:rPr>
              <w:t xml:space="preserve">Precious Stones</w:t>
            </w:r>
          </w:p>
        </w:tc>
        <w:tc>
          <w:tcPr>
            <w:tcMar>
              <w:top w:w="14.0" w:type="dxa"/>
              <w:left w:w="14.0" w:type="dxa"/>
              <w:bottom w:w="14.0" w:type="dxa"/>
              <w:right w:w="14.0" w:type="dxa"/>
            </w:tcMar>
            <w:vAlign w:val="bottom"/>
          </w:tcPr>
          <w:p w:rsidR="00000000" w:rsidDel="00000000" w:rsidP="00000000" w:rsidRDefault="00000000" w:rsidRPr="00000000" w14:paraId="000000FA">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FB">
            <w:pPr>
              <w:jc w:val="both"/>
              <w:rPr>
                <w:sz w:val="20"/>
                <w:szCs w:val="20"/>
              </w:rPr>
            </w:pPr>
            <w:r w:rsidDel="00000000" w:rsidR="00000000" w:rsidRPr="00000000">
              <w:rPr>
                <w:b w:val="0"/>
                <w:sz w:val="20"/>
                <w:szCs w:val="20"/>
                <w:rtl w:val="0"/>
              </w:rPr>
              <w:t xml:space="preserve">2</w:t>
            </w:r>
            <w:r w:rsidDel="00000000" w:rsidR="00000000" w:rsidRPr="00000000">
              <w:rPr>
                <w:rtl w:val="0"/>
              </w:rPr>
            </w:r>
          </w:p>
        </w:tc>
        <w:tc>
          <w:tcPr>
            <w:shd w:fill="ffffff" w:val="clear"/>
            <w:tcMar>
              <w:top w:w="14.0" w:type="dxa"/>
              <w:left w:w="14.0" w:type="dxa"/>
              <w:bottom w:w="14.0" w:type="dxa"/>
              <w:right w:w="14.0" w:type="dxa"/>
            </w:tcMar>
            <w:vAlign w:val="bottom"/>
          </w:tcPr>
          <w:p w:rsidR="00000000" w:rsidDel="00000000" w:rsidP="00000000" w:rsidRDefault="00000000" w:rsidRPr="00000000" w14:paraId="000000FC">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0" w:type="dxa"/>
              <w:left w:w="14.0" w:type="dxa"/>
              <w:bottom w:w="14.0" w:type="dxa"/>
              <w:right w:w="14.0" w:type="dxa"/>
            </w:tcMar>
            <w:vAlign w:val="bottom"/>
          </w:tcPr>
          <w:p w:rsidR="00000000" w:rsidDel="00000000" w:rsidP="00000000" w:rsidRDefault="00000000" w:rsidRPr="00000000" w14:paraId="000000FD">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0" w:type="dxa"/>
              <w:left w:w="14.0" w:type="dxa"/>
              <w:bottom w:w="14.0" w:type="dxa"/>
              <w:right w:w="14.0" w:type="dxa"/>
            </w:tcMar>
            <w:vAlign w:val="bottom"/>
          </w:tcPr>
          <w:p w:rsidR="00000000" w:rsidDel="00000000" w:rsidP="00000000" w:rsidRDefault="00000000" w:rsidRPr="00000000" w14:paraId="000000FE">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FF">
            <w:pPr>
              <w:jc w:val="both"/>
              <w:rPr>
                <w:sz w:val="20"/>
                <w:szCs w:val="20"/>
              </w:rPr>
            </w:pPr>
            <w:r w:rsidDel="00000000" w:rsidR="00000000" w:rsidRPr="00000000">
              <w:rPr>
                <w:b w:val="0"/>
                <w:sz w:val="20"/>
                <w:szCs w:val="20"/>
                <w:rtl w:val="0"/>
              </w:rPr>
              <w:t xml:space="preserve">3</w:t>
            </w:r>
            <w:r w:rsidDel="00000000" w:rsidR="00000000" w:rsidRPr="00000000">
              <w:rPr>
                <w:rtl w:val="0"/>
              </w:rPr>
            </w:r>
          </w:p>
        </w:tc>
        <w:tc>
          <w:tcPr>
            <w:tcMar>
              <w:top w:w="14.0" w:type="dxa"/>
              <w:left w:w="14.0" w:type="dxa"/>
              <w:bottom w:w="14.0" w:type="dxa"/>
              <w:right w:w="14.0" w:type="dxa"/>
            </w:tcMar>
            <w:vAlign w:val="bottom"/>
          </w:tcPr>
          <w:p w:rsidR="00000000" w:rsidDel="00000000" w:rsidP="00000000" w:rsidRDefault="00000000" w:rsidRPr="00000000" w14:paraId="00000100">
            <w:pPr>
              <w:ind w:left="90" w:firstLine="0"/>
              <w:jc w:val="both"/>
              <w:rPr>
                <w:sz w:val="20"/>
                <w:szCs w:val="20"/>
              </w:rPr>
            </w:pPr>
            <w:r w:rsidDel="00000000" w:rsidR="00000000" w:rsidRPr="00000000">
              <w:rPr>
                <w:sz w:val="20"/>
                <w:szCs w:val="20"/>
                <w:rtl w:val="0"/>
              </w:rPr>
              <w:t xml:space="preserve">High-complexity Products</w:t>
            </w:r>
          </w:p>
        </w:tc>
        <w:tc>
          <w:tcPr>
            <w:tcMar>
              <w:top w:w="14.0" w:type="dxa"/>
              <w:left w:w="14.0" w:type="dxa"/>
              <w:bottom w:w="14.0" w:type="dxa"/>
              <w:right w:w="14.0" w:type="dxa"/>
            </w:tcMar>
            <w:vAlign w:val="bottom"/>
          </w:tcPr>
          <w:p w:rsidR="00000000" w:rsidDel="00000000" w:rsidP="00000000" w:rsidRDefault="00000000" w:rsidRPr="00000000" w14:paraId="00000101">
            <w:pPr>
              <w:ind w:firstLine="90"/>
              <w:jc w:val="both"/>
              <w:rPr>
                <w:sz w:val="20"/>
                <w:szCs w:val="20"/>
              </w:rPr>
            </w:pPr>
            <w:r w:rsidDel="00000000" w:rsidR="00000000" w:rsidRPr="00000000">
              <w:rPr>
                <w:sz w:val="20"/>
                <w:szCs w:val="20"/>
                <w:rtl w:val="0"/>
              </w:rPr>
              <w:t xml:space="preserve">Services and Utilities</w:t>
            </w:r>
          </w:p>
        </w:tc>
        <w:tc>
          <w:tcPr>
            <w:tcMar>
              <w:top w:w="14.0" w:type="dxa"/>
              <w:left w:w="14.0" w:type="dxa"/>
              <w:bottom w:w="14.0" w:type="dxa"/>
              <w:right w:w="14.0" w:type="dxa"/>
            </w:tcMar>
            <w:vAlign w:val="bottom"/>
          </w:tcPr>
          <w:p w:rsidR="00000000" w:rsidDel="00000000" w:rsidP="00000000" w:rsidRDefault="00000000" w:rsidRPr="00000000" w14:paraId="00000102">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103">
            <w:pPr>
              <w:jc w:val="both"/>
              <w:rPr>
                <w:sz w:val="20"/>
                <w:szCs w:val="20"/>
              </w:rPr>
            </w:pPr>
            <w:r w:rsidDel="00000000" w:rsidR="00000000" w:rsidRPr="00000000">
              <w:rPr>
                <w:b w:val="0"/>
                <w:sz w:val="20"/>
                <w:szCs w:val="20"/>
                <w:rtl w:val="0"/>
              </w:rPr>
              <w:t xml:space="preserve">4</w:t>
            </w:r>
            <w:r w:rsidDel="00000000" w:rsidR="00000000" w:rsidRPr="00000000">
              <w:rPr>
                <w:rtl w:val="0"/>
              </w:rPr>
            </w:r>
          </w:p>
        </w:tc>
        <w:tc>
          <w:tcPr>
            <w:tcMar>
              <w:top w:w="14.0" w:type="dxa"/>
              <w:left w:w="14.0" w:type="dxa"/>
              <w:bottom w:w="14.0" w:type="dxa"/>
              <w:right w:w="14.0" w:type="dxa"/>
            </w:tcMar>
            <w:vAlign w:val="bottom"/>
          </w:tcPr>
          <w:p w:rsidR="00000000" w:rsidDel="00000000" w:rsidP="00000000" w:rsidRDefault="00000000" w:rsidRPr="00000000" w14:paraId="00000104">
            <w:pPr>
              <w:ind w:left="90" w:firstLine="0"/>
              <w:jc w:val="both"/>
              <w:rPr>
                <w:sz w:val="20"/>
                <w:szCs w:val="20"/>
              </w:rPr>
            </w:pPr>
            <w:r w:rsidDel="00000000" w:rsidR="00000000" w:rsidRPr="00000000">
              <w:rPr>
                <w:sz w:val="20"/>
                <w:szCs w:val="20"/>
                <w:rtl w:val="0"/>
              </w:rPr>
              <w:t xml:space="preserve">Energy Drilling and Mining</w:t>
            </w:r>
          </w:p>
        </w:tc>
        <w:tc>
          <w:tcPr>
            <w:tcMar>
              <w:top w:w="14.0" w:type="dxa"/>
              <w:left w:w="14.0" w:type="dxa"/>
              <w:bottom w:w="14.0" w:type="dxa"/>
              <w:right w:w="14.0" w:type="dxa"/>
            </w:tcMar>
            <w:vAlign w:val="bottom"/>
          </w:tcPr>
          <w:p w:rsidR="00000000" w:rsidDel="00000000" w:rsidP="00000000" w:rsidRDefault="00000000" w:rsidRPr="00000000" w14:paraId="00000105">
            <w:pPr>
              <w:ind w:firstLine="90"/>
              <w:jc w:val="both"/>
              <w:rPr>
                <w:sz w:val="20"/>
                <w:szCs w:val="20"/>
              </w:rPr>
            </w:pPr>
            <w:r w:rsidDel="00000000" w:rsidR="00000000" w:rsidRPr="00000000">
              <w:rPr>
                <w:sz w:val="20"/>
                <w:szCs w:val="20"/>
                <w:rtl w:val="0"/>
              </w:rPr>
              <w:t xml:space="preserve">Energy Drilling and Mining</w:t>
            </w:r>
          </w:p>
        </w:tc>
        <w:tc>
          <w:tcPr>
            <w:tcMar>
              <w:top w:w="14.0" w:type="dxa"/>
              <w:left w:w="14.0" w:type="dxa"/>
              <w:bottom w:w="14.0" w:type="dxa"/>
              <w:right w:w="14.0" w:type="dxa"/>
            </w:tcMar>
            <w:vAlign w:val="bottom"/>
          </w:tcPr>
          <w:p w:rsidR="00000000" w:rsidDel="00000000" w:rsidP="00000000" w:rsidRDefault="00000000" w:rsidRPr="00000000" w14:paraId="00000106">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107">
            <w:pPr>
              <w:jc w:val="both"/>
              <w:rPr>
                <w:sz w:val="20"/>
                <w:szCs w:val="20"/>
              </w:rPr>
            </w:pPr>
            <w:r w:rsidDel="00000000" w:rsidR="00000000" w:rsidRPr="00000000">
              <w:rPr>
                <w:b w:val="0"/>
                <w:sz w:val="20"/>
                <w:szCs w:val="20"/>
                <w:rtl w:val="0"/>
              </w:rPr>
              <w:t xml:space="preserve">5</w:t>
            </w:r>
            <w:r w:rsidDel="00000000" w:rsidR="00000000" w:rsidRPr="00000000">
              <w:rPr>
                <w:rtl w:val="0"/>
              </w:rPr>
            </w:r>
          </w:p>
        </w:tc>
        <w:tc>
          <w:tcPr>
            <w:tcBorders>
              <w:bottom w:color="000000" w:space="0" w:sz="0" w:val="nil"/>
            </w:tcBorders>
            <w:tcMar>
              <w:top w:w="14.0" w:type="dxa"/>
              <w:left w:w="14.0" w:type="dxa"/>
              <w:bottom w:w="14.0" w:type="dxa"/>
              <w:right w:w="14.0" w:type="dxa"/>
            </w:tcMar>
            <w:vAlign w:val="bottom"/>
          </w:tcPr>
          <w:p w:rsidR="00000000" w:rsidDel="00000000" w:rsidP="00000000" w:rsidRDefault="00000000" w:rsidRPr="00000000" w14:paraId="00000108">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0" w:type="dxa"/>
              <w:left w:w="14.0" w:type="dxa"/>
              <w:bottom w:w="14.0" w:type="dxa"/>
              <w:right w:w="14.0" w:type="dxa"/>
            </w:tcMar>
            <w:vAlign w:val="bottom"/>
          </w:tcPr>
          <w:p w:rsidR="00000000" w:rsidDel="00000000" w:rsidP="00000000" w:rsidRDefault="00000000" w:rsidRPr="00000000" w14:paraId="00000109">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0" w:type="dxa"/>
              <w:left w:w="14.0" w:type="dxa"/>
              <w:bottom w:w="14.0" w:type="dxa"/>
              <w:right w:w="14.0" w:type="dxa"/>
            </w:tcMar>
            <w:vAlign w:val="bottom"/>
          </w:tcPr>
          <w:p w:rsidR="00000000" w:rsidDel="00000000" w:rsidP="00000000" w:rsidRDefault="00000000" w:rsidRPr="00000000" w14:paraId="0000010A">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10B">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10C">
      <w:pPr>
        <w:jc w:val="center"/>
        <w:rPr>
          <w:sz w:val="22"/>
          <w:szCs w:val="22"/>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Tables 4c-4d further examine Italy's development strategy against those of emerging economies on a global scale. Reasonably, emerging economies such as China, South Korea, and Singapore have devoted the majority of their efforts to intermediate industry groups, showing drastic shifts in strategies over the course of three years.</w:t>
      </w:r>
    </w:p>
    <w:p w:rsidR="00000000" w:rsidDel="00000000" w:rsidP="00000000" w:rsidRDefault="00000000" w:rsidRPr="00000000" w14:paraId="0000010E">
      <w:pPr>
        <w:rPr/>
      </w:pPr>
      <w:r w:rsidDel="00000000" w:rsidR="00000000" w:rsidRPr="00000000">
        <w:rPr>
          <w:rtl w:val="0"/>
        </w:rPr>
      </w:r>
    </w:p>
    <w:tbl>
      <w:tblPr>
        <w:tblStyle w:val="Table7"/>
        <w:tblW w:w="89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F">
            <w:pPr>
              <w:jc w:val="both"/>
              <w:rPr/>
            </w:pPr>
            <w:r w:rsidDel="00000000" w:rsidR="00000000" w:rsidRPr="00000000">
              <w:rPr>
                <w:rtl w:val="0"/>
              </w:rPr>
              <w:t xml:space="preserve">Ranking</w:t>
            </w:r>
          </w:p>
        </w:tc>
        <w:tc>
          <w:tcPr/>
          <w:p w:rsidR="00000000" w:rsidDel="00000000" w:rsidP="00000000" w:rsidRDefault="00000000" w:rsidRPr="00000000" w14:paraId="00000110">
            <w:pPr>
              <w:jc w:val="both"/>
              <w:rPr/>
            </w:pPr>
            <w:r w:rsidDel="00000000" w:rsidR="00000000" w:rsidRPr="00000000">
              <w:rPr>
                <w:rtl w:val="0"/>
              </w:rPr>
              <w:t xml:space="preserve">China</w:t>
            </w:r>
          </w:p>
        </w:tc>
        <w:tc>
          <w:tcPr/>
          <w:p w:rsidR="00000000" w:rsidDel="00000000" w:rsidP="00000000" w:rsidRDefault="00000000" w:rsidRPr="00000000" w14:paraId="00000111">
            <w:pPr>
              <w:jc w:val="both"/>
              <w:rPr/>
            </w:pPr>
            <w:r w:rsidDel="00000000" w:rsidR="00000000" w:rsidRPr="00000000">
              <w:rPr>
                <w:rtl w:val="0"/>
              </w:rPr>
              <w:t xml:space="preserve">South Korea</w:t>
            </w:r>
          </w:p>
        </w:tc>
        <w:tc>
          <w:tcPr/>
          <w:p w:rsidR="00000000" w:rsidDel="00000000" w:rsidP="00000000" w:rsidRDefault="00000000" w:rsidRPr="00000000" w14:paraId="00000112">
            <w:pPr>
              <w:jc w:val="both"/>
              <w:rPr/>
            </w:pPr>
            <w:r w:rsidDel="00000000" w:rsidR="00000000" w:rsidRPr="00000000">
              <w:rPr>
                <w:rtl w:val="0"/>
              </w:rPr>
              <w:t xml:space="preserve">Singapore</w:t>
            </w:r>
          </w:p>
        </w:tc>
      </w:tr>
      <w:tr>
        <w:trPr>
          <w:cantSplit w:val="0"/>
          <w:trHeight w:val="275" w:hRule="atLeast"/>
          <w:tblHeader w:val="0"/>
        </w:trPr>
        <w:tc>
          <w:tcPr/>
          <w:p w:rsidR="00000000" w:rsidDel="00000000" w:rsidP="00000000" w:rsidRDefault="00000000" w:rsidRPr="00000000" w14:paraId="00000113">
            <w:pPr>
              <w:jc w:val="both"/>
              <w:rPr>
                <w:sz w:val="20"/>
                <w:szCs w:val="20"/>
              </w:rPr>
            </w:pPr>
            <w:r w:rsidDel="00000000" w:rsidR="00000000" w:rsidRPr="00000000">
              <w:rPr>
                <w:b w:val="0"/>
                <w:sz w:val="20"/>
                <w:szCs w:val="20"/>
                <w:rtl w:val="0"/>
              </w:rPr>
              <w:t xml:space="preserve">1</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Transportation</w:t>
            </w:r>
          </w:p>
        </w:tc>
      </w:tr>
      <w:tr>
        <w:trPr>
          <w:cantSplit w:val="0"/>
          <w:trHeight w:val="275" w:hRule="atLeast"/>
          <w:tblHeader w:val="0"/>
        </w:trPr>
        <w:tc>
          <w:tcPr>
            <w:shd w:fill="ffffff" w:val="clear"/>
          </w:tcPr>
          <w:p w:rsidR="00000000" w:rsidDel="00000000" w:rsidP="00000000" w:rsidRDefault="00000000" w:rsidRPr="00000000" w14:paraId="00000117">
            <w:pPr>
              <w:jc w:val="both"/>
              <w:rPr>
                <w:sz w:val="20"/>
                <w:szCs w:val="20"/>
              </w:rPr>
            </w:pPr>
            <w:r w:rsidDel="00000000" w:rsidR="00000000" w:rsidRPr="00000000">
              <w:rPr>
                <w:b w:val="0"/>
                <w:sz w:val="20"/>
                <w:szCs w:val="20"/>
                <w:rtl w:val="0"/>
              </w:rPr>
              <w:t xml:space="preserve">2</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High-complexity Products</w:t>
            </w:r>
          </w:p>
        </w:tc>
      </w:tr>
      <w:tr>
        <w:trPr>
          <w:cantSplit w:val="0"/>
          <w:trHeight w:val="275" w:hRule="atLeast"/>
          <w:tblHeader w:val="0"/>
        </w:trPr>
        <w:tc>
          <w:tcPr/>
          <w:p w:rsidR="00000000" w:rsidDel="00000000" w:rsidP="00000000" w:rsidRDefault="00000000" w:rsidRPr="00000000" w14:paraId="0000011B">
            <w:pPr>
              <w:jc w:val="both"/>
              <w:rPr>
                <w:sz w:val="20"/>
                <w:szCs w:val="20"/>
              </w:rPr>
            </w:pPr>
            <w:r w:rsidDel="00000000" w:rsidR="00000000" w:rsidRPr="00000000">
              <w:rPr>
                <w:b w:val="0"/>
                <w:sz w:val="20"/>
                <w:szCs w:val="20"/>
                <w:rtl w:val="0"/>
              </w:rPr>
              <w:t xml:space="preserve">3</w:t>
            </w:r>
            <w:r w:rsidDel="00000000" w:rsidR="00000000" w:rsidRPr="00000000">
              <w:rPr>
                <w:rtl w:val="0"/>
              </w:rPr>
            </w:r>
          </w:p>
        </w:tc>
        <w:tc>
          <w:tcPr>
            <w:vAlign w:val="bottom"/>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1F">
            <w:pPr>
              <w:jc w:val="both"/>
              <w:rPr>
                <w:sz w:val="20"/>
                <w:szCs w:val="20"/>
              </w:rPr>
            </w:pPr>
            <w:r w:rsidDel="00000000" w:rsidR="00000000" w:rsidRPr="00000000">
              <w:rPr>
                <w:b w:val="0"/>
                <w:sz w:val="20"/>
                <w:szCs w:val="20"/>
                <w:rtl w:val="0"/>
              </w:rPr>
              <w:t xml:space="preserve">4</w:t>
            </w:r>
            <w:r w:rsidDel="00000000" w:rsidR="00000000" w:rsidRPr="00000000">
              <w:rPr>
                <w:rtl w:val="0"/>
              </w:rPr>
            </w:r>
          </w:p>
        </w:tc>
        <w:tc>
          <w:tcPr>
            <w:vAlign w:val="bottom"/>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23">
            <w:pPr>
              <w:jc w:val="both"/>
              <w:rPr>
                <w:sz w:val="20"/>
                <w:szCs w:val="20"/>
              </w:rPr>
            </w:pPr>
            <w:r w:rsidDel="00000000" w:rsidR="00000000" w:rsidRPr="00000000">
              <w:rPr>
                <w:b w:val="0"/>
                <w:sz w:val="20"/>
                <w:szCs w:val="20"/>
                <w:rtl w:val="0"/>
              </w:rPr>
              <w:t xml:space="preserve">5</w:t>
            </w:r>
            <w:r w:rsidDel="00000000" w:rsidR="00000000" w:rsidRPr="00000000">
              <w:rPr>
                <w:rtl w:val="0"/>
              </w:rPr>
            </w:r>
          </w:p>
        </w:tc>
        <w:tc>
          <w:tcPr>
            <w:vAlign w:val="bottom"/>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27">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tbl>
      <w:tblPr>
        <w:tblStyle w:val="Table8"/>
        <w:tblW w:w="89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 w:hRule="atLeast"/>
          <w:tblHeader w:val="0"/>
        </w:trPr>
        <w:tc>
          <w:tcPr/>
          <w:p w:rsidR="00000000" w:rsidDel="00000000" w:rsidP="00000000" w:rsidRDefault="00000000" w:rsidRPr="00000000" w14:paraId="00000129">
            <w:pPr>
              <w:jc w:val="both"/>
              <w:rPr/>
            </w:pPr>
            <w:r w:rsidDel="00000000" w:rsidR="00000000" w:rsidRPr="00000000">
              <w:rPr>
                <w:rtl w:val="0"/>
              </w:rPr>
              <w:t xml:space="preserve">Ranking</w:t>
            </w:r>
          </w:p>
        </w:tc>
        <w:tc>
          <w:tcPr/>
          <w:p w:rsidR="00000000" w:rsidDel="00000000" w:rsidP="00000000" w:rsidRDefault="00000000" w:rsidRPr="00000000" w14:paraId="0000012A">
            <w:pPr>
              <w:jc w:val="both"/>
              <w:rPr/>
            </w:pPr>
            <w:r w:rsidDel="00000000" w:rsidR="00000000" w:rsidRPr="00000000">
              <w:rPr>
                <w:rtl w:val="0"/>
              </w:rPr>
              <w:t xml:space="preserve">China</w:t>
            </w:r>
          </w:p>
        </w:tc>
        <w:tc>
          <w:tcPr/>
          <w:p w:rsidR="00000000" w:rsidDel="00000000" w:rsidP="00000000" w:rsidRDefault="00000000" w:rsidRPr="00000000" w14:paraId="0000012B">
            <w:pPr>
              <w:jc w:val="both"/>
              <w:rPr/>
            </w:pPr>
            <w:r w:rsidDel="00000000" w:rsidR="00000000" w:rsidRPr="00000000">
              <w:rPr>
                <w:rtl w:val="0"/>
              </w:rPr>
              <w:t xml:space="preserve">South Korea</w:t>
            </w:r>
          </w:p>
        </w:tc>
        <w:tc>
          <w:tcPr/>
          <w:p w:rsidR="00000000" w:rsidDel="00000000" w:rsidP="00000000" w:rsidRDefault="00000000" w:rsidRPr="00000000" w14:paraId="0000012C">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b w:val="0"/>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E">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F">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0">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b w:val="0"/>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32">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3">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4">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35">
            <w:pPr>
              <w:jc w:val="both"/>
              <w:rPr>
                <w:sz w:val="20"/>
                <w:szCs w:val="20"/>
              </w:rPr>
            </w:pPr>
            <w:r w:rsidDel="00000000" w:rsidR="00000000" w:rsidRPr="00000000">
              <w:rPr>
                <w:b w:val="0"/>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36">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7">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8">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39">
            <w:pPr>
              <w:jc w:val="both"/>
              <w:rPr>
                <w:sz w:val="20"/>
                <w:szCs w:val="20"/>
              </w:rPr>
            </w:pPr>
            <w:r w:rsidDel="00000000" w:rsidR="00000000" w:rsidRPr="00000000">
              <w:rPr>
                <w:b w:val="0"/>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3A">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B">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C">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3D">
            <w:pPr>
              <w:jc w:val="both"/>
              <w:rPr>
                <w:sz w:val="20"/>
                <w:szCs w:val="20"/>
              </w:rPr>
            </w:pPr>
            <w:r w:rsidDel="00000000" w:rsidR="00000000" w:rsidRPr="00000000">
              <w:rPr>
                <w:b w:val="0"/>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3E">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F">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40">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41">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42">
      <w:pPr>
        <w:jc w:val="center"/>
        <w:rPr>
          <w:sz w:val="22"/>
          <w:szCs w:val="22"/>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145">
      <w:pPr>
        <w:jc w:val="both"/>
        <w:rPr>
          <w:b w:val="1"/>
        </w:rPr>
      </w:pPr>
      <w:r w:rsidDel="00000000" w:rsidR="00000000" w:rsidRPr="00000000">
        <w:rPr>
          <w:rtl w:val="0"/>
        </w:rPr>
      </w:r>
    </w:p>
    <w:p w:rsidR="00000000" w:rsidDel="00000000" w:rsidP="00000000" w:rsidRDefault="00000000" w:rsidRPr="00000000" w14:paraId="00000146">
      <w:pPr>
        <w:jc w:val="both"/>
        <w:rPr>
          <w:rFonts w:ascii="Times" w:cs="Times" w:eastAsia="Times" w:hAnsi="Time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7">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4. Product Space Design</w:t>
      </w:r>
    </w:p>
    <w:p w:rsidR="00000000" w:rsidDel="00000000" w:rsidP="00000000" w:rsidRDefault="00000000" w:rsidRPr="00000000" w14:paraId="00000148">
      <w:pPr>
        <w:jc w:val="both"/>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149">
      <w:pPr>
        <w:jc w:val="both"/>
        <w:rPr>
          <w:b w:val="1"/>
        </w:rPr>
      </w:pPr>
      <w:r w:rsidDel="00000000" w:rsidR="00000000" w:rsidRPr="00000000">
        <w:rPr>
          <w:b w:val="1"/>
          <w:rtl w:val="0"/>
        </w:rPr>
        <w:t xml:space="preserve">4.1 Suggested Development Vector</w:t>
      </w:r>
    </w:p>
    <w:p w:rsidR="00000000" w:rsidDel="00000000" w:rsidP="00000000" w:rsidRDefault="00000000" w:rsidRPr="00000000" w14:paraId="0000014A">
      <w:pPr>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drawing>
          <wp:inline distB="114300" distT="114300" distL="114300" distR="114300">
            <wp:extent cx="5727700" cy="1309538"/>
            <wp:effectExtent b="0" l="0" r="0" t="0"/>
            <wp:docPr id="2128018666"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727700" cy="130953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sz w:val="22"/>
          <w:szCs w:val="22"/>
        </w:rPr>
      </w:pPr>
      <w:r w:rsidDel="00000000" w:rsidR="00000000" w:rsidRPr="00000000">
        <w:rPr>
          <w:sz w:val="22"/>
          <w:szCs w:val="22"/>
          <w:rtl w:val="0"/>
        </w:rPr>
        <w:t xml:space="preserve">Table 5a. Opportunity Gain Ranking on a Comparable Scale (2013)</w:t>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jc w:val="center"/>
        <w:rPr/>
      </w:pPr>
      <w:r w:rsidDel="00000000" w:rsidR="00000000" w:rsidRPr="00000000">
        <w:rPr/>
        <w:drawing>
          <wp:inline distB="114300" distT="114300" distL="114300" distR="114300">
            <wp:extent cx="5727700" cy="1297300"/>
            <wp:effectExtent b="0" l="0" r="0" t="0"/>
            <wp:docPr id="2128018673"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5727700" cy="12973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sz w:val="22"/>
          <w:szCs w:val="22"/>
        </w:rPr>
      </w:pPr>
      <w:r w:rsidDel="00000000" w:rsidR="00000000" w:rsidRPr="00000000">
        <w:rPr>
          <w:sz w:val="22"/>
          <w:szCs w:val="22"/>
          <w:rtl w:val="0"/>
        </w:rPr>
        <w:t xml:space="preserve">Table 5b. Opportunity Gain Ranking on a Comparable Scale (2018)</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We define the ranking of opportunity gain for a country c, as the Suggested Development Vector (SDV) of c. Tables 5a-5c summarize how the SDV of Italy compares with a selected group of comparable and leading economies in the world, with the industry groups ranked in decreasing order of significance. We focus on SDV results for 2013 and 2018 because they give the most accurate changes in and a snapshot of complexity for global comparison in the absence of the irregular effects of the COVID-19 pandemic observed in 2021. </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Tables 6a and 6b, have closer to half of industries with positive opportunity gain. These countries have nearly half of the industries with positive opportunity gain and share common interests in Machinery and Construction and other industrial subcategories. </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It can be concluded that Italy shares the characteristics of developing countries, with a balanced economic structure that leans towards manufacturing industries.</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drawing>
          <wp:inline distB="114300" distT="114300" distL="114300" distR="114300">
            <wp:extent cx="5734050" cy="2260600"/>
            <wp:effectExtent b="0" l="0" r="0" t="0"/>
            <wp:docPr id="2128018669" name="image26.jpg"/>
            <a:graphic>
              <a:graphicData uri="http://schemas.openxmlformats.org/drawingml/2006/picture">
                <pic:pic>
                  <pic:nvPicPr>
                    <pic:cNvPr id="0" name="image26.jpg"/>
                    <pic:cNvPicPr preferRelativeResize="0"/>
                  </pic:nvPicPr>
                  <pic:blipFill>
                    <a:blip r:embed="rId19"/>
                    <a:srcRect b="0" l="0" r="0" t="0"/>
                    <a:stretch>
                      <a:fillRect/>
                    </a:stretch>
                  </pic:blipFill>
                  <pic:spPr>
                    <a:xfrm>
                      <a:off x="0" y="0"/>
                      <a:ext cx="57340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sz w:val="22"/>
          <w:szCs w:val="22"/>
        </w:rPr>
      </w:pPr>
      <w:r w:rsidDel="00000000" w:rsidR="00000000" w:rsidRPr="00000000">
        <w:rPr>
          <w:sz w:val="22"/>
          <w:szCs w:val="22"/>
          <w:rtl w:val="0"/>
        </w:rPr>
        <w:t xml:space="preserve">Table 6a. SDV of Other Sample Countries (2013)</w:t>
      </w:r>
    </w:p>
    <w:p w:rsidR="00000000" w:rsidDel="00000000" w:rsidP="00000000" w:rsidRDefault="00000000" w:rsidRPr="00000000" w14:paraId="0000015A">
      <w:pPr>
        <w:jc w:val="center"/>
        <w:rPr>
          <w:sz w:val="22"/>
          <w:szCs w:val="22"/>
        </w:rPr>
      </w:pPr>
      <w:r w:rsidDel="00000000" w:rsidR="00000000" w:rsidRPr="00000000">
        <w:rPr>
          <w:rtl w:val="0"/>
        </w:rPr>
      </w:r>
    </w:p>
    <w:p w:rsidR="00000000" w:rsidDel="00000000" w:rsidP="00000000" w:rsidRDefault="00000000" w:rsidRPr="00000000" w14:paraId="0000015B">
      <w:pPr>
        <w:jc w:val="both"/>
        <w:rPr>
          <w:i w:val="1"/>
          <w:color w:val="444499"/>
          <w:sz w:val="20"/>
          <w:szCs w:val="20"/>
        </w:rPr>
      </w:pPr>
      <w:r w:rsidDel="00000000" w:rsidR="00000000" w:rsidRPr="00000000">
        <w:rPr/>
        <w:drawing>
          <wp:inline distB="114300" distT="114300" distL="114300" distR="114300">
            <wp:extent cx="5734050" cy="2273300"/>
            <wp:effectExtent b="0" l="0" r="0" t="0"/>
            <wp:docPr id="2128018671" name="image32.jpg"/>
            <a:graphic>
              <a:graphicData uri="http://schemas.openxmlformats.org/drawingml/2006/picture">
                <pic:pic>
                  <pic:nvPicPr>
                    <pic:cNvPr id="0" name="image32.jpg"/>
                    <pic:cNvPicPr preferRelativeResize="0"/>
                  </pic:nvPicPr>
                  <pic:blipFill>
                    <a:blip r:embed="rId20"/>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sz w:val="22"/>
          <w:szCs w:val="22"/>
        </w:rPr>
      </w:pPr>
      <w:r w:rsidDel="00000000" w:rsidR="00000000" w:rsidRPr="00000000">
        <w:rPr>
          <w:sz w:val="22"/>
          <w:szCs w:val="22"/>
          <w:rtl w:val="0"/>
        </w:rPr>
        <w:t xml:space="preserve">Table 6c. SDV of Other Sample Countries (2013)</w:t>
      </w:r>
    </w:p>
    <w:p w:rsidR="00000000" w:rsidDel="00000000" w:rsidP="00000000" w:rsidRDefault="00000000" w:rsidRPr="00000000" w14:paraId="0000015D">
      <w:pPr>
        <w:jc w:val="center"/>
        <w:rPr>
          <w:sz w:val="22"/>
          <w:szCs w:val="22"/>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b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center"/>
        <w:rPr>
          <w:i w:val="1"/>
          <w:color w:val="444499"/>
          <w:sz w:val="20"/>
          <w:szCs w:val="20"/>
        </w:rPr>
      </w:pPr>
      <w:r w:rsidDel="00000000" w:rsidR="00000000" w:rsidRPr="00000000">
        <w:rPr/>
        <w:drawing>
          <wp:inline distB="114300" distT="114300" distL="114300" distR="114300">
            <wp:extent cx="2528888" cy="1141284"/>
            <wp:effectExtent b="0" l="0" r="0" t="0"/>
            <wp:docPr id="2128018674"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where k(x) is the second largest eigenvector of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CC'</m:t>
            </m:r>
          </m:sub>
        </m:sSub>
      </m:oMath>
      <w:r w:rsidDel="00000000" w:rsidR="00000000" w:rsidRPr="00000000">
        <w:rPr>
          <w:rtl w:val="0"/>
        </w:rPr>
        <w:t xml:space="preserve"> after adding </w:t>
      </w:r>
      <m:oMath>
        <m:r>
          <w:rPr>
            <w:rFonts w:ascii="Cambria Math" w:cs="Cambria Math" w:eastAsia="Cambria Math" w:hAnsi="Cambria Math"/>
          </w:rPr>
          <m:t xml:space="preserve">x</m:t>
        </m:r>
      </m:oMath>
      <w:r w:rsidDel="00000000" w:rsidR="00000000" w:rsidRPr="00000000">
        <w:rPr>
          <w:rtl w:val="0"/>
        </w:rPr>
        <w:t xml:space="preserve"> to the original export vector, </w:t>
      </w:r>
      <w:r w:rsidDel="00000000" w:rsidR="00000000" w:rsidRPr="00000000">
        <w:rPr>
          <w:i w:val="1"/>
          <w:rtl w:val="0"/>
        </w:rPr>
        <w:t xml:space="preserve">C</w:t>
      </w:r>
      <w:r w:rsidDel="00000000" w:rsidR="00000000" w:rsidRPr="00000000">
        <w:rPr>
          <w:rtl w:val="0"/>
        </w:rPr>
        <w:t xml:space="preserve"> is the country that we are interested in, </w:t>
      </w:r>
      <w:r w:rsidDel="00000000" w:rsidR="00000000" w:rsidRPr="00000000">
        <w:rPr>
          <w:i w:val="1"/>
          <w:rtl w:val="0"/>
        </w:rPr>
        <w:t xml:space="preserve">P</w:t>
      </w:r>
      <w:r w:rsidDel="00000000" w:rsidR="00000000" w:rsidRPr="00000000">
        <w:rPr>
          <w:rtl w:val="0"/>
        </w:rPr>
        <w:t xml:space="preserve"> is the product space, </w:t>
      </w:r>
      <w:r w:rsidDel="00000000" w:rsidR="00000000" w:rsidRPr="00000000">
        <w:rPr>
          <w:i w:val="1"/>
          <w:rtl w:val="0"/>
        </w:rPr>
        <w:t xml:space="preserve">B</w:t>
      </w:r>
      <w:r w:rsidDel="00000000" w:rsidR="00000000" w:rsidRPr="00000000">
        <w:rPr>
          <w:rtl w:val="0"/>
        </w:rPr>
        <w:t xml:space="preserve"> is the heuristic budget. </w:t>
      </w:r>
    </w:p>
    <w:p w:rsidR="00000000" w:rsidDel="00000000" w:rsidP="00000000" w:rsidRDefault="00000000" w:rsidRPr="00000000" w14:paraId="00000165">
      <w:pPr>
        <w:jc w:val="both"/>
        <w:rPr/>
      </w:pPr>
      <w:r w:rsidDel="00000000" w:rsidR="00000000" w:rsidRPr="00000000">
        <w:rPr>
          <w:rtl w:val="0"/>
        </w:rPr>
        <w:t xml:space="preserve"> </w:t>
      </w:r>
    </w:p>
    <w:p w:rsidR="00000000" w:rsidDel="00000000" w:rsidP="00000000" w:rsidRDefault="00000000" w:rsidRPr="00000000" w14:paraId="00000166">
      <w:pPr>
        <w:jc w:val="both"/>
        <w:rPr/>
      </w:pPr>
      <w:r w:rsidDel="00000000" w:rsidR="00000000" w:rsidRPr="00000000">
        <w:rPr>
          <w:rtl w:val="0"/>
        </w:rPr>
        <w:t xml:space="preserve">If we can solve this problem, then we can know what the largest ECI to which a country can improve. Accordingly, the optimal solution </w:t>
      </w:r>
      <m:oMath>
        <m:r>
          <w:rPr>
            <w:rFonts w:ascii="Cambria Math" w:cs="Cambria Math" w:eastAsia="Cambria Math" w:hAnsi="Cambria Math"/>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w:rFonts w:ascii="Cambria Math" w:cs="Cambria Math" w:eastAsia="Cambria Math" w:hAnsi="Cambria Math"/>
          </w:rPr>
          <m:t xml:space="preserve">p∈P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67">
      <w:pPr>
        <w:jc w:val="both"/>
        <w:rPr/>
      </w:pPr>
      <w:r w:rsidDel="00000000" w:rsidR="00000000" w:rsidRPr="00000000">
        <w:rPr>
          <w:rtl w:val="0"/>
        </w:rPr>
        <w:t xml:space="preserve"> </w:t>
      </w:r>
    </w:p>
    <w:p w:rsidR="00000000" w:rsidDel="00000000" w:rsidP="00000000" w:rsidRDefault="00000000" w:rsidRPr="00000000" w14:paraId="00000168">
      <w:pPr>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69">
      <w:pPr>
        <w:jc w:val="center"/>
        <w:rPr>
          <w:i w:val="1"/>
          <w:color w:val="444499"/>
          <w:sz w:val="20"/>
          <w:szCs w:val="20"/>
        </w:rPr>
      </w:pPr>
      <w:r w:rsidDel="00000000" w:rsidR="00000000" w:rsidRPr="00000000">
        <w:rPr/>
        <w:drawing>
          <wp:inline distB="114300" distT="114300" distL="114300" distR="114300">
            <wp:extent cx="2138363" cy="718630"/>
            <wp:effectExtent b="0" l="0" r="0" t="0"/>
            <wp:docPr id="212801867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ECI</m:t>
            </m:r>
          </m:e>
          <m:sub>
            <m:r>
              <w:rPr>
                <w:rFonts w:ascii="Cambria Math" w:cs="Cambria Math" w:eastAsia="Cambria Math" w:hAnsi="Cambria Math"/>
              </w:rPr>
              <m:t xml:space="preserve">p</m:t>
            </m:r>
          </m:sub>
        </m:sSub>
      </m:oMath>
      <w:r w:rsidDel="00000000" w:rsidR="00000000" w:rsidRPr="00000000">
        <w:rPr>
          <w:rtl w:val="0"/>
        </w:rPr>
        <w:t xml:space="preserve"> is just the ECI of the country after adding some amount of export increment to product </w:t>
      </w:r>
      <m:oMath>
        <m:r>
          <w:rPr>
            <w:rFonts w:ascii="Cambria Math" w:cs="Cambria Math" w:eastAsia="Cambria Math" w:hAnsi="Cambria Math"/>
          </w:rPr>
          <m:t xml:space="preserve">p</m:t>
        </m:r>
      </m:oMath>
      <w:r w:rsidDel="00000000" w:rsidR="00000000" w:rsidRPr="00000000">
        <w:rPr>
          <w:rtl w:val="0"/>
        </w:rPr>
        <w:t xml:space="preserve">, which is exactly the amount that is able to make ECI change. Also, we can express it in the way of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0</m:t>
            </m:r>
          </m:sub>
        </m:sSub>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1</m:t>
            </m:r>
          </m:sub>
        </m:sSub>
      </m:oMath>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jc w:val="both"/>
        <w:rPr>
          <w:b w:val="1"/>
        </w:rPr>
      </w:pPr>
      <w:r w:rsidDel="00000000" w:rsidR="00000000" w:rsidRPr="00000000">
        <w:rPr>
          <w:b w:val="1"/>
          <w:rtl w:val="0"/>
        </w:rPr>
        <w:t xml:space="preserve">Economic Panel</w:t>
      </w:r>
    </w:p>
    <w:p w:rsidR="00000000" w:rsidDel="00000000" w:rsidP="00000000" w:rsidRDefault="00000000" w:rsidRPr="00000000" w14:paraId="00000171">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b w:val="1"/>
        </w:rPr>
      </w:pPr>
      <w:r w:rsidDel="00000000" w:rsidR="00000000" w:rsidRPr="00000000">
        <w:rPr>
          <w:b w:val="1"/>
          <w:rtl w:val="0"/>
        </w:rPr>
        <w:t xml:space="preserve">Interpretation</w:t>
      </w:r>
    </w:p>
    <w:p w:rsidR="00000000" w:rsidDel="00000000" w:rsidP="00000000" w:rsidRDefault="00000000" w:rsidRPr="00000000" w14:paraId="00000174">
      <w:pPr>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75">
      <w:pPr>
        <w:jc w:val="both"/>
        <w:rPr/>
      </w:pPr>
      <w:r w:rsidDel="00000000" w:rsidR="00000000" w:rsidRPr="00000000">
        <w:rPr>
          <w:rtl w:val="0"/>
        </w:rPr>
      </w:r>
    </w:p>
    <w:tbl>
      <w:tblPr>
        <w:tblStyle w:val="Table9"/>
        <w:tblW w:w="4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0" w:type="dxa"/>
              <w:left w:w="-123.0" w:type="dxa"/>
              <w:bottom w:w="-123.0" w:type="dxa"/>
              <w:right w:w="-123.0" w:type="dxa"/>
            </w:tcMar>
            <w:vAlign w:val="center"/>
          </w:tcPr>
          <w:p w:rsidR="00000000" w:rsidDel="00000000" w:rsidP="00000000" w:rsidRDefault="00000000" w:rsidRPr="00000000" w14:paraId="00000176">
            <w:pPr>
              <w:jc w:val="center"/>
              <w:rPr>
                <w:b w:val="1"/>
                <w:color w:val="ffffff"/>
                <w:sz w:val="22"/>
                <w:szCs w:val="22"/>
              </w:rPr>
            </w:pPr>
            <w:r w:rsidDel="00000000" w:rsidR="00000000" w:rsidRPr="00000000">
              <w:rPr>
                <w:b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0" w:type="dxa"/>
              <w:left w:w="-123.0" w:type="dxa"/>
              <w:bottom w:w="-123.0" w:type="dxa"/>
              <w:right w:w="-123.0" w:type="dxa"/>
            </w:tcMar>
            <w:vAlign w:val="center"/>
          </w:tcPr>
          <w:p w:rsidR="00000000" w:rsidDel="00000000" w:rsidP="00000000" w:rsidRDefault="00000000" w:rsidRPr="00000000" w14:paraId="00000177">
            <w:pPr>
              <w:jc w:val="both"/>
              <w:rPr>
                <w:b w:val="1"/>
                <w:color w:val="ffffff"/>
                <w:sz w:val="22"/>
                <w:szCs w:val="22"/>
              </w:rPr>
            </w:pPr>
            <w:r w:rsidDel="00000000" w:rsidR="00000000" w:rsidRPr="00000000">
              <w:rPr>
                <w:b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0" w:type="dxa"/>
              <w:left w:w="-123.0" w:type="dxa"/>
              <w:bottom w:w="-123.0" w:type="dxa"/>
              <w:right w:w="-123.0" w:type="dxa"/>
            </w:tcMar>
            <w:vAlign w:val="cente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0" w:type="dxa"/>
              <w:left w:w="-123.0" w:type="dxa"/>
              <w:bottom w:w="-123.0" w:type="dxa"/>
              <w:right w:w="-123.0" w:type="dxa"/>
            </w:tcMar>
            <w:vAlign w:val="cente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0" w:type="dxa"/>
              <w:left w:w="-123.0" w:type="dxa"/>
              <w:bottom w:w="-123.0" w:type="dxa"/>
              <w:right w:w="-123.0" w:type="dxa"/>
            </w:tcMar>
            <w:vAlign w:val="cente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9C">
      <w:pPr>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Figures 4a-4c show an economic panel for Italy in 2013, 2018, and 2021. We can see that for different percentages of heuristic total export growth, the ECIs of Italy actually have different increments. We can see that for different percentages of heuristic total export growth, the ECI of Italy has relatively similar performance. From all the four-line graphs, we see that Italy already obtains some great increment in terms of ECI. However, increasing the budget for too large an amount would not produce a higher and higher ECI. Also, the optimal ECI that we can achieve in all stages is not a great gain from the original one. This means that in the long term, Italy does not have a lot of room to improve. For the four-export growth budget, the increment of ECI depends on Services and Utilities, Vegetable products, and high-complexity products. A more detailed numerical representation of the portfolio is shown in Table 8a. </w:t>
      </w:r>
    </w:p>
    <w:p w:rsidR="00000000" w:rsidDel="00000000" w:rsidP="00000000" w:rsidRDefault="00000000" w:rsidRPr="00000000" w14:paraId="0000019F">
      <w:pPr>
        <w:jc w:val="both"/>
        <w:rPr>
          <w:i w:val="1"/>
          <w:color w:val="444499"/>
          <w:sz w:val="20"/>
          <w:szCs w:val="20"/>
        </w:rPr>
      </w:pPr>
      <w:r w:rsidDel="00000000" w:rsidR="00000000" w:rsidRPr="00000000">
        <w:rPr/>
        <w:drawing>
          <wp:inline distB="114300" distT="114300" distL="114300" distR="114300">
            <wp:extent cx="5727700" cy="1958289"/>
            <wp:effectExtent b="0" l="0" r="0" t="0"/>
            <wp:docPr id="2128018677"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27700" cy="1958289"/>
                    </a:xfrm>
                    <a:prstGeom prst="rect"/>
                    <a:ln/>
                  </pic:spPr>
                </pic:pic>
              </a:graphicData>
            </a:graphic>
          </wp:inline>
        </w:drawing>
      </w:r>
      <w:r w:rsidDel="00000000" w:rsidR="00000000" w:rsidRPr="00000000">
        <w:rPr/>
        <w:drawing>
          <wp:inline distB="114300" distT="114300" distL="114300" distR="114300">
            <wp:extent cx="5727700" cy="2019381"/>
            <wp:effectExtent b="0" l="0" r="0" t="0"/>
            <wp:docPr id="2128018679"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727700" cy="201938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sz w:val="22"/>
          <w:szCs w:val="22"/>
        </w:rPr>
      </w:pPr>
      <w:r w:rsidDel="00000000" w:rsidR="00000000" w:rsidRPr="00000000">
        <w:rPr>
          <w:sz w:val="22"/>
          <w:szCs w:val="22"/>
          <w:rtl w:val="0"/>
        </w:rPr>
        <w:t xml:space="preserve">Figure 4a. Greedy-Based ECI Improvement Results of Italy with Different Budgets (2013)</w:t>
      </w:r>
    </w:p>
    <w:p w:rsidR="00000000" w:rsidDel="00000000" w:rsidP="00000000" w:rsidRDefault="00000000" w:rsidRPr="00000000" w14:paraId="000001A1">
      <w:pPr>
        <w:jc w:val="center"/>
        <w:rPr>
          <w:sz w:val="22"/>
          <w:szCs w:val="22"/>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drawing>
          <wp:inline distB="114300" distT="114300" distL="114300" distR="114300">
            <wp:extent cx="5727700" cy="1456402"/>
            <wp:effectExtent b="0" l="0" r="0" t="0"/>
            <wp:docPr id="2128018680" name="image37.jpg"/>
            <a:graphic>
              <a:graphicData uri="http://schemas.openxmlformats.org/drawingml/2006/picture">
                <pic:pic>
                  <pic:nvPicPr>
                    <pic:cNvPr id="0" name="image37.jpg"/>
                    <pic:cNvPicPr preferRelativeResize="0"/>
                  </pic:nvPicPr>
                  <pic:blipFill>
                    <a:blip r:embed="rId25"/>
                    <a:srcRect b="0" l="0" r="0" t="0"/>
                    <a:stretch>
                      <a:fillRect/>
                    </a:stretch>
                  </pic:blipFill>
                  <pic:spPr>
                    <a:xfrm>
                      <a:off x="0" y="0"/>
                      <a:ext cx="5727700" cy="1456402"/>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center"/>
        <w:rPr>
          <w:sz w:val="22"/>
          <w:szCs w:val="22"/>
        </w:rPr>
      </w:pPr>
      <w:r w:rsidDel="00000000" w:rsidR="00000000" w:rsidRPr="00000000">
        <w:rPr>
          <w:sz w:val="22"/>
          <w:szCs w:val="22"/>
          <w:rtl w:val="0"/>
        </w:rPr>
        <w:t xml:space="preserve">Table 8a. Portfolio of Italy (2013)</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For further suggestions on Italy’s development in the future. We also offer the optimization result of Poland based on export data in 2018. Below is the economic panel for Italy in 2018. We can see that for different percentages of heuristic total export growth, the ECI growth pattern of Poland is similar to the one in 2013. From all the four-line graphs, we cannot see Italy has a great increase in ECI. This means that Italy has an even more limited space to develop. However, our optimization method shows Italy can still have gained by investing in the Services industry. Therefore, for future strategy, Italy should prioritize the development of the Services industry in order to optimize the ECI.</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pPr>
      <w:r w:rsidDel="00000000" w:rsidR="00000000" w:rsidRPr="00000000">
        <w:rPr>
          <w:b w:val="1"/>
          <w:sz w:val="28"/>
          <w:szCs w:val="28"/>
        </w:rPr>
        <w:drawing>
          <wp:inline distB="114300" distT="114300" distL="114300" distR="114300">
            <wp:extent cx="5727700" cy="2019381"/>
            <wp:effectExtent b="0" l="0" r="0" t="0"/>
            <wp:docPr id="2128018681"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727700" cy="2019381"/>
                    </a:xfrm>
                    <a:prstGeom prst="rect"/>
                    <a:ln/>
                  </pic:spPr>
                </pic:pic>
              </a:graphicData>
            </a:graphic>
          </wp:inline>
        </w:drawing>
      </w:r>
      <w:r w:rsidDel="00000000" w:rsidR="00000000" w:rsidRPr="00000000">
        <w:rPr>
          <w:b w:val="1"/>
          <w:sz w:val="28"/>
          <w:szCs w:val="28"/>
        </w:rPr>
        <w:drawing>
          <wp:inline distB="114300" distT="114300" distL="114300" distR="114300">
            <wp:extent cx="5614988" cy="2135934"/>
            <wp:effectExtent b="0" l="0" r="0" t="0"/>
            <wp:docPr id="2128018682"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614988" cy="2135934"/>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jc w:val="center"/>
        <w:rPr>
          <w:sz w:val="22"/>
          <w:szCs w:val="22"/>
        </w:rPr>
      </w:pPr>
      <w:r w:rsidDel="00000000" w:rsidR="00000000" w:rsidRPr="00000000">
        <w:rPr>
          <w:sz w:val="22"/>
          <w:szCs w:val="22"/>
          <w:rtl w:val="0"/>
        </w:rPr>
        <w:t xml:space="preserve">Figure 4b. Greedy-Based ECI Improvement Results of Italy with Different Budgets (2018)</w:t>
      </w:r>
    </w:p>
    <w:p w:rsidR="00000000" w:rsidDel="00000000" w:rsidP="00000000" w:rsidRDefault="00000000" w:rsidRPr="00000000" w14:paraId="000001A9">
      <w:pPr>
        <w:jc w:val="center"/>
        <w:rPr/>
      </w:pPr>
      <w:r w:rsidDel="00000000" w:rsidR="00000000" w:rsidRPr="00000000">
        <w:rPr>
          <w:rtl w:val="0"/>
        </w:rPr>
      </w:r>
    </w:p>
    <w:p w:rsidR="00000000" w:rsidDel="00000000" w:rsidP="00000000" w:rsidRDefault="00000000" w:rsidRPr="00000000" w14:paraId="000001AA">
      <w:pPr>
        <w:jc w:val="center"/>
        <w:rPr/>
      </w:pPr>
      <w:r w:rsidDel="00000000" w:rsidR="00000000" w:rsidRPr="00000000">
        <w:rPr>
          <w:b w:val="1"/>
          <w:sz w:val="28"/>
          <w:szCs w:val="28"/>
        </w:rPr>
        <w:drawing>
          <wp:inline distB="114300" distT="114300" distL="114300" distR="114300">
            <wp:extent cx="5727700" cy="1150435"/>
            <wp:effectExtent b="0" l="0" r="0" t="0"/>
            <wp:docPr id="2128018683" name="image35.jpg"/>
            <a:graphic>
              <a:graphicData uri="http://schemas.openxmlformats.org/drawingml/2006/picture">
                <pic:pic>
                  <pic:nvPicPr>
                    <pic:cNvPr id="0" name="image35.jpg"/>
                    <pic:cNvPicPr preferRelativeResize="0"/>
                  </pic:nvPicPr>
                  <pic:blipFill>
                    <a:blip r:embed="rId28"/>
                    <a:srcRect b="0" l="0" r="0" t="0"/>
                    <a:stretch>
                      <a:fillRect/>
                    </a:stretch>
                  </pic:blipFill>
                  <pic:spPr>
                    <a:xfrm>
                      <a:off x="0" y="0"/>
                      <a:ext cx="5727700" cy="115043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sz w:val="22"/>
          <w:szCs w:val="22"/>
        </w:rPr>
      </w:pPr>
      <w:r w:rsidDel="00000000" w:rsidR="00000000" w:rsidRPr="00000000">
        <w:rPr>
          <w:sz w:val="22"/>
          <w:szCs w:val="22"/>
          <w:rtl w:val="0"/>
        </w:rPr>
        <w:t xml:space="preserve">Table 8b. Portfolio of Italy (2018)</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To compare with the performance in 2013 and 2018, we also re-examine suggested strategies for 2021. For 2021, a 5, 15, and 20 percent increase in export would emphasize Precious Stones, followed by Textiles for 10 percent export growth respectively. These strategies go in line with the suggested trajectories based on ECI. We note that the industries presented below differ from the suggested increase in investment based off SDV and ECI. A more detailed numerical representation of the portfolio for Italy is shown in Table 8c. </w:t>
      </w:r>
    </w:p>
    <w:p w:rsidR="00000000" w:rsidDel="00000000" w:rsidP="00000000" w:rsidRDefault="00000000" w:rsidRPr="00000000" w14:paraId="000001AE">
      <w:pPr>
        <w:rPr>
          <w:sz w:val="22"/>
          <w:szCs w:val="22"/>
        </w:rPr>
      </w:pPr>
      <w:r w:rsidDel="00000000" w:rsidR="00000000" w:rsidRPr="00000000">
        <w:rPr>
          <w:b w:val="1"/>
          <w:sz w:val="28"/>
          <w:szCs w:val="28"/>
        </w:rPr>
        <w:drawing>
          <wp:inline distB="0" distT="0" distL="0" distR="0">
            <wp:extent cx="5727700" cy="1962279"/>
            <wp:effectExtent b="0" l="0" r="0" t="0"/>
            <wp:docPr id="2128018647" name="image15.png"/>
            <a:graphic>
              <a:graphicData uri="http://schemas.openxmlformats.org/drawingml/2006/picture">
                <pic:pic>
                  <pic:nvPicPr>
                    <pic:cNvPr id="0" name="image15.png"/>
                    <pic:cNvPicPr preferRelativeResize="0"/>
                  </pic:nvPicPr>
                  <pic:blipFill>
                    <a:blip r:embed="rId29"/>
                    <a:srcRect b="26224" l="0" r="0" t="5246"/>
                    <a:stretch>
                      <a:fillRect/>
                    </a:stretch>
                  </pic:blipFill>
                  <pic:spPr>
                    <a:xfrm>
                      <a:off x="0" y="0"/>
                      <a:ext cx="5727700" cy="1962279"/>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sz w:val="22"/>
          <w:szCs w:val="22"/>
        </w:rPr>
      </w:pPr>
      <w:r w:rsidDel="00000000" w:rsidR="00000000" w:rsidRPr="00000000">
        <w:rPr>
          <w:b w:val="1"/>
          <w:sz w:val="28"/>
          <w:szCs w:val="28"/>
        </w:rPr>
        <w:drawing>
          <wp:inline distB="0" distT="0" distL="0" distR="0">
            <wp:extent cx="5727700" cy="1652588"/>
            <wp:effectExtent b="0" l="0" r="0" t="0"/>
            <wp:docPr id="2128018648" name="image22.png"/>
            <a:graphic>
              <a:graphicData uri="http://schemas.openxmlformats.org/drawingml/2006/picture">
                <pic:pic>
                  <pic:nvPicPr>
                    <pic:cNvPr id="0" name="image22.png"/>
                    <pic:cNvPicPr preferRelativeResize="0"/>
                  </pic:nvPicPr>
                  <pic:blipFill>
                    <a:blip r:embed="rId30"/>
                    <a:srcRect b="15839" l="0" r="0" t="7482"/>
                    <a:stretch>
                      <a:fillRect/>
                    </a:stretch>
                  </pic:blipFill>
                  <pic:spPr>
                    <a:xfrm>
                      <a:off x="0" y="0"/>
                      <a:ext cx="5727700"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jc w:val="center"/>
        <w:rPr>
          <w:sz w:val="22"/>
          <w:szCs w:val="22"/>
        </w:rPr>
      </w:pPr>
      <w:r w:rsidDel="00000000" w:rsidR="00000000" w:rsidRPr="00000000">
        <w:rPr>
          <w:sz w:val="22"/>
          <w:szCs w:val="22"/>
          <w:rtl w:val="0"/>
        </w:rPr>
        <w:t xml:space="preserve">Figure 4c. Greedy-Based ECI Improvement Results of Italy with Different Budgets (2021)</w:t>
      </w:r>
    </w:p>
    <w:p w:rsidR="00000000" w:rsidDel="00000000" w:rsidP="00000000" w:rsidRDefault="00000000" w:rsidRPr="00000000" w14:paraId="000001B1">
      <w:pPr>
        <w:jc w:val="center"/>
        <w:rPr>
          <w:sz w:val="22"/>
          <w:szCs w:val="22"/>
        </w:rPr>
      </w:pPr>
      <w:r w:rsidDel="00000000" w:rsidR="00000000" w:rsidRPr="00000000">
        <w:rPr>
          <w:rtl w:val="0"/>
        </w:rPr>
      </w:r>
    </w:p>
    <w:tbl>
      <w:tblPr>
        <w:tblStyle w:val="Table10"/>
        <w:tblW w:w="8380.0" w:type="dxa"/>
        <w:jc w:val="left"/>
        <w:tblLayout w:type="fixed"/>
        <w:tblLook w:val="0400"/>
      </w:tblPr>
      <w:tblGrid>
        <w:gridCol w:w="1980"/>
        <w:gridCol w:w="1460"/>
        <w:gridCol w:w="1593"/>
        <w:gridCol w:w="1673"/>
        <w:gridCol w:w="1674"/>
        <w:tblGridChange w:id="0">
          <w:tblGrid>
            <w:gridCol w:w="1980"/>
            <w:gridCol w:w="1460"/>
            <w:gridCol w:w="1593"/>
            <w:gridCol w:w="1673"/>
            <w:gridCol w:w="1674"/>
          </w:tblGrid>
        </w:tblGridChange>
      </w:tblGrid>
      <w:tr>
        <w:trPr>
          <w:cantSplit w:val="0"/>
          <w:trHeight w:val="320" w:hRule="atLeast"/>
          <w:tblHeader w:val="0"/>
        </w:trPr>
        <w:tc>
          <w:tcPr>
            <w:gridSpan w:val="5"/>
            <w:tcBorders>
              <w:top w:color="000000" w:space="0" w:sz="0" w:val="nil"/>
              <w:left w:color="000000" w:space="0" w:sz="0" w:val="nil"/>
              <w:bottom w:color="000000" w:space="0" w:sz="0" w:val="nil"/>
              <w:right w:color="000000" w:space="0" w:sz="0" w:val="nil"/>
            </w:tcBorders>
            <w:shd w:fill="a5a5a5" w:val="clear"/>
            <w:vAlign w:val="center"/>
          </w:tcPr>
          <w:p w:rsidR="00000000" w:rsidDel="00000000" w:rsidP="00000000" w:rsidRDefault="00000000" w:rsidRPr="00000000" w14:paraId="000001B2">
            <w:pPr>
              <w:jc w:val="center"/>
              <w:rPr>
                <w:b w:val="1"/>
                <w:color w:val="000000"/>
                <w:sz w:val="20"/>
                <w:szCs w:val="20"/>
              </w:rPr>
            </w:pPr>
            <w:r w:rsidDel="00000000" w:rsidR="00000000" w:rsidRPr="00000000">
              <w:rPr>
                <w:b w:val="1"/>
                <w:sz w:val="20"/>
                <w:szCs w:val="20"/>
                <w:rtl w:val="0"/>
              </w:rPr>
              <w:t xml:space="preserve">Italy (2021)</w:t>
            </w: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B7">
            <w:pPr>
              <w:rPr>
                <w:b w:val="1"/>
                <w:color w:val="000000"/>
                <w:sz w:val="20"/>
                <w:szCs w:val="20"/>
              </w:rPr>
            </w:pPr>
            <w:r w:rsidDel="00000000" w:rsidR="00000000" w:rsidRPr="00000000">
              <w:rPr>
                <w:b w:val="1"/>
                <w:sz w:val="20"/>
                <w:szCs w:val="20"/>
                <w:rtl w:val="0"/>
              </w:rPr>
              <w:t xml:space="preserve">Original ECI</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B8">
            <w:pPr>
              <w:jc w:val="center"/>
              <w:rPr>
                <w:b w:val="1"/>
                <w:color w:val="000000"/>
                <w:sz w:val="20"/>
                <w:szCs w:val="20"/>
              </w:rPr>
            </w:pPr>
            <w:r w:rsidDel="00000000" w:rsidR="00000000" w:rsidRPr="00000000">
              <w:rPr>
                <w:b w:val="1"/>
                <w:sz w:val="20"/>
                <w:szCs w:val="20"/>
                <w:rtl w:val="0"/>
              </w:rPr>
              <w:t xml:space="preserve">1.23</w:t>
            </w:r>
            <w:r w:rsidDel="00000000" w:rsidR="00000000" w:rsidRPr="00000000">
              <w:rPr>
                <w:rtl w:val="0"/>
              </w:rPr>
            </w:r>
          </w:p>
        </w:tc>
      </w:tr>
      <w:tr>
        <w:trPr>
          <w:cantSplit w:val="0"/>
          <w:trHeight w:val="351"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BC">
            <w:pPr>
              <w:rPr>
                <w:b w:val="1"/>
                <w:color w:val="000000"/>
                <w:sz w:val="20"/>
                <w:szCs w:val="20"/>
              </w:rPr>
            </w:pPr>
            <w:r w:rsidDel="00000000" w:rsidR="00000000" w:rsidRPr="00000000">
              <w:rPr>
                <w:b w:val="1"/>
                <w:sz w:val="20"/>
                <w:szCs w:val="20"/>
                <w:rtl w:val="0"/>
              </w:rPr>
              <w:t xml:space="preserve">Heuristic Export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D">
            <w:pPr>
              <w:jc w:val="center"/>
              <w:rPr>
                <w:b w:val="1"/>
                <w:sz w:val="20"/>
                <w:szCs w:val="20"/>
              </w:rPr>
            </w:pPr>
            <w:r w:rsidDel="00000000" w:rsidR="00000000" w:rsidRPr="00000000">
              <w:rPr>
                <w:b w:val="1"/>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E">
            <w:pPr>
              <w:jc w:val="center"/>
              <w:rPr>
                <w:b w:val="1"/>
                <w:sz w:val="20"/>
                <w:szCs w:val="20"/>
              </w:rPr>
            </w:pPr>
            <w:r w:rsidDel="00000000" w:rsidR="00000000" w:rsidRPr="00000000">
              <w:rPr>
                <w:b w:val="1"/>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BF">
            <w:pPr>
              <w:jc w:val="center"/>
              <w:rPr>
                <w:b w:val="1"/>
                <w:sz w:val="20"/>
                <w:szCs w:val="20"/>
              </w:rPr>
            </w:pPr>
            <w:r w:rsidDel="00000000" w:rsidR="00000000" w:rsidRPr="00000000">
              <w:rPr>
                <w:b w:val="1"/>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0">
            <w:pPr>
              <w:jc w:val="center"/>
              <w:rPr>
                <w:b w:val="1"/>
                <w:sz w:val="20"/>
                <w:szCs w:val="20"/>
              </w:rPr>
            </w:pPr>
            <w:r w:rsidDel="00000000" w:rsidR="00000000" w:rsidRPr="00000000">
              <w:rPr>
                <w:b w:val="1"/>
                <w:sz w:val="20"/>
                <w:szCs w:val="20"/>
                <w:rtl w:val="0"/>
              </w:rPr>
              <w:t xml:space="preserve">20%</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1">
            <w:pPr>
              <w:rPr>
                <w:color w:val="000000"/>
                <w:sz w:val="20"/>
                <w:szCs w:val="20"/>
              </w:rPr>
            </w:pPr>
            <w:r w:rsidDel="00000000" w:rsidR="00000000" w:rsidRPr="00000000">
              <w:rPr>
                <w:color w:val="000000"/>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2">
            <w:pPr>
              <w:jc w:val="right"/>
              <w:rPr>
                <w:color w:val="000000"/>
                <w:sz w:val="20"/>
                <w:szCs w:val="20"/>
              </w:rPr>
            </w:pPr>
            <w:r w:rsidDel="00000000" w:rsidR="00000000" w:rsidRPr="00000000">
              <w:rPr>
                <w:color w:val="000000"/>
                <w:sz w:val="20"/>
                <w:szCs w:val="20"/>
                <w:rtl w:val="0"/>
              </w:rPr>
              <w:t xml:space="preserve">3.68E+09</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3">
            <w:pPr>
              <w:jc w:val="right"/>
              <w:rPr>
                <w:color w:val="000000"/>
                <w:sz w:val="20"/>
                <w:szCs w:val="20"/>
              </w:rPr>
            </w:pPr>
            <w:r w:rsidDel="00000000" w:rsidR="00000000" w:rsidRPr="00000000">
              <w:rPr>
                <w:color w:val="000000"/>
                <w:sz w:val="20"/>
                <w:szCs w:val="20"/>
                <w:rtl w:val="0"/>
              </w:rPr>
              <w:t xml:space="preserve">9.17E+09</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4">
            <w:pPr>
              <w:jc w:val="right"/>
              <w:rPr>
                <w:color w:val="000000"/>
                <w:sz w:val="20"/>
                <w:szCs w:val="20"/>
              </w:rPr>
            </w:pPr>
            <w:r w:rsidDel="00000000" w:rsidR="00000000" w:rsidRPr="00000000">
              <w:rPr>
                <w:color w:val="000000"/>
                <w:sz w:val="20"/>
                <w:szCs w:val="20"/>
                <w:rtl w:val="0"/>
              </w:rPr>
              <w:t xml:space="preserve">9.21E+09</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5">
            <w:pPr>
              <w:jc w:val="right"/>
              <w:rPr>
                <w:color w:val="000000"/>
                <w:sz w:val="20"/>
                <w:szCs w:val="20"/>
              </w:rPr>
            </w:pPr>
            <w:r w:rsidDel="00000000" w:rsidR="00000000" w:rsidRPr="00000000">
              <w:rPr>
                <w:color w:val="000000"/>
                <w:sz w:val="20"/>
                <w:szCs w:val="20"/>
                <w:rtl w:val="0"/>
              </w:rPr>
              <w:t xml:space="preserve">8.84E+09</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C6">
            <w:pPr>
              <w:rPr>
                <w:color w:val="000000"/>
                <w:sz w:val="20"/>
                <w:szCs w:val="20"/>
              </w:rPr>
            </w:pPr>
            <w:r w:rsidDel="00000000" w:rsidR="00000000" w:rsidRPr="00000000">
              <w:rPr>
                <w:color w:val="000000"/>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7">
            <w:pPr>
              <w:jc w:val="right"/>
              <w:rPr>
                <w:sz w:val="20"/>
                <w:szCs w:val="20"/>
              </w:rPr>
            </w:pPr>
            <w:r w:rsidDel="00000000" w:rsidR="00000000" w:rsidRPr="00000000">
              <w:rPr>
                <w:sz w:val="20"/>
                <w:szCs w:val="20"/>
                <w:rtl w:val="0"/>
              </w:rPr>
              <w:t xml:space="preserve">1.23E+09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8">
            <w:pPr>
              <w:jc w:val="right"/>
              <w:rPr>
                <w:sz w:val="20"/>
                <w:szCs w:val="20"/>
              </w:rPr>
            </w:pPr>
            <w:r w:rsidDel="00000000" w:rsidR="00000000" w:rsidRPr="00000000">
              <w:rPr>
                <w:sz w:val="20"/>
                <w:szCs w:val="20"/>
                <w:rtl w:val="0"/>
              </w:rPr>
              <w:t xml:space="preserve">9.17E+09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9">
            <w:pPr>
              <w:jc w:val="right"/>
              <w:rPr>
                <w:sz w:val="20"/>
                <w:szCs w:val="20"/>
              </w:rPr>
            </w:pPr>
            <w:r w:rsidDel="00000000" w:rsidR="00000000" w:rsidRPr="00000000">
              <w:rPr>
                <w:sz w:val="20"/>
                <w:szCs w:val="20"/>
                <w:rtl w:val="0"/>
              </w:rPr>
              <w:t xml:space="preserve">9.21E+09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CA">
            <w:pPr>
              <w:jc w:val="right"/>
              <w:rPr>
                <w:sz w:val="20"/>
                <w:szCs w:val="20"/>
              </w:rPr>
            </w:pPr>
            <w:r w:rsidDel="00000000" w:rsidR="00000000" w:rsidRPr="00000000">
              <w:rPr>
                <w:sz w:val="20"/>
                <w:szCs w:val="20"/>
                <w:rtl w:val="0"/>
              </w:rPr>
              <w:t xml:space="preserve">8.84E+09</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B">
            <w:pPr>
              <w:rPr>
                <w:color w:val="000000"/>
                <w:sz w:val="20"/>
                <w:szCs w:val="20"/>
              </w:rPr>
            </w:pPr>
            <w:r w:rsidDel="00000000" w:rsidR="00000000" w:rsidRPr="00000000">
              <w:rPr>
                <w:color w:val="000000"/>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C">
            <w:pPr>
              <w:jc w:val="right"/>
              <w:rPr>
                <w:color w:val="000000"/>
                <w:sz w:val="20"/>
                <w:szCs w:val="20"/>
              </w:rPr>
            </w:pPr>
            <w:r w:rsidDel="00000000" w:rsidR="00000000" w:rsidRPr="00000000">
              <w:rPr>
                <w:color w:val="000000"/>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D">
            <w:pPr>
              <w:jc w:val="right"/>
              <w:rPr>
                <w:color w:val="000000"/>
                <w:sz w:val="20"/>
                <w:szCs w:val="20"/>
              </w:rPr>
            </w:pPr>
            <w:r w:rsidDel="00000000" w:rsidR="00000000" w:rsidRPr="00000000">
              <w:rPr>
                <w:color w:val="000000"/>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E">
            <w:pPr>
              <w:jc w:val="right"/>
              <w:rPr>
                <w:color w:val="000000"/>
                <w:sz w:val="20"/>
                <w:szCs w:val="20"/>
              </w:rPr>
            </w:pPr>
            <w:r w:rsidDel="00000000" w:rsidR="00000000" w:rsidRPr="00000000">
              <w:rPr>
                <w:color w:val="000000"/>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CF">
            <w:pPr>
              <w:jc w:val="right"/>
              <w:rPr>
                <w:color w:val="000000"/>
                <w:sz w:val="20"/>
                <w:szCs w:val="20"/>
              </w:rPr>
            </w:pPr>
            <w:r w:rsidDel="00000000" w:rsidR="00000000" w:rsidRPr="00000000">
              <w:rPr>
                <w:color w:val="000000"/>
                <w:sz w:val="20"/>
                <w:szCs w:val="20"/>
                <w:rtl w:val="0"/>
              </w:rPr>
              <w:t xml:space="preserve">8.84E+09</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0">
            <w:pPr>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1">
            <w:pPr>
              <w:jc w:val="right"/>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2">
            <w:pPr>
              <w:jc w:val="right"/>
              <w:rPr>
                <w:sz w:val="20"/>
                <w:szCs w:val="20"/>
              </w:rPr>
            </w:pPr>
            <w:r w:rsidDel="00000000" w:rsidR="00000000" w:rsidRPr="00000000">
              <w:rPr>
                <w:sz w:val="20"/>
                <w:szCs w:val="20"/>
                <w:rtl w:val="0"/>
              </w:rPr>
              <w:t xml:space="preserve">2.75E+10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3">
            <w:pPr>
              <w:jc w:val="right"/>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4">
            <w:pPr>
              <w:jc w:val="right"/>
              <w:rPr>
                <w:sz w:val="20"/>
                <w:szCs w:val="20"/>
              </w:rPr>
            </w:pPr>
            <w:r w:rsidDel="00000000" w:rsidR="00000000" w:rsidRPr="00000000">
              <w:rPr>
                <w:sz w:val="20"/>
                <w:szCs w:val="20"/>
                <w:rtl w:val="0"/>
              </w:rPr>
              <w:t xml:space="preserve">0.00E+00</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D5">
            <w:pPr>
              <w:rPr>
                <w:color w:val="000000"/>
                <w:sz w:val="20"/>
                <w:szCs w:val="20"/>
              </w:rPr>
            </w:pPr>
            <w:r w:rsidDel="00000000" w:rsidR="00000000" w:rsidRPr="00000000">
              <w:rPr>
                <w:color w:val="000000"/>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D6">
            <w:pPr>
              <w:jc w:val="right"/>
              <w:rPr>
                <w:color w:val="000000"/>
                <w:sz w:val="20"/>
                <w:szCs w:val="20"/>
              </w:rPr>
            </w:pPr>
            <w:r w:rsidDel="00000000" w:rsidR="00000000" w:rsidRPr="00000000">
              <w:rPr>
                <w:color w:val="000000"/>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D7">
            <w:pPr>
              <w:jc w:val="right"/>
              <w:rPr>
                <w:color w:val="000000"/>
                <w:sz w:val="20"/>
                <w:szCs w:val="20"/>
              </w:rPr>
            </w:pPr>
            <w:r w:rsidDel="00000000" w:rsidR="00000000" w:rsidRPr="00000000">
              <w:rPr>
                <w:color w:val="000000"/>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D8">
            <w:pPr>
              <w:jc w:val="right"/>
              <w:rPr>
                <w:color w:val="000000"/>
                <w:sz w:val="20"/>
                <w:szCs w:val="20"/>
              </w:rPr>
            </w:pPr>
            <w:r w:rsidDel="00000000" w:rsidR="00000000" w:rsidRPr="00000000">
              <w:rPr>
                <w:color w:val="000000"/>
                <w:sz w:val="20"/>
                <w:szCs w:val="20"/>
                <w:rtl w:val="0"/>
              </w:rPr>
              <w:t xml:space="preserve">9.21E+09</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D9">
            <w:pPr>
              <w:jc w:val="right"/>
              <w:rPr>
                <w:color w:val="000000"/>
                <w:sz w:val="20"/>
                <w:szCs w:val="20"/>
              </w:rPr>
            </w:pPr>
            <w:r w:rsidDel="00000000" w:rsidR="00000000" w:rsidRPr="00000000">
              <w:rPr>
                <w:color w:val="000000"/>
                <w:sz w:val="20"/>
                <w:szCs w:val="20"/>
                <w:rtl w:val="0"/>
              </w:rPr>
              <w:t xml:space="preserve">8.84E+09</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A">
            <w:pPr>
              <w:rPr>
                <w:sz w:val="20"/>
                <w:szCs w:val="20"/>
              </w:rPr>
            </w:pPr>
            <w:r w:rsidDel="00000000" w:rsidR="00000000" w:rsidRPr="00000000">
              <w:rPr>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B">
            <w:pPr>
              <w:jc w:val="right"/>
              <w:rPr>
                <w:sz w:val="20"/>
                <w:szCs w:val="20"/>
              </w:rPr>
            </w:pPr>
            <w:r w:rsidDel="00000000" w:rsidR="00000000" w:rsidRPr="00000000">
              <w:rPr>
                <w:sz w:val="20"/>
                <w:szCs w:val="20"/>
                <w:rtl w:val="0"/>
              </w:rPr>
              <w:t xml:space="preserve">2.45E+09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C">
            <w:pPr>
              <w:jc w:val="right"/>
              <w:rPr>
                <w:sz w:val="20"/>
                <w:szCs w:val="20"/>
              </w:rPr>
            </w:pPr>
            <w:r w:rsidDel="00000000" w:rsidR="00000000" w:rsidRPr="00000000">
              <w:rPr>
                <w:sz w:val="20"/>
                <w:szCs w:val="20"/>
                <w:rtl w:val="0"/>
              </w:rPr>
              <w:t xml:space="preserve">4.58E+09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D">
            <w:pPr>
              <w:jc w:val="right"/>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DE">
            <w:pPr>
              <w:jc w:val="right"/>
              <w:rPr>
                <w:sz w:val="20"/>
                <w:szCs w:val="20"/>
              </w:rPr>
            </w:pPr>
            <w:r w:rsidDel="00000000" w:rsidR="00000000" w:rsidRPr="00000000">
              <w:rPr>
                <w:sz w:val="20"/>
                <w:szCs w:val="20"/>
                <w:rtl w:val="0"/>
              </w:rPr>
              <w:t xml:space="preserve">0.00E+00</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DF">
            <w:pPr>
              <w:rPr>
                <w:color w:val="000000"/>
                <w:sz w:val="20"/>
                <w:szCs w:val="20"/>
              </w:rPr>
            </w:pPr>
            <w:r w:rsidDel="00000000" w:rsidR="00000000" w:rsidRPr="00000000">
              <w:rPr>
                <w:color w:val="000000"/>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0">
            <w:pPr>
              <w:jc w:val="right"/>
              <w:rPr>
                <w:color w:val="000000"/>
                <w:sz w:val="20"/>
                <w:szCs w:val="20"/>
              </w:rPr>
            </w:pPr>
            <w:r w:rsidDel="00000000" w:rsidR="00000000" w:rsidRPr="00000000">
              <w:rPr>
                <w:color w:val="000000"/>
                <w:sz w:val="20"/>
                <w:szCs w:val="20"/>
                <w:rtl w:val="0"/>
              </w:rPr>
              <w:t xml:space="preserve">3.68E+09</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1">
            <w:pPr>
              <w:jc w:val="right"/>
              <w:rPr>
                <w:color w:val="000000"/>
                <w:sz w:val="20"/>
                <w:szCs w:val="20"/>
              </w:rPr>
            </w:pPr>
            <w:r w:rsidDel="00000000" w:rsidR="00000000" w:rsidRPr="00000000">
              <w:rPr>
                <w:color w:val="000000"/>
                <w:sz w:val="20"/>
                <w:szCs w:val="20"/>
                <w:rtl w:val="0"/>
              </w:rPr>
              <w:t xml:space="preserve">6.42E+10</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2">
            <w:pPr>
              <w:jc w:val="right"/>
              <w:rPr>
                <w:color w:val="000000"/>
                <w:sz w:val="20"/>
                <w:szCs w:val="20"/>
              </w:rPr>
            </w:pPr>
            <w:r w:rsidDel="00000000" w:rsidR="00000000" w:rsidRPr="00000000">
              <w:rPr>
                <w:color w:val="000000"/>
                <w:sz w:val="20"/>
                <w:szCs w:val="20"/>
                <w:rtl w:val="0"/>
              </w:rPr>
              <w:t xml:space="preserve">2.76E+10</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3">
            <w:pPr>
              <w:jc w:val="right"/>
              <w:rPr>
                <w:color w:val="000000"/>
                <w:sz w:val="20"/>
                <w:szCs w:val="20"/>
              </w:rPr>
            </w:pPr>
            <w:r w:rsidDel="00000000" w:rsidR="00000000" w:rsidRPr="00000000">
              <w:rPr>
                <w:color w:val="000000"/>
                <w:sz w:val="20"/>
                <w:szCs w:val="20"/>
                <w:rtl w:val="0"/>
              </w:rPr>
              <w:t xml:space="preserve">1.77E+10</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4">
            <w:pPr>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5">
            <w:pPr>
              <w:jc w:val="right"/>
              <w:rPr>
                <w:sz w:val="20"/>
                <w:szCs w:val="20"/>
              </w:rPr>
            </w:pPr>
            <w:r w:rsidDel="00000000" w:rsidR="00000000" w:rsidRPr="00000000">
              <w:rPr>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6">
            <w:pPr>
              <w:jc w:val="right"/>
              <w:rPr>
                <w:sz w:val="20"/>
                <w:szCs w:val="20"/>
              </w:rPr>
            </w:pPr>
            <w:r w:rsidDel="00000000" w:rsidR="00000000" w:rsidRPr="00000000">
              <w:rPr>
                <w:sz w:val="20"/>
                <w:szCs w:val="20"/>
                <w:rtl w:val="0"/>
              </w:rPr>
              <w:t xml:space="preserve">9.17E+09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7">
            <w:pPr>
              <w:jc w:val="right"/>
              <w:rPr>
                <w:sz w:val="20"/>
                <w:szCs w:val="20"/>
              </w:rPr>
            </w:pPr>
            <w:r w:rsidDel="00000000" w:rsidR="00000000" w:rsidRPr="00000000">
              <w:rPr>
                <w:sz w:val="20"/>
                <w:szCs w:val="20"/>
                <w:rtl w:val="0"/>
              </w:rPr>
              <w:t xml:space="preserve">7.36E+10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8">
            <w:pPr>
              <w:jc w:val="right"/>
              <w:rPr>
                <w:sz w:val="20"/>
                <w:szCs w:val="20"/>
              </w:rPr>
            </w:pPr>
            <w:r w:rsidDel="00000000" w:rsidR="00000000" w:rsidRPr="00000000">
              <w:rPr>
                <w:sz w:val="20"/>
                <w:szCs w:val="20"/>
                <w:rtl w:val="0"/>
              </w:rPr>
              <w:t xml:space="preserve">8.84E+10</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9">
            <w:pPr>
              <w:rPr>
                <w:color w:val="000000"/>
                <w:sz w:val="20"/>
                <w:szCs w:val="20"/>
              </w:rPr>
            </w:pPr>
            <w:r w:rsidDel="00000000" w:rsidR="00000000" w:rsidRPr="00000000">
              <w:rPr>
                <w:color w:val="000000"/>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A">
            <w:pPr>
              <w:jc w:val="right"/>
              <w:rPr>
                <w:color w:val="000000"/>
                <w:sz w:val="20"/>
                <w:szCs w:val="20"/>
              </w:rPr>
            </w:pPr>
            <w:r w:rsidDel="00000000" w:rsidR="00000000" w:rsidRPr="00000000">
              <w:rPr>
                <w:color w:val="000000"/>
                <w:sz w:val="20"/>
                <w:szCs w:val="20"/>
                <w:rtl w:val="0"/>
              </w:rPr>
              <w:t xml:space="preserve">0.00E+00</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B">
            <w:pPr>
              <w:jc w:val="right"/>
              <w:rPr>
                <w:color w:val="000000"/>
                <w:sz w:val="20"/>
                <w:szCs w:val="20"/>
              </w:rPr>
            </w:pPr>
            <w:r w:rsidDel="00000000" w:rsidR="00000000" w:rsidRPr="00000000">
              <w:rPr>
                <w:color w:val="000000"/>
                <w:sz w:val="20"/>
                <w:szCs w:val="20"/>
                <w:rtl w:val="0"/>
              </w:rPr>
              <w:t xml:space="preserve">4.58E+09</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C">
            <w:pPr>
              <w:jc w:val="right"/>
              <w:rPr>
                <w:color w:val="000000"/>
                <w:sz w:val="20"/>
                <w:szCs w:val="20"/>
              </w:rPr>
            </w:pPr>
            <w:r w:rsidDel="00000000" w:rsidR="00000000" w:rsidRPr="00000000">
              <w:rPr>
                <w:color w:val="000000"/>
                <w:sz w:val="20"/>
                <w:szCs w:val="20"/>
                <w:rtl w:val="0"/>
              </w:rPr>
              <w:t xml:space="preserve">9.21E+09</w:t>
            </w:r>
          </w:p>
        </w:tc>
        <w:tc>
          <w:tcPr>
            <w:tcBorders>
              <w:top w:color="000000" w:space="0" w:sz="0" w:val="nil"/>
              <w:left w:color="000000" w:space="0" w:sz="0" w:val="nil"/>
              <w:bottom w:color="000000" w:space="0" w:sz="0" w:val="nil"/>
              <w:right w:color="000000" w:space="0" w:sz="0" w:val="nil"/>
            </w:tcBorders>
            <w:shd w:fill="ededed" w:val="clear"/>
            <w:vAlign w:val="center"/>
          </w:tcPr>
          <w:p w:rsidR="00000000" w:rsidDel="00000000" w:rsidP="00000000" w:rsidRDefault="00000000" w:rsidRPr="00000000" w14:paraId="000001ED">
            <w:pPr>
              <w:jc w:val="right"/>
              <w:rPr>
                <w:color w:val="000000"/>
                <w:sz w:val="20"/>
                <w:szCs w:val="20"/>
              </w:rPr>
            </w:pPr>
            <w:r w:rsidDel="00000000" w:rsidR="00000000" w:rsidRPr="00000000">
              <w:rPr>
                <w:color w:val="000000"/>
                <w:sz w:val="20"/>
                <w:szCs w:val="20"/>
                <w:rtl w:val="0"/>
              </w:rPr>
              <w:t xml:space="preserve">0.00E+00</w:t>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E">
            <w:pPr>
              <w:rPr>
                <w:sz w:val="20"/>
                <w:szCs w:val="20"/>
              </w:rPr>
            </w:pPr>
            <w:r w:rsidDel="00000000" w:rsidR="00000000" w:rsidRPr="00000000">
              <w:rPr>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EF">
            <w:pPr>
              <w:jc w:val="right"/>
              <w:rPr>
                <w:sz w:val="20"/>
                <w:szCs w:val="20"/>
              </w:rPr>
            </w:pPr>
            <w:r w:rsidDel="00000000" w:rsidR="00000000" w:rsidRPr="00000000">
              <w:rPr>
                <w:sz w:val="20"/>
                <w:szCs w:val="20"/>
                <w:rtl w:val="0"/>
              </w:rPr>
              <w:t xml:space="preserve">2.58E+10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0">
            <w:pPr>
              <w:jc w:val="right"/>
              <w:rPr>
                <w:sz w:val="20"/>
                <w:szCs w:val="20"/>
              </w:rPr>
            </w:pPr>
            <w:r w:rsidDel="00000000" w:rsidR="00000000" w:rsidRPr="00000000">
              <w:rPr>
                <w:sz w:val="20"/>
                <w:szCs w:val="20"/>
                <w:rtl w:val="0"/>
              </w:rPr>
              <w:t xml:space="preserve">9.17E+09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1">
            <w:pPr>
              <w:jc w:val="right"/>
              <w:rPr>
                <w:sz w:val="20"/>
                <w:szCs w:val="20"/>
              </w:rPr>
            </w:pPr>
            <w:r w:rsidDel="00000000" w:rsidR="00000000" w:rsidRPr="00000000">
              <w:rPr>
                <w:sz w:val="20"/>
                <w:szCs w:val="20"/>
                <w:rtl w:val="0"/>
              </w:rPr>
              <w:t xml:space="preserve">1.38E+11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2">
            <w:pPr>
              <w:jc w:val="right"/>
              <w:rPr>
                <w:sz w:val="20"/>
                <w:szCs w:val="20"/>
              </w:rPr>
            </w:pPr>
            <w:r w:rsidDel="00000000" w:rsidR="00000000" w:rsidRPr="00000000">
              <w:rPr>
                <w:sz w:val="20"/>
                <w:szCs w:val="20"/>
                <w:rtl w:val="0"/>
              </w:rPr>
              <w:t xml:space="preserve">1.24E+11</w:t>
            </w:r>
          </w:p>
        </w:tc>
      </w:tr>
      <w:tr>
        <w:trPr>
          <w:cantSplit w:val="0"/>
          <w:trHeight w:val="2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3">
            <w:pPr>
              <w:rPr>
                <w:b w:val="1"/>
                <w:color w:val="000000"/>
                <w:sz w:val="20"/>
                <w:szCs w:val="20"/>
              </w:rPr>
            </w:pPr>
            <w:r w:rsidDel="00000000" w:rsidR="00000000" w:rsidRPr="00000000">
              <w:rPr>
                <w:b w:val="1"/>
                <w:color w:val="000000"/>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4">
            <w:pPr>
              <w:rPr>
                <w:b w:val="1"/>
                <w:color w:val="000000"/>
                <w:sz w:val="20"/>
                <w:szCs w:val="20"/>
              </w:rPr>
            </w:pPr>
            <w:r w:rsidDel="00000000" w:rsidR="00000000" w:rsidRPr="00000000">
              <w:rPr>
                <w:b w:val="1"/>
                <w:color w:val="000000"/>
                <w:sz w:val="20"/>
                <w:szCs w:val="20"/>
                <w:rtl w:val="0"/>
              </w:rPr>
              <w:t xml:space="preserve">-1.75E-01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5">
            <w:pPr>
              <w:rPr>
                <w:b w:val="1"/>
                <w:color w:val="000000"/>
                <w:sz w:val="20"/>
                <w:szCs w:val="20"/>
              </w:rPr>
            </w:pPr>
            <w:r w:rsidDel="00000000" w:rsidR="00000000" w:rsidRPr="00000000">
              <w:rPr>
                <w:b w:val="1"/>
                <w:color w:val="000000"/>
                <w:sz w:val="20"/>
                <w:szCs w:val="20"/>
                <w:rtl w:val="0"/>
              </w:rPr>
              <w:t xml:space="preserve">2.86E-01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6">
            <w:pPr>
              <w:rPr>
                <w:b w:val="1"/>
                <w:color w:val="000000"/>
                <w:sz w:val="20"/>
                <w:szCs w:val="20"/>
              </w:rPr>
            </w:pPr>
            <w:r w:rsidDel="00000000" w:rsidR="00000000" w:rsidRPr="00000000">
              <w:rPr>
                <w:b w:val="1"/>
                <w:color w:val="000000"/>
                <w:sz w:val="20"/>
                <w:szCs w:val="20"/>
                <w:rtl w:val="0"/>
              </w:rPr>
              <w:t xml:space="preserve">7.61E-01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7">
            <w:pPr>
              <w:rPr>
                <w:b w:val="1"/>
                <w:color w:val="000000"/>
                <w:sz w:val="20"/>
                <w:szCs w:val="20"/>
              </w:rPr>
            </w:pPr>
            <w:r w:rsidDel="00000000" w:rsidR="00000000" w:rsidRPr="00000000">
              <w:rPr>
                <w:b w:val="1"/>
                <w:color w:val="000000"/>
                <w:sz w:val="20"/>
                <w:szCs w:val="20"/>
                <w:rtl w:val="0"/>
              </w:rPr>
              <w:t xml:space="preserve">7.31E-01</w:t>
            </w:r>
          </w:p>
        </w:tc>
      </w:tr>
    </w:tbl>
    <w:p w:rsidR="00000000" w:rsidDel="00000000" w:rsidP="00000000" w:rsidRDefault="00000000" w:rsidRPr="00000000" w14:paraId="000001F8">
      <w:pPr>
        <w:rPr>
          <w:b w:val="1"/>
          <w:color w:val="000000"/>
          <w:sz w:val="20"/>
          <w:szCs w:val="20"/>
        </w:rPr>
      </w:pPr>
      <w:r w:rsidDel="00000000" w:rsidR="00000000" w:rsidRPr="00000000">
        <w:rPr>
          <w:rtl w:val="0"/>
        </w:rPr>
      </w:r>
    </w:p>
    <w:p w:rsidR="00000000" w:rsidDel="00000000" w:rsidP="00000000" w:rsidRDefault="00000000" w:rsidRPr="00000000" w14:paraId="000001F9">
      <w:pPr>
        <w:jc w:val="center"/>
        <w:rPr>
          <w:sz w:val="22"/>
          <w:szCs w:val="22"/>
        </w:rPr>
      </w:pPr>
      <w:r w:rsidDel="00000000" w:rsidR="00000000" w:rsidRPr="00000000">
        <w:rPr>
          <w:sz w:val="22"/>
          <w:szCs w:val="22"/>
          <w:rtl w:val="0"/>
        </w:rPr>
        <w:t xml:space="preserve">Table 8c. Portfolio of Italy (2021)</w:t>
      </w:r>
    </w:p>
    <w:p w:rsidR="00000000" w:rsidDel="00000000" w:rsidP="00000000" w:rsidRDefault="00000000" w:rsidRPr="00000000" w14:paraId="000001FA">
      <w:pPr>
        <w:rPr>
          <w:sz w:val="22"/>
          <w:szCs w:val="22"/>
        </w:rPr>
      </w:pPr>
      <w:r w:rsidDel="00000000" w:rsidR="00000000" w:rsidRPr="00000000">
        <w:rPr>
          <w:rtl w:val="0"/>
        </w:rPr>
      </w:r>
    </w:p>
    <w:p w:rsidR="00000000" w:rsidDel="00000000" w:rsidP="00000000" w:rsidRDefault="00000000" w:rsidRPr="00000000" w14:paraId="000001FB">
      <w:pPr>
        <w:spacing w:after="240" w:before="240" w:line="276" w:lineRule="auto"/>
        <w:rPr>
          <w:b w:val="1"/>
        </w:rPr>
      </w:pPr>
      <w:r w:rsidDel="00000000" w:rsidR="00000000" w:rsidRPr="00000000">
        <w:rPr>
          <w:b w:val="1"/>
          <w:rtl w:val="0"/>
        </w:rPr>
        <w:t xml:space="preserve">4.3 Sensitivity Analysis and Contingency Strategy</w:t>
      </w:r>
    </w:p>
    <w:p w:rsidR="00000000" w:rsidDel="00000000" w:rsidP="00000000" w:rsidRDefault="00000000" w:rsidRPr="00000000" w14:paraId="000001FC">
      <w:pPr>
        <w:spacing w:after="240" w:before="240" w:line="276" w:lineRule="auto"/>
        <w:rPr/>
      </w:pPr>
      <w:r w:rsidDel="00000000" w:rsidR="00000000" w:rsidRPr="00000000">
        <w:rPr>
          <w:rtl w:val="0"/>
        </w:rPr>
        <w:t xml:space="preserve">In the following section, our broad aim is to understand how sensitive Italy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1FD">
      <w:pPr>
        <w:spacing w:line="276" w:lineRule="auto"/>
        <w:rPr>
          <w:b w:val="1"/>
        </w:rPr>
      </w:pPr>
      <w:r w:rsidDel="00000000" w:rsidR="00000000" w:rsidRPr="00000000">
        <w:rPr>
          <w:b w:val="1"/>
          <w:rtl w:val="0"/>
        </w:rPr>
        <w:t xml:space="preserve">ECI Sensitivity Graph</w:t>
      </w:r>
    </w:p>
    <w:p w:rsidR="00000000" w:rsidDel="00000000" w:rsidP="00000000" w:rsidRDefault="00000000" w:rsidRPr="00000000" w14:paraId="000001FE">
      <w:pPr>
        <w:spacing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FF">
      <w:pPr>
        <w:jc w:val="both"/>
        <w:rPr>
          <w:b w:val="1"/>
        </w:rPr>
      </w:pPr>
      <w:r w:rsidDel="00000000" w:rsidR="00000000" w:rsidRPr="00000000">
        <w:rPr>
          <w:b w:val="1"/>
        </w:rPr>
        <w:drawing>
          <wp:inline distB="114300" distT="114300" distL="114300" distR="114300">
            <wp:extent cx="5310188" cy="2519630"/>
            <wp:effectExtent b="0" l="0" r="0" t="0"/>
            <wp:docPr id="2128018649" name="image6.jpg"/>
            <a:graphic>
              <a:graphicData uri="http://schemas.openxmlformats.org/drawingml/2006/picture">
                <pic:pic>
                  <pic:nvPicPr>
                    <pic:cNvPr id="0" name="image6.jpg"/>
                    <pic:cNvPicPr preferRelativeResize="0"/>
                  </pic:nvPicPr>
                  <pic:blipFill>
                    <a:blip r:embed="rId31"/>
                    <a:srcRect b="0" l="0" r="0" t="9708"/>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01">
      <w:pPr>
        <w:spacing w:after="240" w:before="240" w:line="276" w:lineRule="auto"/>
        <w:rPr>
          <w:b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02">
      <w:pPr>
        <w:spacing w:line="276" w:lineRule="auto"/>
        <w:rPr>
          <w:b w:val="1"/>
        </w:rPr>
      </w:pPr>
      <w:r w:rsidDel="00000000" w:rsidR="00000000" w:rsidRPr="00000000">
        <w:rPr>
          <w:b w:val="1"/>
          <w:rtl w:val="0"/>
        </w:rPr>
        <w:t xml:space="preserve">SDV Sensitivity</w:t>
      </w:r>
    </w:p>
    <w:p w:rsidR="00000000" w:rsidDel="00000000" w:rsidP="00000000" w:rsidRDefault="00000000" w:rsidRPr="00000000" w14:paraId="00000203">
      <w:pPr>
        <w:spacing w:line="276" w:lineRule="auto"/>
        <w:rPr>
          <w:b w:val="1"/>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r w:rsidDel="00000000" w:rsidR="00000000" w:rsidRPr="00000000">
        <w:rPr>
          <w:rtl w:val="0"/>
        </w:rPr>
      </w:r>
    </w:p>
    <w:p w:rsidR="00000000" w:rsidDel="00000000" w:rsidP="00000000" w:rsidRDefault="00000000" w:rsidRPr="00000000" w14:paraId="00000204">
      <w:pPr>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205">
      <w:pPr>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06">
      <w:pPr>
        <w:spacing w:line="276" w:lineRule="auto"/>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drawing>
          <wp:inline distB="114300" distT="114300" distL="114300" distR="114300">
            <wp:extent cx="5734050" cy="1739900"/>
            <wp:effectExtent b="0" l="0" r="0" t="0"/>
            <wp:docPr id="2128018650"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center"/>
        <w:rPr>
          <w:b w:val="1"/>
        </w:rPr>
      </w:pPr>
      <w:r w:rsidDel="00000000" w:rsidR="00000000" w:rsidRPr="00000000">
        <w:rPr>
          <w:sz w:val="22"/>
          <w:szCs w:val="22"/>
          <w:rtl w:val="0"/>
        </w:rPr>
        <w:t xml:space="preserve">Table 9. Sample Incremental SDV Sensitivity for High-Complexity Products (2018)</w:t>
      </w:r>
      <w:r w:rsidDel="00000000" w:rsidR="00000000" w:rsidRPr="00000000">
        <w:rPr>
          <w:rtl w:val="0"/>
        </w:rPr>
      </w:r>
    </w:p>
    <w:p w:rsidR="00000000" w:rsidDel="00000000" w:rsidP="00000000" w:rsidRDefault="00000000" w:rsidRPr="00000000" w14:paraId="00000209">
      <w:pPr>
        <w:spacing w:line="276" w:lineRule="auto"/>
        <w:rPr>
          <w:b w:val="1"/>
        </w:rPr>
      </w:pPr>
      <w:r w:rsidDel="00000000" w:rsidR="00000000" w:rsidRPr="00000000">
        <w:rPr>
          <w:rtl w:val="0"/>
        </w:rPr>
      </w:r>
    </w:p>
    <w:p w:rsidR="00000000" w:rsidDel="00000000" w:rsidP="00000000" w:rsidRDefault="00000000" w:rsidRPr="00000000" w14:paraId="0000020A">
      <w:pPr>
        <w:spacing w:line="276" w:lineRule="auto"/>
        <w:rPr>
          <w:b w:val="1"/>
        </w:rPr>
      </w:pPr>
      <w:r w:rsidDel="00000000" w:rsidR="00000000" w:rsidRPr="00000000">
        <w:rPr>
          <w:b w:val="1"/>
          <w:rtl w:val="0"/>
        </w:rPr>
        <w:t xml:space="preserve">Contingency Plan</w:t>
      </w:r>
    </w:p>
    <w:p w:rsidR="00000000" w:rsidDel="00000000" w:rsidP="00000000" w:rsidRDefault="00000000" w:rsidRPr="00000000" w14:paraId="0000020B">
      <w:pPr>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tbl>
      <w:tblPr>
        <w:tblStyle w:val="Table11"/>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2435"/>
        <w:gridCol w:w="2435"/>
        <w:gridCol w:w="2435"/>
        <w:tblGridChange w:id="0">
          <w:tblGrid>
            <w:gridCol w:w="2625"/>
            <w:gridCol w:w="2435"/>
            <w:gridCol w:w="2435"/>
            <w:gridCol w:w="2435"/>
          </w:tblGrid>
        </w:tblGridChange>
      </w:tblGrid>
      <w:tr>
        <w:trPr>
          <w:cantSplit w:val="0"/>
          <w:trHeight w:val="126" w:hRule="atLeast"/>
          <w:tblHeader w:val="0"/>
        </w:trPr>
        <w:tc>
          <w:tcPr>
            <w:tcBorders>
              <w:top w:color="000000" w:space="0" w:sz="0" w:val="nil"/>
              <w:bottom w:color="000000" w:space="0" w:sz="0" w:val="nil"/>
            </w:tcBorders>
            <w:shd w:fill="a5a5a5" w:val="clear"/>
            <w:tcMar>
              <w:top w:w="-267.0" w:type="dxa"/>
              <w:left w:w="-267.0" w:type="dxa"/>
              <w:bottom w:w="-267.0" w:type="dxa"/>
              <w:right w:w="-267.0" w:type="dxa"/>
            </w:tcMar>
            <w:vAlign w:val="center"/>
          </w:tcPr>
          <w:p w:rsidR="00000000" w:rsidDel="00000000" w:rsidP="00000000" w:rsidRDefault="00000000" w:rsidRPr="00000000" w14:paraId="0000020C">
            <w:pPr>
              <w:widowControl w:val="0"/>
              <w:spacing w:line="276" w:lineRule="auto"/>
              <w:ind w:left="90" w:firstLine="0"/>
              <w:rPr>
                <w:b w:val="1"/>
                <w:sz w:val="20"/>
                <w:szCs w:val="20"/>
              </w:rPr>
            </w:pPr>
            <w:r w:rsidDel="00000000" w:rsidR="00000000" w:rsidRPr="00000000">
              <w:rPr>
                <w:b w:val="1"/>
                <w:sz w:val="20"/>
                <w:szCs w:val="20"/>
                <w:rtl w:val="0"/>
              </w:rPr>
              <w:t xml:space="preserve">Product Names</w:t>
            </w:r>
          </w:p>
        </w:tc>
        <w:tc>
          <w:tcPr>
            <w:tcBorders>
              <w:top w:color="000000" w:space="0" w:sz="0" w:val="nil"/>
              <w:bottom w:color="000000" w:space="0" w:sz="0" w:val="nil"/>
            </w:tcBorders>
            <w:shd w:fill="a5a5a5" w:val="clear"/>
            <w:tcMar>
              <w:top w:w="-267.0" w:type="dxa"/>
              <w:left w:w="-267.0" w:type="dxa"/>
              <w:bottom w:w="-267.0" w:type="dxa"/>
              <w:right w:w="-267.0" w:type="dxa"/>
            </w:tcMar>
            <w:vAlign w:val="center"/>
          </w:tcPr>
          <w:p w:rsidR="00000000" w:rsidDel="00000000" w:rsidP="00000000" w:rsidRDefault="00000000" w:rsidRPr="00000000" w14:paraId="0000020D">
            <w:pPr>
              <w:widowControl w:val="0"/>
              <w:spacing w:line="276" w:lineRule="auto"/>
              <w:jc w:val="center"/>
              <w:rPr>
                <w:b w:val="1"/>
                <w:sz w:val="20"/>
                <w:szCs w:val="20"/>
              </w:rPr>
            </w:pPr>
            <w:r w:rsidDel="00000000" w:rsidR="00000000" w:rsidRPr="00000000">
              <w:rPr>
                <w:b w:val="1"/>
                <w:sz w:val="20"/>
                <w:szCs w:val="20"/>
                <w:rtl w:val="0"/>
              </w:rPr>
              <w:t xml:space="preserve">0</w:t>
            </w:r>
          </w:p>
        </w:tc>
        <w:tc>
          <w:tcPr>
            <w:tcBorders>
              <w:top w:color="000000" w:space="0" w:sz="0" w:val="nil"/>
              <w:bottom w:color="000000" w:space="0" w:sz="0" w:val="nil"/>
            </w:tcBorders>
            <w:shd w:fill="a5a5a5" w:val="clear"/>
            <w:tcMar>
              <w:top w:w="-267.0" w:type="dxa"/>
              <w:left w:w="-267.0" w:type="dxa"/>
              <w:bottom w:w="-267.0" w:type="dxa"/>
              <w:right w:w="-267.0" w:type="dxa"/>
            </w:tcMar>
            <w:vAlign w:val="center"/>
          </w:tcPr>
          <w:p w:rsidR="00000000" w:rsidDel="00000000" w:rsidP="00000000" w:rsidRDefault="00000000" w:rsidRPr="00000000" w14:paraId="0000020E">
            <w:pPr>
              <w:widowControl w:val="0"/>
              <w:spacing w:line="276" w:lineRule="auto"/>
              <w:jc w:val="center"/>
              <w:rPr>
                <w:b w:val="1"/>
                <w:sz w:val="20"/>
                <w:szCs w:val="20"/>
              </w:rPr>
            </w:pPr>
            <w:r w:rsidDel="00000000" w:rsidR="00000000" w:rsidRPr="00000000">
              <w:rPr>
                <w:b w:val="1"/>
                <w:sz w:val="20"/>
                <w:szCs w:val="20"/>
                <w:rtl w:val="0"/>
              </w:rPr>
              <w:t xml:space="preserve">1</w:t>
            </w:r>
          </w:p>
        </w:tc>
        <w:tc>
          <w:tcPr>
            <w:tcBorders>
              <w:top w:color="000000" w:space="0" w:sz="0" w:val="nil"/>
              <w:bottom w:color="000000" w:space="0" w:sz="0" w:val="nil"/>
              <w:right w:color="000000" w:space="0" w:sz="0" w:val="nil"/>
            </w:tcBorders>
            <w:shd w:fill="a5a5a5" w:val="clear"/>
            <w:tcMar>
              <w:top w:w="-267.0" w:type="dxa"/>
              <w:left w:w="-267.0" w:type="dxa"/>
              <w:bottom w:w="-267.0" w:type="dxa"/>
              <w:right w:w="-267.0" w:type="dxa"/>
            </w:tcMar>
            <w:vAlign w:val="center"/>
          </w:tcPr>
          <w:p w:rsidR="00000000" w:rsidDel="00000000" w:rsidP="00000000" w:rsidRDefault="00000000" w:rsidRPr="00000000" w14:paraId="0000020F">
            <w:pPr>
              <w:widowControl w:val="0"/>
              <w:spacing w:line="276" w:lineRule="auto"/>
              <w:jc w:val="center"/>
              <w:rPr>
                <w:b w:val="1"/>
                <w:sz w:val="20"/>
                <w:szCs w:val="20"/>
              </w:rPr>
            </w:pPr>
            <w:r w:rsidDel="00000000" w:rsidR="00000000" w:rsidRPr="00000000">
              <w:rPr>
                <w:b w:val="1"/>
                <w:sz w:val="20"/>
                <w:szCs w:val="20"/>
                <w:rtl w:val="0"/>
              </w:rPr>
              <w:t xml:space="preserve">2</w:t>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10">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1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1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14">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1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1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18">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1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1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1C">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1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1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20">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2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2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24">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2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28">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2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2C">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30">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3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34">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38">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3C">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3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40">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4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44">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47">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48">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4C">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4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50">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0" w:type="dxa"/>
              <w:left w:w="-267.0" w:type="dxa"/>
              <w:bottom w:w="-267.0" w:type="dxa"/>
              <w:right w:w="-267.0" w:type="dxa"/>
            </w:tcMar>
            <w:vAlign w:val="center"/>
          </w:tcPr>
          <w:p w:rsidR="00000000" w:rsidDel="00000000" w:rsidP="00000000" w:rsidRDefault="00000000" w:rsidRPr="00000000" w14:paraId="0000025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 w:hRule="atLeast"/>
          <w:tblHeader w:val="0"/>
        </w:trPr>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54">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0" w:type="dxa"/>
              <w:left w:w="-267.0" w:type="dxa"/>
              <w:bottom w:w="-267.0" w:type="dxa"/>
              <w:right w:w="-267.0"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0" w:type="dxa"/>
              <w:left w:w="-267.0" w:type="dxa"/>
              <w:bottom w:w="-267.0" w:type="dxa"/>
              <w:right w:w="-267.0" w:type="dxa"/>
            </w:tcMar>
            <w:vAlign w:val="center"/>
          </w:tcPr>
          <w:p w:rsidR="00000000" w:rsidDel="00000000" w:rsidP="00000000" w:rsidRDefault="00000000" w:rsidRPr="00000000" w14:paraId="00000257">
            <w:pPr>
              <w:widowControl w:val="0"/>
              <w:spacing w:line="276" w:lineRule="auto"/>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58">
      <w:pPr>
        <w:jc w:val="center"/>
        <w:rPr>
          <w:b w:val="1"/>
          <w:sz w:val="28"/>
          <w:szCs w:val="28"/>
        </w:rPr>
      </w:pPr>
      <w:r w:rsidDel="00000000" w:rsidR="00000000" w:rsidRPr="00000000">
        <w:rPr>
          <w:sz w:val="22"/>
          <w:szCs w:val="22"/>
          <w:rtl w:val="0"/>
        </w:rPr>
        <w:t xml:space="preserve">Table 10. Sample Contingency Strategy (2019)</w:t>
      </w:r>
      <w:r w:rsidDel="00000000" w:rsidR="00000000" w:rsidRPr="00000000">
        <w:rPr>
          <w:rtl w:val="0"/>
        </w:rPr>
      </w:r>
    </w:p>
    <w:p w:rsidR="00000000" w:rsidDel="00000000" w:rsidP="00000000" w:rsidRDefault="00000000" w:rsidRPr="00000000" w14:paraId="00000259">
      <w:pPr>
        <w:jc w:val="both"/>
        <w:rPr>
          <w:b w:val="1"/>
          <w:sz w:val="28"/>
          <w:szCs w:val="28"/>
        </w:rPr>
      </w:pPr>
      <w:r w:rsidDel="00000000" w:rsidR="00000000" w:rsidRPr="00000000">
        <w:rPr>
          <w:rtl w:val="0"/>
        </w:rPr>
      </w:r>
    </w:p>
    <w:p w:rsidR="00000000" w:rsidDel="00000000" w:rsidP="00000000" w:rsidRDefault="00000000" w:rsidRPr="00000000" w14:paraId="0000025A">
      <w:pPr>
        <w:jc w:val="both"/>
        <w:rPr>
          <w:b w:val="1"/>
        </w:rPr>
      </w:pPr>
      <w:r w:rsidDel="00000000" w:rsidR="00000000" w:rsidRPr="00000000">
        <w:rPr>
          <w:b w:val="1"/>
          <w:rtl w:val="0"/>
        </w:rPr>
        <w:t xml:space="preserve">Sensitivity Analysis Results and Interpretation</w:t>
      </w:r>
    </w:p>
    <w:p w:rsidR="00000000" w:rsidDel="00000000" w:rsidP="00000000" w:rsidRDefault="00000000" w:rsidRPr="00000000" w14:paraId="0000025B">
      <w:pPr>
        <w:jc w:val="both"/>
        <w:rPr/>
      </w:pPr>
      <w:r w:rsidDel="00000000" w:rsidR="00000000" w:rsidRPr="00000000">
        <w:rPr>
          <w:rtl w:val="0"/>
        </w:rPr>
        <w:t xml:space="preserve">We examine Italy's ECI Decremental and Incremental Sensitivity Charts for 2021. An increase in Highest-Complexity Products will lead to the highest change in ECI, followed by Chemicals and Chemical Manufacturing. The strong sensitivity effect of manipulating the Highest-Complexity Products category remains the same as in 2018. For the negative shock cases, Vegetables, Fruits and Plants and Chemical Manufacturing become the most impactful, a mix of old and new trends across the data emerging from the previous years. The rest of the industries do not appear to have the same level of sensitivity.</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drawing>
          <wp:inline distB="114300" distT="114300" distL="114300" distR="114300">
            <wp:extent cx="5731200" cy="2349500"/>
            <wp:effectExtent b="0" l="0" r="0" t="0"/>
            <wp:docPr id="212801865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jc w:val="center"/>
        <w:rPr>
          <w:sz w:val="22"/>
          <w:szCs w:val="22"/>
        </w:rPr>
      </w:pPr>
      <w:r w:rsidDel="00000000" w:rsidR="00000000" w:rsidRPr="00000000">
        <w:rPr>
          <w:sz w:val="22"/>
          <w:szCs w:val="22"/>
          <w:rtl w:val="0"/>
        </w:rPr>
        <w:t xml:space="preserve">Figure 6a. Incremental ECI Sensitivity for Italy (2021)</w:t>
      </w:r>
    </w:p>
    <w:p w:rsidR="00000000" w:rsidDel="00000000" w:rsidP="00000000" w:rsidRDefault="00000000" w:rsidRPr="00000000" w14:paraId="0000025F">
      <w:pPr>
        <w:jc w:val="center"/>
        <w:rPr>
          <w:sz w:val="22"/>
          <w:szCs w:val="22"/>
        </w:rPr>
      </w:pPr>
      <w:r w:rsidDel="00000000" w:rsidR="00000000" w:rsidRPr="00000000">
        <w:rPr>
          <w:sz w:val="22"/>
          <w:szCs w:val="22"/>
        </w:rPr>
        <w:drawing>
          <wp:inline distB="114300" distT="114300" distL="114300" distR="114300">
            <wp:extent cx="5731200" cy="2349500"/>
            <wp:effectExtent b="0" l="0" r="0" t="0"/>
            <wp:docPr id="2128018652"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jc w:val="center"/>
        <w:rPr/>
      </w:pPr>
      <w:r w:rsidDel="00000000" w:rsidR="00000000" w:rsidRPr="00000000">
        <w:rPr>
          <w:sz w:val="22"/>
          <w:szCs w:val="22"/>
          <w:rtl w:val="0"/>
        </w:rPr>
        <w:t xml:space="preserve">Figure 6b. Decremental ECI Sensitivity for Italy (2021)</w:t>
      </w: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Below are Italy's 2018 ECI Sensitivity Charts. In the positive chart, we notice that only High Complexity products lead to any positive gain in ECI. However, over 100% expansion in High Complexity Product export is needed to experience this gain. Italy is mildly insensitive to the majority of the other industries. </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Italy’s 2018 Negative Shock chart shows that Italy is fairly sensitive to High Complexity Products and Machinery. Italy is fairly insensitive to the majority of other industries, although there seems to be a trend of small ECI drawdowns with small decreases in exports.  </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Next, we consider Italy's 2018 Negative Shock chart. Interestingly, Italy is highly insensitive to changes in most industries suggesting that Italy has a good blend of industries that complement each other and can compensate for reductions in some of them.</w:t>
      </w:r>
    </w:p>
    <w:p w:rsidR="00000000" w:rsidDel="00000000" w:rsidP="00000000" w:rsidRDefault="00000000" w:rsidRPr="00000000" w14:paraId="00000267">
      <w:pPr>
        <w:jc w:val="both"/>
        <w:rPr>
          <w:b w:val="1"/>
        </w:rPr>
      </w:pPr>
      <w:r w:rsidDel="00000000" w:rsidR="00000000" w:rsidRPr="00000000">
        <w:rPr>
          <w:b w:val="1"/>
          <w:sz w:val="28"/>
          <w:szCs w:val="28"/>
        </w:rPr>
        <w:drawing>
          <wp:inline distB="114300" distT="114300" distL="114300" distR="114300">
            <wp:extent cx="5014913" cy="2507456"/>
            <wp:effectExtent b="0" l="0" r="0" t="0"/>
            <wp:docPr id="2128018653" name="image13.jpg"/>
            <a:graphic>
              <a:graphicData uri="http://schemas.openxmlformats.org/drawingml/2006/picture">
                <pic:pic>
                  <pic:nvPicPr>
                    <pic:cNvPr id="0" name="image13.jpg"/>
                    <pic:cNvPicPr preferRelativeResize="0"/>
                  </pic:nvPicPr>
                  <pic:blipFill>
                    <a:blip r:embed="rId35"/>
                    <a:srcRect b="0" l="0" r="0" t="0"/>
                    <a:stretch>
                      <a:fillRect/>
                    </a:stretch>
                  </pic:blipFill>
                  <pic:spPr>
                    <a:xfrm>
                      <a:off x="0" y="0"/>
                      <a:ext cx="5014913" cy="2507456"/>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jc w:val="center"/>
        <w:rPr>
          <w:i w:val="1"/>
          <w:color w:val="444499"/>
          <w:sz w:val="18"/>
          <w:szCs w:val="18"/>
        </w:rPr>
      </w:pPr>
      <w:r w:rsidDel="00000000" w:rsidR="00000000" w:rsidRPr="00000000">
        <w:rPr>
          <w:sz w:val="22"/>
          <w:szCs w:val="22"/>
          <w:rtl w:val="0"/>
        </w:rPr>
        <w:t xml:space="preserve">Figure 7a. Incremental ECI Sensitivity for Italy (2018)</w:t>
      </w:r>
      <w:r w:rsidDel="00000000" w:rsidR="00000000" w:rsidRPr="00000000">
        <w:rPr>
          <w:rtl w:val="0"/>
        </w:rPr>
      </w:r>
    </w:p>
    <w:p w:rsidR="00000000" w:rsidDel="00000000" w:rsidP="00000000" w:rsidRDefault="00000000" w:rsidRPr="00000000" w14:paraId="00000269">
      <w:pPr>
        <w:jc w:val="both"/>
        <w:rPr>
          <w:b w:val="1"/>
        </w:rPr>
      </w:pPr>
      <w:r w:rsidDel="00000000" w:rsidR="00000000" w:rsidRPr="00000000">
        <w:rPr>
          <w:rtl w:val="0"/>
        </w:rPr>
      </w:r>
    </w:p>
    <w:p w:rsidR="00000000" w:rsidDel="00000000" w:rsidP="00000000" w:rsidRDefault="00000000" w:rsidRPr="00000000" w14:paraId="0000026A">
      <w:pPr>
        <w:jc w:val="both"/>
        <w:rPr>
          <w:b w:val="1"/>
        </w:rPr>
      </w:pPr>
      <w:r w:rsidDel="00000000" w:rsidR="00000000" w:rsidRPr="00000000">
        <w:rPr>
          <w:b w:val="1"/>
          <w:sz w:val="28"/>
          <w:szCs w:val="28"/>
        </w:rPr>
        <w:drawing>
          <wp:inline distB="114300" distT="114300" distL="114300" distR="114300">
            <wp:extent cx="4953589" cy="2490788"/>
            <wp:effectExtent b="0" l="0" r="0" t="0"/>
            <wp:docPr id="2128018654" name="image14.jpg"/>
            <a:graphic>
              <a:graphicData uri="http://schemas.openxmlformats.org/drawingml/2006/picture">
                <pic:pic>
                  <pic:nvPicPr>
                    <pic:cNvPr id="0" name="image14.jpg"/>
                    <pic:cNvPicPr preferRelativeResize="0"/>
                  </pic:nvPicPr>
                  <pic:blipFill>
                    <a:blip r:embed="rId36"/>
                    <a:srcRect b="0" l="0" r="0" t="0"/>
                    <a:stretch>
                      <a:fillRect/>
                    </a:stretch>
                  </pic:blipFill>
                  <pic:spPr>
                    <a:xfrm>
                      <a:off x="0" y="0"/>
                      <a:ext cx="4953589"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center"/>
        <w:rPr>
          <w:i w:val="1"/>
          <w:color w:val="444499"/>
          <w:sz w:val="20"/>
          <w:szCs w:val="20"/>
        </w:rPr>
      </w:pPr>
      <w:r w:rsidDel="00000000" w:rsidR="00000000" w:rsidRPr="00000000">
        <w:rPr>
          <w:sz w:val="22"/>
          <w:szCs w:val="22"/>
          <w:rtl w:val="0"/>
        </w:rPr>
        <w:t xml:space="preserve">Figure 7b. Decremental ECI Sensitivity for Italy (2018)</w:t>
      </w: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Next, we consider the 2013 ECI Sensitivity graphs (Figures 8a and 8b). We see that in the positive shocking case, we have a similar sensitivity profile to the 2018 graph. Most industries give either little or no benefit to ECI. However, High Complexity Products offer significant increases in ECI.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In the 2013 negative shocking case, we see that Italy is once again fairly sensitive to High Complexity Products as well as Machinery. Other industries lead to small ECI gains after around 30% decreases in export values. </w:t>
      </w:r>
    </w:p>
    <w:p w:rsidR="00000000" w:rsidDel="00000000" w:rsidP="00000000" w:rsidRDefault="00000000" w:rsidRPr="00000000" w14:paraId="00000270">
      <w:pPr>
        <w:rPr>
          <w:b w:val="1"/>
        </w:rPr>
      </w:pPr>
      <w:r w:rsidDel="00000000" w:rsidR="00000000" w:rsidRPr="00000000">
        <w:rPr>
          <w:b w:val="1"/>
          <w:sz w:val="28"/>
          <w:szCs w:val="28"/>
        </w:rPr>
        <w:drawing>
          <wp:inline distB="114300" distT="114300" distL="114300" distR="114300">
            <wp:extent cx="4976551" cy="2643188"/>
            <wp:effectExtent b="0" l="0" r="0" t="0"/>
            <wp:docPr id="2128018655" name="image11.jpg"/>
            <a:graphic>
              <a:graphicData uri="http://schemas.openxmlformats.org/drawingml/2006/picture">
                <pic:pic>
                  <pic:nvPicPr>
                    <pic:cNvPr id="0" name="image11.jpg"/>
                    <pic:cNvPicPr preferRelativeResize="0"/>
                  </pic:nvPicPr>
                  <pic:blipFill>
                    <a:blip r:embed="rId37"/>
                    <a:srcRect b="0" l="0" r="0" t="0"/>
                    <a:stretch>
                      <a:fillRect/>
                    </a:stretch>
                  </pic:blipFill>
                  <pic:spPr>
                    <a:xfrm>
                      <a:off x="0" y="0"/>
                      <a:ext cx="4976551"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jc w:val="center"/>
        <w:rPr/>
      </w:pPr>
      <w:r w:rsidDel="00000000" w:rsidR="00000000" w:rsidRPr="00000000">
        <w:rPr>
          <w:sz w:val="22"/>
          <w:szCs w:val="22"/>
          <w:rtl w:val="0"/>
        </w:rPr>
        <w:t xml:space="preserve">Figure 8a. Incremental ECI Sensitivity for Italy (2013)</w:t>
      </w: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both"/>
        <w:rPr>
          <w:b w:val="1"/>
        </w:rPr>
      </w:pPr>
      <w:r w:rsidDel="00000000" w:rsidR="00000000" w:rsidRPr="00000000">
        <w:rPr>
          <w:b w:val="1"/>
          <w:sz w:val="28"/>
          <w:szCs w:val="28"/>
        </w:rPr>
        <w:drawing>
          <wp:inline distB="114300" distT="114300" distL="114300" distR="114300">
            <wp:extent cx="4967415" cy="2566988"/>
            <wp:effectExtent b="0" l="0" r="0" t="0"/>
            <wp:docPr id="2128018656"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4967415"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jc w:val="center"/>
        <w:rPr/>
      </w:pPr>
      <w:r w:rsidDel="00000000" w:rsidR="00000000" w:rsidRPr="00000000">
        <w:rPr>
          <w:sz w:val="22"/>
          <w:szCs w:val="22"/>
          <w:rtl w:val="0"/>
        </w:rPr>
        <w:t xml:space="preserve">Figure 8b. Decremental ECI Sensitivity for Italy (2013)</w:t>
      </w: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Decreasing the export of each industry in Italy’s current production space by 60% respectively, we derive the contingency strategy shown below.  Below we see the SDV sensitivity charts for High Complexity Products. We see that large increases in the export of High Complexity Products make room for other industries to shift into positive opportunity gain territory. A 130% increase in export leads to 2 new industries that offer positive opportunity gain: Chemicals, Services and Utilities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Considering the Negative SDV sensitivity chart, we observe that as the export of High Complexity products decreases, a few other industries become attractive with positive opportunity gains, namely Transportation, Services and Utilities, and Chemicals. </w:t>
      </w:r>
    </w:p>
    <w:p w:rsidR="00000000" w:rsidDel="00000000" w:rsidP="00000000" w:rsidRDefault="00000000" w:rsidRPr="00000000" w14:paraId="00000279">
      <w:pPr>
        <w:rPr>
          <w:b w:val="1"/>
        </w:rPr>
      </w:pPr>
      <w:r w:rsidDel="00000000" w:rsidR="00000000" w:rsidRPr="00000000">
        <w:rPr>
          <w:rtl w:val="0"/>
        </w:rPr>
      </w:r>
    </w:p>
    <w:p w:rsidR="00000000" w:rsidDel="00000000" w:rsidP="00000000" w:rsidRDefault="00000000" w:rsidRPr="00000000" w14:paraId="0000027A">
      <w:pPr>
        <w:rPr>
          <w:b w:val="1"/>
        </w:rPr>
      </w:pPr>
      <w:r w:rsidDel="00000000" w:rsidR="00000000" w:rsidRPr="00000000">
        <w:rPr>
          <w:b w:val="1"/>
          <w:sz w:val="28"/>
          <w:szCs w:val="28"/>
        </w:rPr>
        <w:drawing>
          <wp:inline distB="114300" distT="114300" distL="114300" distR="114300">
            <wp:extent cx="5727700" cy="1480880"/>
            <wp:effectExtent b="0" l="0" r="0" t="0"/>
            <wp:docPr id="2128018665" name="image16.jpg"/>
            <a:graphic>
              <a:graphicData uri="http://schemas.openxmlformats.org/drawingml/2006/picture">
                <pic:pic>
                  <pic:nvPicPr>
                    <pic:cNvPr id="0" name="image16.jpg"/>
                    <pic:cNvPicPr preferRelativeResize="0"/>
                  </pic:nvPicPr>
                  <pic:blipFill>
                    <a:blip r:embed="rId39"/>
                    <a:srcRect b="0" l="0" r="0" t="0"/>
                    <a:stretch>
                      <a:fillRect/>
                    </a:stretch>
                  </pic:blipFill>
                  <pic:spPr>
                    <a:xfrm>
                      <a:off x="0" y="0"/>
                      <a:ext cx="5727700" cy="148088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center"/>
        <w:rPr/>
      </w:pPr>
      <w:r w:rsidDel="00000000" w:rsidR="00000000" w:rsidRPr="00000000">
        <w:rPr>
          <w:sz w:val="22"/>
          <w:szCs w:val="22"/>
          <w:rtl w:val="0"/>
        </w:rPr>
        <w:t xml:space="preserve">Table 11a. Italy’s Incremental SDV Sensitivities for High-Complexity Products (2018) </w:t>
      </w:r>
      <w:r w:rsidDel="00000000" w:rsidR="00000000" w:rsidRPr="00000000">
        <w:rPr>
          <w:rtl w:val="0"/>
        </w:rPr>
      </w:r>
    </w:p>
    <w:p w:rsidR="00000000" w:rsidDel="00000000" w:rsidP="00000000" w:rsidRDefault="00000000" w:rsidRPr="00000000" w14:paraId="0000027C">
      <w:pPr>
        <w:ind w:left="720" w:firstLine="720"/>
        <w:jc w:val="center"/>
        <w:rPr>
          <w:sz w:val="22"/>
          <w:szCs w:val="22"/>
        </w:rPr>
      </w:pPr>
      <w:r w:rsidDel="00000000" w:rsidR="00000000" w:rsidRPr="00000000">
        <w:rPr>
          <w:rtl w:val="0"/>
        </w:rPr>
      </w:r>
    </w:p>
    <w:p w:rsidR="00000000" w:rsidDel="00000000" w:rsidP="00000000" w:rsidRDefault="00000000" w:rsidRPr="00000000" w14:paraId="0000027D">
      <w:pPr>
        <w:ind w:left="720" w:firstLine="720"/>
        <w:rPr/>
      </w:pPr>
      <w:r w:rsidDel="00000000" w:rsidR="00000000" w:rsidRPr="00000000">
        <w:rPr>
          <w:rtl w:val="0"/>
        </w:rPr>
      </w:r>
    </w:p>
    <w:p w:rsidR="00000000" w:rsidDel="00000000" w:rsidP="00000000" w:rsidRDefault="00000000" w:rsidRPr="00000000" w14:paraId="0000027E">
      <w:pPr>
        <w:rPr>
          <w:b w:val="1"/>
        </w:rPr>
      </w:pPr>
      <w:r w:rsidDel="00000000" w:rsidR="00000000" w:rsidRPr="00000000">
        <w:rPr>
          <w:rtl w:val="0"/>
        </w:rPr>
      </w:r>
    </w:p>
    <w:p w:rsidR="00000000" w:rsidDel="00000000" w:rsidP="00000000" w:rsidRDefault="00000000" w:rsidRPr="00000000" w14:paraId="0000027F">
      <w:pPr>
        <w:jc w:val="center"/>
        <w:rPr>
          <w:b w:val="1"/>
        </w:rPr>
      </w:pPr>
      <w:r w:rsidDel="00000000" w:rsidR="00000000" w:rsidRPr="00000000">
        <w:rPr>
          <w:b w:val="1"/>
          <w:sz w:val="28"/>
          <w:szCs w:val="28"/>
        </w:rPr>
        <w:drawing>
          <wp:inline distB="114300" distT="114300" distL="114300" distR="114300">
            <wp:extent cx="3849832" cy="2443163"/>
            <wp:effectExtent b="0" l="0" r="0" t="0"/>
            <wp:docPr id="2128018667" name="image28.jpg"/>
            <a:graphic>
              <a:graphicData uri="http://schemas.openxmlformats.org/drawingml/2006/picture">
                <pic:pic>
                  <pic:nvPicPr>
                    <pic:cNvPr id="0" name="image28.jpg"/>
                    <pic:cNvPicPr preferRelativeResize="0"/>
                  </pic:nvPicPr>
                  <pic:blipFill>
                    <a:blip r:embed="rId40"/>
                    <a:srcRect b="0" l="0" r="0" t="0"/>
                    <a:stretch>
                      <a:fillRect/>
                    </a:stretch>
                  </pic:blipFill>
                  <pic:spPr>
                    <a:xfrm>
                      <a:off x="0" y="0"/>
                      <a:ext cx="3849832"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center"/>
        <w:rPr/>
      </w:pPr>
      <w:r w:rsidDel="00000000" w:rsidR="00000000" w:rsidRPr="00000000">
        <w:rPr>
          <w:sz w:val="22"/>
          <w:szCs w:val="22"/>
          <w:rtl w:val="0"/>
        </w:rPr>
        <w:t xml:space="preserve">Table 11b. Italy’s Decremental SDV Sensitivities for High-Complexity Products (2018) </w:t>
      </w: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Below we see the SDV sensitivity charts for Food and Preparations. As expected, Italy is not very sensitive in both the positive shocking and negative shocking case to Food and Preparations. The country's SDV is largely unaffected by this particular industry. </w:t>
      </w:r>
    </w:p>
    <w:p w:rsidR="00000000" w:rsidDel="00000000" w:rsidP="00000000" w:rsidRDefault="00000000" w:rsidRPr="00000000" w14:paraId="00000283">
      <w:pPr>
        <w:jc w:val="both"/>
        <w:rPr>
          <w:b w:val="1"/>
          <w:sz w:val="28"/>
          <w:szCs w:val="28"/>
        </w:rPr>
      </w:pPr>
      <w:r w:rsidDel="00000000" w:rsidR="00000000" w:rsidRPr="00000000">
        <w:rPr>
          <w:rtl w:val="0"/>
        </w:rPr>
      </w:r>
    </w:p>
    <w:p w:rsidR="00000000" w:rsidDel="00000000" w:rsidP="00000000" w:rsidRDefault="00000000" w:rsidRPr="00000000" w14:paraId="00000284">
      <w:pPr>
        <w:jc w:val="center"/>
        <w:rPr>
          <w:b w:val="1"/>
          <w:sz w:val="28"/>
          <w:szCs w:val="28"/>
        </w:rPr>
      </w:pPr>
      <w:r w:rsidDel="00000000" w:rsidR="00000000" w:rsidRPr="00000000">
        <w:rPr>
          <w:b w:val="1"/>
          <w:sz w:val="28"/>
          <w:szCs w:val="28"/>
        </w:rPr>
        <w:drawing>
          <wp:inline distB="114300" distT="114300" distL="114300" distR="114300">
            <wp:extent cx="3573152" cy="2433638"/>
            <wp:effectExtent b="0" l="0" r="0" t="0"/>
            <wp:docPr id="2128018670" name="image30.jpg"/>
            <a:graphic>
              <a:graphicData uri="http://schemas.openxmlformats.org/drawingml/2006/picture">
                <pic:pic>
                  <pic:nvPicPr>
                    <pic:cNvPr id="0" name="image30.jpg"/>
                    <pic:cNvPicPr preferRelativeResize="0"/>
                  </pic:nvPicPr>
                  <pic:blipFill>
                    <a:blip r:embed="rId41"/>
                    <a:srcRect b="0" l="0" r="0" t="0"/>
                    <a:stretch>
                      <a:fillRect/>
                    </a:stretch>
                  </pic:blipFill>
                  <pic:spPr>
                    <a:xfrm>
                      <a:off x="0" y="0"/>
                      <a:ext cx="3573152"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jc w:val="center"/>
        <w:rPr>
          <w:sz w:val="22"/>
          <w:szCs w:val="22"/>
        </w:rPr>
      </w:pPr>
      <w:r w:rsidDel="00000000" w:rsidR="00000000" w:rsidRPr="00000000">
        <w:rPr>
          <w:sz w:val="22"/>
          <w:szCs w:val="22"/>
          <w:rtl w:val="0"/>
        </w:rPr>
        <w:t xml:space="preserve">Table 12a. Italy’s SDV Decremental Sensitivities for </w:t>
      </w:r>
      <w:r w:rsidDel="00000000" w:rsidR="00000000" w:rsidRPr="00000000">
        <w:rPr>
          <w:rtl w:val="0"/>
        </w:rPr>
        <w:t xml:space="preserve">Food and Preparations</w:t>
      </w:r>
      <w:r w:rsidDel="00000000" w:rsidR="00000000" w:rsidRPr="00000000">
        <w:rPr>
          <w:sz w:val="22"/>
          <w:szCs w:val="22"/>
          <w:rtl w:val="0"/>
        </w:rPr>
        <w:t xml:space="preserve"> (2018)</w:t>
      </w:r>
    </w:p>
    <w:p w:rsidR="00000000" w:rsidDel="00000000" w:rsidP="00000000" w:rsidRDefault="00000000" w:rsidRPr="00000000" w14:paraId="00000286">
      <w:pPr>
        <w:jc w:val="center"/>
        <w:rPr>
          <w:b w:val="1"/>
          <w:sz w:val="28"/>
          <w:szCs w:val="28"/>
        </w:rPr>
      </w:pPr>
      <w:r w:rsidDel="00000000" w:rsidR="00000000" w:rsidRPr="00000000">
        <w:rPr>
          <w:rtl w:val="0"/>
        </w:rPr>
      </w:r>
    </w:p>
    <w:p w:rsidR="00000000" w:rsidDel="00000000" w:rsidP="00000000" w:rsidRDefault="00000000" w:rsidRPr="00000000" w14:paraId="00000287">
      <w:pPr>
        <w:jc w:val="both"/>
        <w:rPr>
          <w:b w:val="1"/>
        </w:rPr>
      </w:pPr>
      <w:r w:rsidDel="00000000" w:rsidR="00000000" w:rsidRPr="00000000">
        <w:rPr>
          <w:rtl w:val="0"/>
        </w:rPr>
      </w:r>
    </w:p>
    <w:p w:rsidR="00000000" w:rsidDel="00000000" w:rsidP="00000000" w:rsidRDefault="00000000" w:rsidRPr="00000000" w14:paraId="00000288">
      <w:pPr>
        <w:jc w:val="center"/>
        <w:rPr>
          <w:b w:val="1"/>
          <w:sz w:val="28"/>
          <w:szCs w:val="28"/>
        </w:rPr>
      </w:pPr>
      <w:r w:rsidDel="00000000" w:rsidR="00000000" w:rsidRPr="00000000">
        <w:rPr>
          <w:b w:val="1"/>
          <w:sz w:val="28"/>
          <w:szCs w:val="28"/>
        </w:rPr>
        <w:drawing>
          <wp:inline distB="114300" distT="114300" distL="114300" distR="114300">
            <wp:extent cx="2801679" cy="2509838"/>
            <wp:effectExtent b="0" l="0" r="0" t="0"/>
            <wp:docPr id="2128018672" name="image25.jpg"/>
            <a:graphic>
              <a:graphicData uri="http://schemas.openxmlformats.org/drawingml/2006/picture">
                <pic:pic>
                  <pic:nvPicPr>
                    <pic:cNvPr id="0" name="image25.jpg"/>
                    <pic:cNvPicPr preferRelativeResize="0"/>
                  </pic:nvPicPr>
                  <pic:blipFill>
                    <a:blip r:embed="rId42"/>
                    <a:srcRect b="0" l="0" r="0" t="0"/>
                    <a:stretch>
                      <a:fillRect/>
                    </a:stretch>
                  </pic:blipFill>
                  <pic:spPr>
                    <a:xfrm>
                      <a:off x="0" y="0"/>
                      <a:ext cx="2801679"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jc w:val="center"/>
        <w:rPr>
          <w:sz w:val="22"/>
          <w:szCs w:val="22"/>
        </w:rPr>
      </w:pPr>
      <w:r w:rsidDel="00000000" w:rsidR="00000000" w:rsidRPr="00000000">
        <w:rPr>
          <w:sz w:val="22"/>
          <w:szCs w:val="22"/>
          <w:rtl w:val="0"/>
        </w:rPr>
        <w:t xml:space="preserve">Table 12b. Italy’s SDV Incremental Sensitivities for </w:t>
      </w:r>
      <w:r w:rsidDel="00000000" w:rsidR="00000000" w:rsidRPr="00000000">
        <w:rPr>
          <w:rtl w:val="0"/>
        </w:rPr>
        <w:t xml:space="preserve">Food and Preparations</w:t>
      </w:r>
      <w:r w:rsidDel="00000000" w:rsidR="00000000" w:rsidRPr="00000000">
        <w:rPr>
          <w:sz w:val="22"/>
          <w:szCs w:val="22"/>
          <w:rtl w:val="0"/>
        </w:rPr>
        <w:t xml:space="preserve"> (2018)</w:t>
      </w:r>
    </w:p>
    <w:p w:rsidR="00000000" w:rsidDel="00000000" w:rsidP="00000000" w:rsidRDefault="00000000" w:rsidRPr="00000000" w14:paraId="0000028A">
      <w:pPr>
        <w:jc w:val="center"/>
        <w:rPr>
          <w:sz w:val="22"/>
          <w:szCs w:val="22"/>
        </w:rPr>
      </w:pPr>
      <w:r w:rsidDel="00000000" w:rsidR="00000000" w:rsidRPr="00000000">
        <w:rPr>
          <w:rtl w:val="0"/>
        </w:rPr>
      </w:r>
    </w:p>
    <w:p w:rsidR="00000000" w:rsidDel="00000000" w:rsidP="00000000" w:rsidRDefault="00000000" w:rsidRPr="00000000" w14:paraId="0000028B">
      <w:pPr>
        <w:jc w:val="both"/>
        <w:rPr>
          <w:b w:val="1"/>
        </w:rPr>
      </w:pPr>
      <w:r w:rsidDel="00000000" w:rsidR="00000000" w:rsidRPr="00000000">
        <w:rPr>
          <w:rtl w:val="0"/>
        </w:rPr>
      </w:r>
    </w:p>
    <w:p w:rsidR="00000000" w:rsidDel="00000000" w:rsidP="00000000" w:rsidRDefault="00000000" w:rsidRPr="00000000" w14:paraId="0000028C">
      <w:pPr>
        <w:jc w:val="both"/>
        <w:rPr>
          <w:b w:val="1"/>
        </w:rPr>
      </w:pPr>
      <w:r w:rsidDel="00000000" w:rsidR="00000000" w:rsidRPr="00000000">
        <w:rPr>
          <w:rtl w:val="0"/>
        </w:rPr>
      </w:r>
    </w:p>
    <w:p w:rsidR="00000000" w:rsidDel="00000000" w:rsidP="00000000" w:rsidRDefault="00000000" w:rsidRPr="00000000" w14:paraId="0000028D">
      <w:pPr>
        <w:rPr>
          <w:rFonts w:ascii="Times" w:cs="Times" w:eastAsia="Times" w:hAnsi="Time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8E">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5. Macro-level Predictions</w:t>
      </w:r>
    </w:p>
    <w:p w:rsidR="00000000" w:rsidDel="00000000" w:rsidP="00000000" w:rsidRDefault="00000000" w:rsidRPr="00000000" w14:paraId="0000028F">
      <w:pPr>
        <w:jc w:val="both"/>
        <w:rPr>
          <w:b w:val="1"/>
        </w:rPr>
      </w:pPr>
      <w:r w:rsidDel="00000000" w:rsidR="00000000" w:rsidRPr="00000000">
        <w:rPr>
          <w:rtl w:val="0"/>
        </w:rPr>
      </w:r>
    </w:p>
    <w:p w:rsidR="00000000" w:rsidDel="00000000" w:rsidP="00000000" w:rsidRDefault="00000000" w:rsidRPr="00000000" w14:paraId="00000290">
      <w:pPr>
        <w:jc w:val="both"/>
        <w:rPr>
          <w:b w:val="1"/>
        </w:rPr>
      </w:pPr>
      <w:r w:rsidDel="00000000" w:rsidR="00000000" w:rsidRPr="00000000">
        <w:rPr>
          <w:b w:val="1"/>
          <w:rtl w:val="0"/>
        </w:rPr>
        <w:t xml:space="preserve">5.1 Structural Optimality Index</w:t>
      </w:r>
    </w:p>
    <w:p w:rsidR="00000000" w:rsidDel="00000000" w:rsidP="00000000" w:rsidRDefault="00000000" w:rsidRPr="00000000" w14:paraId="00000291">
      <w:pPr>
        <w:jc w:val="both"/>
        <w:rPr/>
      </w:pPr>
      <w:r w:rsidDel="00000000" w:rsidR="00000000" w:rsidRPr="00000000">
        <w:rPr>
          <w:rtl w:val="0"/>
        </w:rPr>
        <w:t xml:space="preserve">ECI sensitivity described in the section before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1.68% level and achieving an adjusted R</w:t>
      </w:r>
      <w:r w:rsidDel="00000000" w:rsidR="00000000" w:rsidRPr="00000000">
        <w:rPr>
          <w:vertAlign w:val="superscript"/>
          <w:rtl w:val="0"/>
        </w:rPr>
        <w:t xml:space="preserve">2</w:t>
      </w:r>
      <w:r w:rsidDel="00000000" w:rsidR="00000000" w:rsidRPr="00000000">
        <w:rPr>
          <w:rtl w:val="0"/>
        </w:rPr>
        <w:t xml:space="preserve"> of 0.27. In other words, the more a country develops as suggested by calculations on a complexity level, the better economic outcomes it achieves. </w:t>
      </w:r>
    </w:p>
    <w:p w:rsidR="00000000" w:rsidDel="00000000" w:rsidP="00000000" w:rsidRDefault="00000000" w:rsidRPr="00000000" w14:paraId="00000294">
      <w:pPr>
        <w:jc w:val="both"/>
        <w:rPr/>
      </w:pPr>
      <w:r w:rsidDel="00000000" w:rsidR="00000000" w:rsidRPr="00000000">
        <w:rPr>
          <w:rtl w:val="0"/>
        </w:rPr>
      </w:r>
    </w:p>
    <w:tbl>
      <w:tblPr>
        <w:tblStyle w:val="Table12"/>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 w:hRule="atLeast"/>
          <w:tblHeader w:val="0"/>
        </w:trPr>
        <w:tc>
          <w:tcPr>
            <w:gridSpan w:val="2"/>
            <w:shd w:fill="auto" w:val="clear"/>
            <w:tcMar>
              <w:top w:w="-44.0" w:type="dxa"/>
              <w:left w:w="-44.0" w:type="dxa"/>
              <w:bottom w:w="-44.0" w:type="dxa"/>
              <w:right w:w="-44.0" w:type="dxa"/>
            </w:tcMar>
            <w:vAlign w:val="center"/>
          </w:tcPr>
          <w:p w:rsidR="00000000" w:rsidDel="00000000" w:rsidP="00000000" w:rsidRDefault="00000000" w:rsidRPr="00000000" w14:paraId="00000295">
            <w:pPr>
              <w:widowControl w:val="0"/>
              <w:ind w:left="90" w:firstLine="0"/>
              <w:jc w:val="center"/>
              <w:rPr>
                <w:b w:val="1"/>
                <w:sz w:val="20"/>
                <w:szCs w:val="20"/>
              </w:rPr>
            </w:pPr>
            <w:r w:rsidDel="00000000" w:rsidR="00000000" w:rsidRPr="00000000">
              <w:rPr>
                <w:b w:val="1"/>
                <w:sz w:val="20"/>
                <w:szCs w:val="20"/>
                <w:rtl w:val="0"/>
              </w:rPr>
              <w:t xml:space="preserve">Table 14: OLS Regression Results</w:t>
            </w:r>
          </w:p>
        </w:tc>
      </w:tr>
      <w:tr>
        <w:trPr>
          <w:cantSplit w:val="0"/>
          <w:trHeight w:val="335" w:hRule="atLeast"/>
          <w:tblHeader w:val="0"/>
        </w:trPr>
        <w:tc>
          <w:tcPr>
            <w:shd w:fill="auto" w:val="clear"/>
            <w:tcMar>
              <w:top w:w="-44.0" w:type="dxa"/>
              <w:left w:w="-44.0" w:type="dxa"/>
              <w:bottom w:w="-44.0" w:type="dxa"/>
              <w:right w:w="-44.0" w:type="dxa"/>
            </w:tcMar>
            <w:vAlign w:val="center"/>
          </w:tcPr>
          <w:p w:rsidR="00000000" w:rsidDel="00000000" w:rsidP="00000000" w:rsidRDefault="00000000" w:rsidRPr="00000000" w14:paraId="00000297">
            <w:pPr>
              <w:widowControl w:val="0"/>
              <w:ind w:left="90" w:firstLine="0"/>
              <w:rPr>
                <w:sz w:val="20"/>
                <w:szCs w:val="20"/>
              </w:rPr>
            </w:pPr>
            <w:r w:rsidDel="00000000" w:rsidR="00000000" w:rsidRPr="00000000">
              <w:rPr>
                <w:b w:val="1"/>
                <w:sz w:val="20"/>
                <w:szCs w:val="20"/>
                <w:rtl w:val="0"/>
              </w:rPr>
              <w:t xml:space="preserve">Dep. Variable: </w:t>
            </w:r>
            <w:r w:rsidDel="00000000" w:rsidR="00000000" w:rsidRPr="00000000">
              <w:rPr>
                <w:sz w:val="20"/>
                <w:szCs w:val="20"/>
                <w:rtl w:val="0"/>
              </w:rPr>
              <w:t xml:space="preserve">GDP</w:t>
            </w:r>
          </w:p>
        </w:tc>
        <w:tc>
          <w:tcPr>
            <w:shd w:fill="auto" w:val="clear"/>
            <w:tcMar>
              <w:top w:w="-44.0" w:type="dxa"/>
              <w:left w:w="-44.0" w:type="dxa"/>
              <w:bottom w:w="-44.0" w:type="dxa"/>
              <w:right w:w="-44.0" w:type="dxa"/>
            </w:tcMar>
            <w:vAlign w:val="center"/>
          </w:tcPr>
          <w:p w:rsidR="00000000" w:rsidDel="00000000" w:rsidP="00000000" w:rsidRDefault="00000000" w:rsidRPr="00000000" w14:paraId="00000298">
            <w:pPr>
              <w:widowControl w:val="0"/>
              <w:ind w:left="90" w:firstLine="0"/>
              <w:rPr>
                <w:sz w:val="20"/>
                <w:szCs w:val="20"/>
              </w:rPr>
            </w:pPr>
            <w:r w:rsidDel="00000000" w:rsidR="00000000" w:rsidRPr="00000000">
              <w:rPr>
                <w:b w:val="1"/>
                <w:sz w:val="20"/>
                <w:szCs w:val="20"/>
                <w:rtl w:val="0"/>
              </w:rPr>
              <w:t xml:space="preserve">F-Statistic: </w:t>
            </w:r>
            <w:r w:rsidDel="00000000" w:rsidR="00000000" w:rsidRPr="00000000">
              <w:rPr>
                <w:sz w:val="20"/>
                <w:szCs w:val="20"/>
                <w:rtl w:val="0"/>
              </w:rPr>
              <w:t xml:space="preserve">5.963</w:t>
            </w:r>
          </w:p>
        </w:tc>
      </w:tr>
      <w:tr>
        <w:trPr>
          <w:cantSplit w:val="0"/>
          <w:trHeight w:val="335" w:hRule="atLeast"/>
          <w:tblHeader w:val="0"/>
        </w:trPr>
        <w:tc>
          <w:tcPr>
            <w:shd w:fill="auto" w:val="clear"/>
            <w:tcMar>
              <w:top w:w="-44.0" w:type="dxa"/>
              <w:left w:w="-44.0" w:type="dxa"/>
              <w:bottom w:w="-44.0" w:type="dxa"/>
              <w:right w:w="-44.0" w:type="dxa"/>
            </w:tcMar>
            <w:vAlign w:val="center"/>
          </w:tcPr>
          <w:p w:rsidR="00000000" w:rsidDel="00000000" w:rsidP="00000000" w:rsidRDefault="00000000" w:rsidRPr="00000000" w14:paraId="00000299">
            <w:pPr>
              <w:widowControl w:val="0"/>
              <w:ind w:left="90" w:firstLine="0"/>
              <w:rPr>
                <w:sz w:val="20"/>
                <w:szCs w:val="20"/>
              </w:rPr>
            </w:pPr>
            <w:r w:rsidDel="00000000" w:rsidR="00000000" w:rsidRPr="00000000">
              <w:rPr>
                <w:b w:val="1"/>
                <w:sz w:val="20"/>
                <w:szCs w:val="20"/>
                <w:rtl w:val="0"/>
              </w:rPr>
              <w:t xml:space="preserve">R</w:t>
            </w:r>
            <w:r w:rsidDel="00000000" w:rsidR="00000000" w:rsidRPr="00000000">
              <w:rPr>
                <w:b w:val="1"/>
                <w:sz w:val="20"/>
                <w:szCs w:val="20"/>
                <w:vertAlign w:val="superscript"/>
                <w:rtl w:val="0"/>
              </w:rPr>
              <w:t xml:space="preserve">2</w:t>
            </w:r>
            <w:r w:rsidDel="00000000" w:rsidR="00000000" w:rsidRPr="00000000">
              <w:rPr>
                <w:b w:val="1"/>
                <w:sz w:val="20"/>
                <w:szCs w:val="20"/>
                <w:rtl w:val="0"/>
              </w:rPr>
              <w:t xml:space="preserve">: </w:t>
            </w:r>
            <w:r w:rsidDel="00000000" w:rsidR="00000000" w:rsidRPr="00000000">
              <w:rPr>
                <w:sz w:val="20"/>
                <w:szCs w:val="20"/>
                <w:rtl w:val="0"/>
              </w:rPr>
              <w:t xml:space="preserve">0.054</w:t>
            </w:r>
          </w:p>
        </w:tc>
        <w:tc>
          <w:tcPr>
            <w:shd w:fill="auto" w:val="clear"/>
            <w:tcMar>
              <w:top w:w="-44.0" w:type="dxa"/>
              <w:left w:w="-44.0" w:type="dxa"/>
              <w:bottom w:w="-44.0" w:type="dxa"/>
              <w:right w:w="-44.0" w:type="dxa"/>
            </w:tcMar>
            <w:vAlign w:val="center"/>
          </w:tcPr>
          <w:p w:rsidR="00000000" w:rsidDel="00000000" w:rsidP="00000000" w:rsidRDefault="00000000" w:rsidRPr="00000000" w14:paraId="0000029A">
            <w:pPr>
              <w:widowControl w:val="0"/>
              <w:ind w:left="90" w:firstLine="0"/>
              <w:rPr>
                <w:sz w:val="20"/>
                <w:szCs w:val="20"/>
              </w:rPr>
            </w:pPr>
            <w:r w:rsidDel="00000000" w:rsidR="00000000" w:rsidRPr="00000000">
              <w:rPr>
                <w:b w:val="1"/>
                <w:sz w:val="20"/>
                <w:szCs w:val="20"/>
                <w:rtl w:val="0"/>
              </w:rPr>
              <w:t xml:space="preserve">Prob (F-Stat):</w:t>
            </w:r>
            <w:r w:rsidDel="00000000" w:rsidR="00000000" w:rsidRPr="00000000">
              <w:rPr>
                <w:sz w:val="20"/>
                <w:szCs w:val="20"/>
                <w:rtl w:val="0"/>
              </w:rPr>
              <w:t xml:space="preserve"> 0.0163</w:t>
            </w:r>
          </w:p>
        </w:tc>
      </w:tr>
      <w:tr>
        <w:trPr>
          <w:cantSplit w:val="0"/>
          <w:trHeight w:val="335" w:hRule="atLeast"/>
          <w:tblHeader w:val="0"/>
        </w:trPr>
        <w:tc>
          <w:tcPr>
            <w:shd w:fill="auto" w:val="clear"/>
            <w:tcMar>
              <w:top w:w="-44.0" w:type="dxa"/>
              <w:left w:w="-44.0" w:type="dxa"/>
              <w:bottom w:w="-44.0" w:type="dxa"/>
              <w:right w:w="-44.0" w:type="dxa"/>
            </w:tcMar>
            <w:vAlign w:val="center"/>
          </w:tcPr>
          <w:p w:rsidR="00000000" w:rsidDel="00000000" w:rsidP="00000000" w:rsidRDefault="00000000" w:rsidRPr="00000000" w14:paraId="0000029B">
            <w:pPr>
              <w:widowControl w:val="0"/>
              <w:ind w:left="90" w:firstLine="0"/>
              <w:rPr>
                <w:sz w:val="20"/>
                <w:szCs w:val="20"/>
              </w:rPr>
            </w:pPr>
            <w:r w:rsidDel="00000000" w:rsidR="00000000" w:rsidRPr="00000000">
              <w:rPr>
                <w:b w:val="1"/>
                <w:sz w:val="20"/>
                <w:szCs w:val="20"/>
                <w:rtl w:val="0"/>
              </w:rPr>
              <w:t xml:space="preserve">Adj R</w:t>
            </w:r>
            <w:r w:rsidDel="00000000" w:rsidR="00000000" w:rsidRPr="00000000">
              <w:rPr>
                <w:b w:val="1"/>
                <w:sz w:val="20"/>
                <w:szCs w:val="20"/>
                <w:vertAlign w:val="superscript"/>
                <w:rtl w:val="0"/>
              </w:rPr>
              <w:t xml:space="preserve">2</w:t>
            </w:r>
            <w:r w:rsidDel="00000000" w:rsidR="00000000" w:rsidRPr="00000000">
              <w:rPr>
                <w:b w:val="1"/>
                <w:sz w:val="20"/>
                <w:szCs w:val="20"/>
                <w:rtl w:val="0"/>
              </w:rPr>
              <w:t xml:space="preserve">: </w:t>
            </w:r>
            <w:r w:rsidDel="00000000" w:rsidR="00000000" w:rsidRPr="00000000">
              <w:rPr>
                <w:sz w:val="20"/>
                <w:szCs w:val="20"/>
                <w:rtl w:val="0"/>
              </w:rPr>
              <w:t xml:space="preserve">0.045</w:t>
            </w:r>
          </w:p>
        </w:tc>
        <w:tc>
          <w:tcPr>
            <w:shd w:fill="auto" w:val="clear"/>
            <w:tcMar>
              <w:top w:w="-44.0" w:type="dxa"/>
              <w:left w:w="-44.0" w:type="dxa"/>
              <w:bottom w:w="-44.0" w:type="dxa"/>
              <w:right w:w="-44.0" w:type="dxa"/>
            </w:tcMar>
            <w:vAlign w:val="center"/>
          </w:tcPr>
          <w:p w:rsidR="00000000" w:rsidDel="00000000" w:rsidP="00000000" w:rsidRDefault="00000000" w:rsidRPr="00000000" w14:paraId="0000029C">
            <w:pPr>
              <w:widowControl w:val="0"/>
              <w:ind w:left="90" w:firstLine="0"/>
              <w:rPr>
                <w:sz w:val="20"/>
                <w:szCs w:val="20"/>
              </w:rPr>
            </w:pPr>
            <w:r w:rsidDel="00000000" w:rsidR="00000000" w:rsidRPr="00000000">
              <w:rPr>
                <w:b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jc w:val="center"/>
        <w:rPr>
          <w:sz w:val="22"/>
          <w:szCs w:val="22"/>
        </w:rPr>
      </w:pPr>
      <w:r w:rsidDel="00000000" w:rsidR="00000000" w:rsidRPr="00000000">
        <w:rPr>
          <w:sz w:val="22"/>
          <w:szCs w:val="22"/>
          <w:rtl w:val="0"/>
        </w:rPr>
        <w:t xml:space="preserve">Figure 9. Regression of Five-Year GDP Growth over SOI (2013-2018)</w:t>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128018657"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b w:val="1"/>
        </w:rPr>
      </w:pPr>
      <w:r w:rsidDel="00000000" w:rsidR="00000000" w:rsidRPr="00000000">
        <w:rPr>
          <w:rtl w:val="0"/>
        </w:rPr>
      </w:r>
    </w:p>
    <w:p w:rsidR="00000000" w:rsidDel="00000000" w:rsidP="00000000" w:rsidRDefault="00000000" w:rsidRPr="00000000" w14:paraId="000002A1">
      <w:pPr>
        <w:jc w:val="both"/>
        <w:rPr>
          <w:b w:val="1"/>
        </w:rPr>
      </w:pPr>
      <w:r w:rsidDel="00000000" w:rsidR="00000000" w:rsidRPr="00000000">
        <w:rPr>
          <w:b w:val="1"/>
          <w:rtl w:val="0"/>
        </w:rPr>
        <w:t xml:space="preserve">5.2 SOI of Italy and Its Implications</w:t>
      </w:r>
    </w:p>
    <w:p w:rsidR="00000000" w:rsidDel="00000000" w:rsidP="00000000" w:rsidRDefault="00000000" w:rsidRPr="00000000" w14:paraId="000002A2">
      <w:pPr>
        <w:jc w:val="both"/>
        <w:rPr/>
      </w:pPr>
      <w:r w:rsidDel="00000000" w:rsidR="00000000" w:rsidRPr="00000000">
        <w:rPr>
          <w:rtl w:val="0"/>
        </w:rPr>
        <w:t xml:space="preserve">Italy, for instance, has a relatively low level of structural optimality as compared with its developed peers. As the regression in Figure 7 suggests (the orange curve represents export increase, and the blue curve stands for opportunity gain of the corresponding industry), France demonstrates a low level of correlation with the suggested developmental path, having an adjusted R-square of around 4.7%. France ranks 48th place among all countries in terms of SOI and has a 5-year growth rate of 15.5% from 2013 to 2018, which is consistent with the regression result in Figure 6. These data points are very similar to that of France. This is in direct contrast to emerging economies such as Turkey, where there is a high SOI of around 21.8% and corresponding GDP growth of 36.7% from 2013 to 2018, making it one of the fastest-developing economies during the period. In sum, Italy’s slower economic progress from 2013 to 2018 can be at least partially explained by a mismatched development strategy that demonstrates a considerable level of deviations from our suggested developmental path. For example, Italy invested heavily in High-Complexity Products despite a lower opportunity gain, while it should have focused more on industry groups such as Services and Utilities.</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drawing>
          <wp:inline distB="114300" distT="114300" distL="114300" distR="114300">
            <wp:extent cx="5727700" cy="2288632"/>
            <wp:effectExtent b="0" l="0" r="0" t="0"/>
            <wp:docPr id="2128018676"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727700" cy="2288632"/>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center"/>
        <w:rPr>
          <w:sz w:val="22"/>
          <w:szCs w:val="22"/>
        </w:rPr>
      </w:pPr>
      <w:r w:rsidDel="00000000" w:rsidR="00000000" w:rsidRPr="00000000">
        <w:rPr>
          <w:sz w:val="22"/>
          <w:szCs w:val="22"/>
          <w:rtl w:val="0"/>
        </w:rPr>
        <w:t xml:space="preserve">Figure 10a. SOI of Italy (2013-2018)</w:t>
      </w:r>
    </w:p>
    <w:p w:rsidR="00000000" w:rsidDel="00000000" w:rsidP="00000000" w:rsidRDefault="00000000" w:rsidRPr="00000000" w14:paraId="000002A6">
      <w:pPr>
        <w:jc w:val="center"/>
        <w:rPr>
          <w:sz w:val="22"/>
          <w:szCs w:val="2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For the 2019-2021 years, Italy has a strong presence in the Transportation, Chemicals, and Raw Manufacturing industries, which do not seem to possess a higher potential for future development level when considering their negative opportunity gain relative to RID. It also could consider Energy Drilling and Mining and Precious Stones to improve its growth. Italy has seen an average growth in GDP over those three years of 1.68% compared to 0.9% for the average yearly growth for the five years prior.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Lower than before, its adjusted R-squared value of 0.27 now indicates a lower correlation between the GDP growth and the implemented development path. Progress is slow on a global scale during this period, but Italy demonstrates a moderate ability to adjust to negative economic shocks by improving SOI and increasing GDP growth than it did between 2013 and 2018.</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jc w:val="center"/>
        <w:rPr/>
      </w:pPr>
      <w:r w:rsidDel="00000000" w:rsidR="00000000" w:rsidRPr="00000000">
        <w:rPr>
          <w:b w:val="1"/>
          <w:sz w:val="28"/>
          <w:szCs w:val="28"/>
        </w:rPr>
        <w:drawing>
          <wp:inline distB="0" distT="0" distL="0" distR="0">
            <wp:extent cx="5727700" cy="2291080"/>
            <wp:effectExtent b="0" l="0" r="0" t="0"/>
            <wp:docPr id="2128018678"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727700" cy="229108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jc w:val="center"/>
        <w:rPr>
          <w:sz w:val="22"/>
          <w:szCs w:val="22"/>
        </w:rPr>
      </w:pPr>
      <w:r w:rsidDel="00000000" w:rsidR="00000000" w:rsidRPr="00000000">
        <w:rPr>
          <w:sz w:val="22"/>
          <w:szCs w:val="22"/>
          <w:rtl w:val="0"/>
        </w:rPr>
        <w:t xml:space="preserve">Figure 10b. SOI of Italy (2019-2021)</w:t>
      </w:r>
    </w:p>
    <w:p w:rsidR="00000000" w:rsidDel="00000000" w:rsidP="00000000" w:rsidRDefault="00000000" w:rsidRPr="00000000" w14:paraId="000002AD">
      <w:pPr>
        <w:jc w:val="both"/>
        <w:rPr>
          <w:b w:val="1"/>
        </w:rPr>
      </w:pPr>
      <w:r w:rsidDel="00000000" w:rsidR="00000000" w:rsidRPr="00000000">
        <w:rPr>
          <w:rtl w:val="0"/>
        </w:rPr>
      </w:r>
    </w:p>
    <w:p w:rsidR="00000000" w:rsidDel="00000000" w:rsidP="00000000" w:rsidRDefault="00000000" w:rsidRPr="00000000" w14:paraId="000002AE">
      <w:pPr>
        <w:jc w:val="both"/>
        <w:rPr>
          <w:b w:val="1"/>
        </w:rPr>
      </w:pPr>
      <w:r w:rsidDel="00000000" w:rsidR="00000000" w:rsidRPr="00000000">
        <w:rPr>
          <w:rtl w:val="0"/>
        </w:rPr>
      </w:r>
    </w:p>
    <w:p w:rsidR="00000000" w:rsidDel="00000000" w:rsidP="00000000" w:rsidRDefault="00000000" w:rsidRPr="00000000" w14:paraId="000002AF">
      <w:pPr>
        <w:jc w:val="both"/>
        <w:rPr>
          <w:rFonts w:ascii="Times" w:cs="Times" w:eastAsia="Times" w:hAnsi="Times"/>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0">
      <w:pPr>
        <w:jc w:val="both"/>
        <w:rPr>
          <w:rFonts w:ascii="Times" w:cs="Times" w:eastAsia="Times" w:hAnsi="Times"/>
          <w:b w:val="1"/>
          <w:sz w:val="28"/>
          <w:szCs w:val="28"/>
        </w:rPr>
      </w:pPr>
      <w:r w:rsidDel="00000000" w:rsidR="00000000" w:rsidRPr="00000000">
        <w:rPr>
          <w:rFonts w:ascii="Times" w:cs="Times" w:eastAsia="Times" w:hAnsi="Times"/>
          <w:b w:val="1"/>
          <w:sz w:val="28"/>
          <w:szCs w:val="28"/>
          <w:rtl w:val="0"/>
        </w:rPr>
        <w:t xml:space="preserve">6. Concluding Remarks</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In conclusion, Italy has demonstrated a low level of economic growth in terms of GDP during the period from 2013 to 2018, concurrent with stagnation in economic complexity as compared with other major European economies. </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The level of economic progress during the period, we believe, can be partially explained through the analysis of the economic and product complexity structure of Italy on the industry group level. The product classification system we adopt allows us to measure the realized industry development for various industry groups and to observe that Italy invested heavily in Transportation, Machinery, and Construction.</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Based on our analysis of the opportunity gain and sensitivity analysis of major industry groups, Italy could further its gains by prioritizing Vegetables, Fruits and Plants, and Services and Utilities between 2013 and 2018. We further note that Italy has a slightly mismatched development strategy that indicates a moderate level of structural optimality on the complexity level, having an adjusted R-square of around 0.048. Since a significant positive correlation exists between five-year GDP growth and the structural optimality index of an economy as we define and calculate, Italy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During the second examined period, from 2019 to 2021, the growth in GDP has increased alongside a large decline in ECI. Overall, Italy performed less successfully than before and was weaker than other countries, particularly France and Poland. We infer that during the COVID-19 period, Italy slightly shifted its focus on developing higher-complexity industries despite a lower demand for these industries, given the global economic downturn. We also note that Italy has increased its investment in the sectors identified earlier, leading to a boost from Highest-Complexity Products, Chemicals, and Chemical Manufacturing industries, leaving some room for strategic improvement. It invested in the industries which did not contribute the most to its advancements, such as Transportation. The ECI suggests greater growth could have been achieved through Energy Drilling, followed by Mining and Precious Stones. The surprising growth also increased the adjusted R-squared value to 0.27 in 2021 from 0.048 in 2018, demonstrating that the pursued strategies contributed to the GDP. With the revised focus, Italy has further potential to advance its economic growth to maintain its position among other countries to continue its post-pandemic recovery.</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E">
      <w:pPr>
        <w:jc w:val="both"/>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2BF">
      <w:pPr>
        <w:jc w:val="both"/>
        <w:rPr>
          <w:b w:val="1"/>
          <w:sz w:val="28"/>
          <w:szCs w:val="28"/>
        </w:rPr>
      </w:pPr>
      <w:r w:rsidDel="00000000" w:rsidR="00000000" w:rsidRPr="00000000">
        <w:rPr>
          <w:rtl w:val="0"/>
        </w:rPr>
      </w:r>
    </w:p>
    <w:p w:rsidR="00000000" w:rsidDel="00000000" w:rsidP="00000000" w:rsidRDefault="00000000" w:rsidRPr="00000000" w14:paraId="000002C0">
      <w:pPr>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C1">
      <w:pPr>
        <w:jc w:val="both"/>
        <w:rPr>
          <w:color w:val="000000"/>
          <w:highlight w:val="white"/>
        </w:rPr>
      </w:pPr>
      <w:r w:rsidDel="00000000" w:rsidR="00000000" w:rsidRPr="00000000">
        <w:rPr>
          <w:rtl w:val="0"/>
        </w:rPr>
      </w:r>
    </w:p>
    <w:p w:rsidR="00000000" w:rsidDel="00000000" w:rsidP="00000000" w:rsidRDefault="00000000" w:rsidRPr="00000000" w14:paraId="000002C2">
      <w:pPr>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color w:val="000000"/>
          <w:highlight w:val="white"/>
          <w:rtl w:val="0"/>
        </w:rPr>
        <w:t xml:space="preserve">Journal of Political Economy </w:t>
      </w:r>
      <w:r w:rsidDel="00000000" w:rsidR="00000000" w:rsidRPr="00000000">
        <w:rPr>
          <w:b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C3">
      <w:pPr>
        <w:jc w:val="both"/>
        <w:rPr>
          <w:color w:val="000000"/>
          <w:highlight w:val="white"/>
        </w:rPr>
      </w:pPr>
      <w:r w:rsidDel="00000000" w:rsidR="00000000" w:rsidRPr="00000000">
        <w:rPr>
          <w:rtl w:val="0"/>
        </w:rPr>
      </w:r>
    </w:p>
    <w:p w:rsidR="00000000" w:rsidDel="00000000" w:rsidP="00000000" w:rsidRDefault="00000000" w:rsidRPr="00000000" w14:paraId="000002C4">
      <w:pPr>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C5">
      <w:pPr>
        <w:jc w:val="both"/>
        <w:rPr>
          <w:color w:val="000000"/>
          <w:highlight w:val="white"/>
        </w:rPr>
      </w:pPr>
      <w:r w:rsidDel="00000000" w:rsidR="00000000" w:rsidRPr="00000000">
        <w:rPr>
          <w:rtl w:val="0"/>
        </w:rPr>
      </w:r>
    </w:p>
    <w:p w:rsidR="00000000" w:rsidDel="00000000" w:rsidP="00000000" w:rsidRDefault="00000000" w:rsidRPr="00000000" w14:paraId="000002C6">
      <w:pPr>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C7">
      <w:pPr>
        <w:jc w:val="both"/>
        <w:rPr>
          <w:color w:val="000000"/>
          <w:highlight w:val="white"/>
        </w:rPr>
      </w:pPr>
      <w:r w:rsidDel="00000000" w:rsidR="00000000" w:rsidRPr="00000000">
        <w:rPr>
          <w:rtl w:val="0"/>
        </w:rPr>
      </w:r>
    </w:p>
    <w:p w:rsidR="00000000" w:rsidDel="00000000" w:rsidP="00000000" w:rsidRDefault="00000000" w:rsidRPr="00000000" w14:paraId="000002C8">
      <w:pPr>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C9">
      <w:pPr>
        <w:jc w:val="both"/>
        <w:rPr>
          <w:color w:val="000000"/>
          <w:highlight w:val="white"/>
        </w:rPr>
      </w:pPr>
      <w:r w:rsidDel="00000000" w:rsidR="00000000" w:rsidRPr="00000000">
        <w:rPr>
          <w:rtl w:val="0"/>
        </w:rPr>
      </w:r>
    </w:p>
    <w:p w:rsidR="00000000" w:rsidDel="00000000" w:rsidP="00000000" w:rsidRDefault="00000000" w:rsidRPr="00000000" w14:paraId="000002CA">
      <w:pPr>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CB">
      <w:pPr>
        <w:jc w:val="both"/>
        <w:rPr>
          <w:color w:val="000000"/>
          <w:highlight w:val="white"/>
        </w:rPr>
      </w:pPr>
      <w:r w:rsidDel="00000000" w:rsidR="00000000" w:rsidRPr="00000000">
        <w:rPr>
          <w:rtl w:val="0"/>
        </w:rPr>
      </w:r>
    </w:p>
    <w:p w:rsidR="00000000" w:rsidDel="00000000" w:rsidP="00000000" w:rsidRDefault="00000000" w:rsidRPr="00000000" w14:paraId="000002CC">
      <w:pPr>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CD">
      <w:pPr>
        <w:jc w:val="both"/>
        <w:rPr>
          <w:color w:val="000000"/>
          <w:highlight w:val="white"/>
        </w:rPr>
      </w:pPr>
      <w:r w:rsidDel="00000000" w:rsidR="00000000" w:rsidRPr="00000000">
        <w:rPr>
          <w:rtl w:val="0"/>
        </w:rPr>
      </w:r>
    </w:p>
    <w:p w:rsidR="00000000" w:rsidDel="00000000" w:rsidP="00000000" w:rsidRDefault="00000000" w:rsidRPr="00000000" w14:paraId="000002CE">
      <w:pPr>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CF">
      <w:pPr>
        <w:jc w:val="both"/>
        <w:rPr/>
      </w:pPr>
      <w:r w:rsidDel="00000000" w:rsidR="00000000" w:rsidRPr="00000000">
        <w:rPr>
          <w:rtl w:val="0"/>
        </w:rPr>
      </w:r>
    </w:p>
    <w:sectPr>
      <w:headerReference r:id="rId46" w:type="default"/>
      <w:footerReference r:id="rId47" w:type="default"/>
      <w:footerReference r:id="rId48" w:type="first"/>
      <w:footerReference r:id="rId49"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garita Demkina" w:id="0" w:date="2023-05-13T03:53:19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exported from word doc so formatting is off --&gt; i provided a compiled nicely-formatted 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Times"/>
  <w:font w:name="Cambria Math">
    <w:embedRegular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center" w:leader="none" w:pos="4680"/>
        <w:tab w:val="right" w:leader="none" w:pos="9360"/>
      </w:tabs>
      <w:jc w:val="center"/>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4748A3"/>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Pr>
      <w:rFonts w:ascii="Calibri" w:cs="Calibri" w:eastAsia="Calibri" w:hAnsi="Calibri"/>
      <w:sz w:val="56"/>
      <w:szCs w:val="56"/>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rPr>
      <w:color w:val="7b7b7b"/>
    </w:rPr>
    <w:tblPr>
      <w:tblStyleRowBandSize w:val="1"/>
      <w:tblStyleColBandSize w:val="1"/>
    </w:tbl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0" w:customStyle="1">
    <w:basedOn w:val="TableNormal"/>
    <w:rPr>
      <w:color w:val="7b7b7b"/>
    </w:rPr>
    <w:tblPr>
      <w:tblStyleRowBandSize w:val="1"/>
      <w:tblStyleColBandSize w:val="1"/>
    </w:tbl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1" w:customStyle="1">
    <w:basedOn w:val="TableNormal"/>
    <w:rPr>
      <w:color w:val="7b7b7b"/>
    </w:rPr>
    <w:tblPr>
      <w:tblStyleRowBandSize w:val="1"/>
      <w:tblStyleColBandSize w:val="1"/>
    </w:tblPr>
    <w:tblStylePr w:type="firstRow">
      <w:rPr>
        <w:b w:val="1"/>
        <w:color w:val="ffffff"/>
      </w:rPr>
      <w:tblPr/>
      <w:tcPr>
        <w:tcBorders>
          <w:top w:color="a5a5a5" w:space="0" w:sz="4" w:val="single"/>
          <w:left w:color="a5a5a5" w:space="0" w:sz="4" w:val="single"/>
          <w:bottom w:color="a5a5a5" w:space="0" w:sz="4" w:val="single"/>
          <w:right w:color="a5a5a5" w:space="0" w:sz="4" w:val="single"/>
          <w:insideH w:space="0" w:sz="0" w:val="nil"/>
          <w:insideV w:space="0" w:sz="0" w:val="nil"/>
        </w:tcBorders>
        <w:shd w:color="auto" w:fill="a5a5a5" w:val="clear"/>
      </w:tcPr>
    </w:tblStylePr>
    <w:tblStylePr w:type="lastRow">
      <w:rPr>
        <w:b w:val="1"/>
      </w:rPr>
      <w:tblPr/>
      <w:tcPr>
        <w:tcBorders>
          <w:top w:color="a5a5a5" w:space="0" w:sz="4" w:val="single"/>
        </w:tcBorders>
      </w:tc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rPr>
      <w:color w:val="7b7b7b"/>
    </w:rPr>
    <w:tblPr>
      <w:tblStyleRowBandSize w:val="1"/>
      <w:tblStyleColBandSize w:val="1"/>
    </w:tblPr>
    <w:tblStylePr w:type="firstRow">
      <w:rPr>
        <w:b w:val="1"/>
        <w:color w:val="ffffff"/>
      </w:rPr>
      <w:tblPr/>
      <w:tcPr>
        <w:shd w:color="auto" w:fill="a5a5a5" w:val="clear"/>
      </w:tcPr>
    </w:tblStylePr>
    <w:tblStylePr w:type="lastRow">
      <w:rPr>
        <w:b w:val="1"/>
      </w:r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4" w:customStyle="1">
    <w:basedOn w:val="TableNormal"/>
    <w:rPr>
      <w:color w:val="7b7b7b"/>
    </w:rPr>
    <w:tblPr>
      <w:tblStyleRowBandSize w:val="1"/>
      <w:tblStyleColBandSize w:val="1"/>
    </w:tblPr>
    <w:tblStylePr w:type="firstRow">
      <w:rPr>
        <w:b w:val="1"/>
        <w:color w:val="ffffff"/>
      </w:rPr>
      <w:tblPr/>
      <w:tcPr>
        <w:shd w:color="auto" w:fill="a5a5a5" w:val="clear"/>
      </w:tcPr>
    </w:tblStylePr>
    <w:tblStylePr w:type="lastRow">
      <w:rPr>
        <w:b w:val="1"/>
      </w:r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5" w:customStyle="1">
    <w:basedOn w:val="TableNormal"/>
    <w:rPr>
      <w:color w:val="7b7b7b"/>
    </w:rPr>
    <w:tblPr>
      <w:tblStyleRowBandSize w:val="1"/>
      <w:tblStyleColBandSize w:val="1"/>
    </w:tblPr>
    <w:tblStylePr w:type="firstRow">
      <w:rPr>
        <w:b w:val="1"/>
        <w:color w:val="ffffff"/>
      </w:rPr>
      <w:tblPr/>
      <w:tcPr>
        <w:shd w:color="auto" w:fill="a5a5a5" w:val="clear"/>
      </w:tcPr>
    </w:tblStylePr>
    <w:tblStylePr w:type="lastRow">
      <w:rPr>
        <w:b w:val="1"/>
      </w:r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6" w:customStyle="1">
    <w:basedOn w:val="TableNormal"/>
    <w:rPr>
      <w:color w:val="7b7b7b"/>
    </w:rPr>
    <w:tblPr>
      <w:tblStyleRowBandSize w:val="1"/>
      <w:tblStyleColBandSize w:val="1"/>
    </w:tblPr>
    <w:tblStylePr w:type="firstRow">
      <w:rPr>
        <w:b w:val="1"/>
        <w:color w:val="ffffff"/>
      </w:rPr>
      <w:tblPr/>
      <w:tcPr>
        <w:shd w:color="auto" w:fill="a5a5a5" w:val="clear"/>
      </w:tcPr>
    </w:tblStylePr>
    <w:tblStylePr w:type="lastRow">
      <w:rPr>
        <w:b w:val="1"/>
      </w:rPr>
    </w:tblStylePr>
    <w:tblStylePr w:type="firstCol">
      <w:rPr>
        <w:b w:val="1"/>
      </w:rPr>
    </w:tblStylePr>
    <w:tblStylePr w:type="lastCol">
      <w:rPr>
        <w:b w:val="1"/>
      </w:rPr>
    </w:tblStylePr>
    <w:tblStylePr w:type="band1Vert">
      <w:tblPr/>
      <w:tcPr>
        <w:shd w:color="auto" w:fill="ededed" w:val="clear"/>
      </w:tcPr>
    </w:tblStylePr>
    <w:tblStylePr w:type="band1Horz">
      <w:tblPr/>
      <w:tcPr>
        <w:shd w:color="auto" w:fill="ededed" w:val="clear"/>
      </w:tcPr>
    </w:tblStyle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unhideWhenUsed w:val="1"/>
    <w:rsid w:val="003661F0"/>
    <w:pPr>
      <w:spacing w:after="100" w:afterAutospacing="1" w:before="100" w:beforeAutospacing="1"/>
    </w:pPr>
  </w:style>
  <w:style w:type="paragraph" w:styleId="CommentSubject">
    <w:name w:val="annotation subject"/>
    <w:basedOn w:val="CommentText"/>
    <w:next w:val="CommentText"/>
    <w:link w:val="CommentSubjectChar"/>
    <w:uiPriority w:val="99"/>
    <w:semiHidden w:val="1"/>
    <w:unhideWhenUsed w:val="1"/>
    <w:rsid w:val="00E924D7"/>
    <w:rPr>
      <w:b w:val="1"/>
      <w:bCs w:val="1"/>
    </w:rPr>
  </w:style>
  <w:style w:type="character" w:styleId="CommentSubjectChar" w:customStyle="1">
    <w:name w:val="Comment Subject Char"/>
    <w:basedOn w:val="CommentTextChar"/>
    <w:link w:val="CommentSubject"/>
    <w:uiPriority w:val="99"/>
    <w:semiHidden w:val="1"/>
    <w:rsid w:val="00E924D7"/>
    <w:rPr>
      <w:b w:val="1"/>
      <w:bCs w:val="1"/>
      <w:sz w:val="20"/>
      <w:szCs w:val="20"/>
    </w:rPr>
  </w:style>
  <w:style w:type="table" w:styleId="TableGrid">
    <w:name w:val="Table Grid"/>
    <w:basedOn w:val="TableNormal"/>
    <w:uiPriority w:val="39"/>
    <w:rsid w:val="006E7ED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color w:val="7b7b7b"/>
    </w:rPr>
    <w:tblPr>
      <w:tblStyleRowBandSize w:val="1"/>
      <w:tblStyleColBandSize w:val="1"/>
      <w:tblCellMar>
        <w:top w:w="100.0" w:type="dxa"/>
        <w:left w:w="100.0" w:type="dxa"/>
        <w:bottom w:w="100.0" w:type="dxa"/>
        <w:right w:w="100.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2">
    <w:basedOn w:val="TableNormal"/>
    <w:rPr>
      <w:color w:val="7b7b7b"/>
    </w:rPr>
    <w:tblPr>
      <w:tblStyleRowBandSize w:val="1"/>
      <w:tblStyleColBandSize w:val="1"/>
      <w:tblCellMar>
        <w:top w:w="100.0" w:type="dxa"/>
        <w:left w:w="100.0" w:type="dxa"/>
        <w:bottom w:w="100.0" w:type="dxa"/>
        <w:right w:w="100.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3">
    <w:basedOn w:val="TableNormal"/>
    <w:rPr>
      <w:color w:val="7b7b7b"/>
    </w:rPr>
    <w:tblPr>
      <w:tblStyleRowBandSize w:val="1"/>
      <w:tblStyleColBandSize w:val="1"/>
      <w:tblCellMar>
        <w:top w:w="100.0" w:type="dxa"/>
        <w:left w:w="100.0" w:type="dxa"/>
        <w:bottom w:w="100.0" w:type="dxa"/>
        <w:right w:w="100.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color w:val="7b7b7b"/>
    </w:rPr>
    <w:tblPr>
      <w:tblStyleRowBandSize w:val="1"/>
      <w:tblStyleColBandSize w:val="1"/>
      <w:tblCellMar>
        <w:top w:w="100.0" w:type="dxa"/>
        <w:left w:w="100.0" w:type="dxa"/>
        <w:bottom w:w="100.0" w:type="dxa"/>
        <w:right w:w="100.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shd w:fill="a5a5a5" w:val="clear"/>
      </w:tcPr>
    </w:tblStylePr>
    <w:tblStylePr w:type="lastCol">
      <w:rPr>
        <w:b w:val="1"/>
      </w:rPr>
    </w:tblStylePr>
    <w:tblStylePr w:type="lastRow">
      <w:rPr>
        <w:b w:val="1"/>
      </w:rPr>
    </w:tblStylePr>
  </w:style>
  <w:style w:type="table" w:styleId="Table6">
    <w:basedOn w:val="TableNormal"/>
    <w:rPr>
      <w:color w:val="7b7b7b"/>
    </w:rPr>
    <w:tblPr>
      <w:tblStyleRowBandSize w:val="1"/>
      <w:tblStyleColBandSize w:val="1"/>
      <w:tblCellMar>
        <w:top w:w="100.0" w:type="dxa"/>
        <w:left w:w="100.0" w:type="dxa"/>
        <w:bottom w:w="100.0" w:type="dxa"/>
        <w:right w:w="100.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shd w:fill="a5a5a5" w:val="clear"/>
      </w:tcPr>
    </w:tblStylePr>
    <w:tblStylePr w:type="lastCol">
      <w:rPr>
        <w:b w:val="1"/>
      </w:rPr>
    </w:tblStylePr>
    <w:tblStylePr w:type="lastRow">
      <w:rPr>
        <w:b w:val="1"/>
      </w:rPr>
    </w:tblStylePr>
  </w:style>
  <w:style w:type="table" w:styleId="Table7">
    <w:basedOn w:val="TableNormal"/>
    <w:rPr>
      <w:color w:val="7b7b7b"/>
    </w:rPr>
    <w:tblPr>
      <w:tblStyleRowBandSize w:val="1"/>
      <w:tblStyleColBandSize w:val="1"/>
      <w:tblCellMar>
        <w:top w:w="100.0" w:type="dxa"/>
        <w:left w:w="100.0" w:type="dxa"/>
        <w:bottom w:w="100.0" w:type="dxa"/>
        <w:right w:w="100.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shd w:fill="a5a5a5" w:val="clear"/>
      </w:tcPr>
    </w:tblStylePr>
    <w:tblStylePr w:type="lastCol">
      <w:rPr>
        <w:b w:val="1"/>
      </w:rPr>
    </w:tblStylePr>
    <w:tblStylePr w:type="lastRow">
      <w:rPr>
        <w:b w:val="1"/>
      </w:rPr>
    </w:tblStylePr>
  </w:style>
  <w:style w:type="table" w:styleId="Table8">
    <w:basedOn w:val="TableNormal"/>
    <w:rPr>
      <w:color w:val="7b7b7b"/>
    </w:rPr>
    <w:tblPr>
      <w:tblStyleRowBandSize w:val="1"/>
      <w:tblStyleColBandSize w:val="1"/>
      <w:tblCellMar>
        <w:top w:w="100.0" w:type="dxa"/>
        <w:left w:w="100.0" w:type="dxa"/>
        <w:bottom w:w="100.0" w:type="dxa"/>
        <w:right w:w="100.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shd w:fill="a5a5a5" w:val="clear"/>
      </w:tcPr>
    </w:tblStylePr>
    <w:tblStylePr w:type="lastCol">
      <w:rPr>
        <w:b w:val="1"/>
      </w:rPr>
    </w:tblStylePr>
    <w:tblStylePr w:type="lastRow">
      <w:rPr>
        <w:b w:val="1"/>
      </w:rPr>
    </w:tblStylePr>
  </w:style>
  <w:style w:type="table" w:styleId="Table9">
    <w:basedOn w:val="TableNormal"/>
    <w:rPr>
      <w:color w:val="7b7b7b"/>
    </w:rPr>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rPr>
      <w:color w:val="7b7b7b"/>
    </w:rPr>
    <w:tblPr>
      <w:tblStyleRowBandSize w:val="1"/>
      <w:tblStyleColBandSize w:val="1"/>
      <w:tblCellMar>
        <w:top w:w="100.0" w:type="dxa"/>
        <w:left w:w="100.0" w:type="dxa"/>
        <w:bottom w:w="100.0" w:type="dxa"/>
        <w:right w:w="100.0" w:type="dxa"/>
      </w:tblCellMar>
    </w:tblPr>
  </w:style>
  <w:style w:type="table" w:styleId="Table12">
    <w:basedOn w:val="TableNormal"/>
    <w:rPr>
      <w:color w:val="7b7b7b"/>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jpg"/><Relationship Id="rId42" Type="http://schemas.openxmlformats.org/officeDocument/2006/relationships/image" Target="media/image25.jpg"/><Relationship Id="rId41" Type="http://schemas.openxmlformats.org/officeDocument/2006/relationships/image" Target="media/image30.jpg"/><Relationship Id="rId44" Type="http://schemas.openxmlformats.org/officeDocument/2006/relationships/image" Target="media/image19.png"/><Relationship Id="rId43" Type="http://schemas.openxmlformats.org/officeDocument/2006/relationships/image" Target="media/image10.png"/><Relationship Id="rId46" Type="http://schemas.openxmlformats.org/officeDocument/2006/relationships/header" Target="header1.xml"/><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48" Type="http://schemas.openxmlformats.org/officeDocument/2006/relationships/footer" Target="footer2.xml"/><Relationship Id="rId47" Type="http://schemas.openxmlformats.org/officeDocument/2006/relationships/footer" Target="footer3.xml"/><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6.jpg"/><Relationship Id="rId30" Type="http://schemas.openxmlformats.org/officeDocument/2006/relationships/image" Target="media/image22.png"/><Relationship Id="rId33" Type="http://schemas.openxmlformats.org/officeDocument/2006/relationships/image" Target="media/image12.png"/><Relationship Id="rId32" Type="http://schemas.openxmlformats.org/officeDocument/2006/relationships/image" Target="media/image24.jpg"/><Relationship Id="rId35" Type="http://schemas.openxmlformats.org/officeDocument/2006/relationships/image" Target="media/image13.jpg"/><Relationship Id="rId34" Type="http://schemas.openxmlformats.org/officeDocument/2006/relationships/image" Target="media/image4.png"/><Relationship Id="rId37" Type="http://schemas.openxmlformats.org/officeDocument/2006/relationships/image" Target="media/image11.jpg"/><Relationship Id="rId36" Type="http://schemas.openxmlformats.org/officeDocument/2006/relationships/image" Target="media/image14.jpg"/><Relationship Id="rId39" Type="http://schemas.openxmlformats.org/officeDocument/2006/relationships/image" Target="media/image16.jpg"/><Relationship Id="rId38" Type="http://schemas.openxmlformats.org/officeDocument/2006/relationships/image" Target="media/image17.jpg"/><Relationship Id="rId20" Type="http://schemas.openxmlformats.org/officeDocument/2006/relationships/image" Target="media/image32.jpg"/><Relationship Id="rId22" Type="http://schemas.openxmlformats.org/officeDocument/2006/relationships/image" Target="media/image23.png"/><Relationship Id="rId21" Type="http://schemas.openxmlformats.org/officeDocument/2006/relationships/image" Target="media/image21.png"/><Relationship Id="rId24" Type="http://schemas.openxmlformats.org/officeDocument/2006/relationships/image" Target="media/image36.png"/><Relationship Id="rId23" Type="http://schemas.openxmlformats.org/officeDocument/2006/relationships/image" Target="media/image29.png"/><Relationship Id="rId26" Type="http://schemas.openxmlformats.org/officeDocument/2006/relationships/image" Target="media/image34.png"/><Relationship Id="rId25" Type="http://schemas.openxmlformats.org/officeDocument/2006/relationships/image" Target="media/image37.jpg"/><Relationship Id="rId28" Type="http://schemas.openxmlformats.org/officeDocument/2006/relationships/image" Target="media/image35.jpg"/><Relationship Id="rId27" Type="http://schemas.openxmlformats.org/officeDocument/2006/relationships/image" Target="media/image31.png"/><Relationship Id="rId29" Type="http://schemas.openxmlformats.org/officeDocument/2006/relationships/image" Target="media/image15.png"/><Relationship Id="rId11" Type="http://schemas.openxmlformats.org/officeDocument/2006/relationships/image" Target="media/image2.png"/><Relationship Id="rId10" Type="http://schemas.openxmlformats.org/officeDocument/2006/relationships/image" Target="media/image33.pn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8.jpg"/><Relationship Id="rId16" Type="http://schemas.openxmlformats.org/officeDocument/2006/relationships/image" Target="media/image18.png"/><Relationship Id="rId19" Type="http://schemas.openxmlformats.org/officeDocument/2006/relationships/image" Target="media/image26.jpg"/><Relationship Id="rId18" Type="http://schemas.openxmlformats.org/officeDocument/2006/relationships/image" Target="media/image20.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CambriaMath-regular.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RA7YJCNPfUhJYxov3gGHZj1y5w==">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2023-05-13T00:18:00Z</dcterms:created>
</cp:coreProperties>
</file>