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9" name="image18.png"/>
            <a:graphic>
              <a:graphicData uri="http://schemas.openxmlformats.org/drawingml/2006/picture">
                <pic:pic>
                  <pic:nvPicPr>
                    <pic:cNvPr id="0" name="image18.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Norway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16"/>
          <w:szCs w:val="16"/>
        </w:rPr>
      </w:pPr>
      <w:r w:rsidDel="00000000" w:rsidR="00000000" w:rsidRPr="00000000">
        <w:rPr>
          <w:rFonts w:ascii="PT Sans Narrow" w:cs="PT Sans Narrow" w:eastAsia="PT Sans Narrow" w:hAnsi="PT Sans Narrow"/>
          <w:sz w:val="28"/>
          <w:szCs w:val="28"/>
          <w:rtl w:val="0"/>
        </w:rPr>
        <w:t xml:space="preserve">Alexandra Garcia, Kelly Mi, Margarita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tl w:val="0"/>
        </w:rPr>
      </w:r>
    </w:p>
    <w:p w:rsidR="00000000" w:rsidDel="00000000" w:rsidP="00000000" w:rsidRDefault="00000000" w:rsidRPr="00000000" w14:paraId="00000009">
      <w:pPr>
        <w:rPr>
          <w:rFonts w:ascii="PT Sans Narrow" w:cs="PT Sans Narrow" w:eastAsia="PT Sans Narrow" w:hAnsi="PT Sans Narrow"/>
          <w:sz w:val="28"/>
          <w:szCs w:val="28"/>
        </w:rPr>
      </w:pP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pageBreakBefore w:val="0"/>
        <w:jc w:val="center"/>
        <w:rPr>
          <w:sz w:val="40"/>
          <w:szCs w:val="40"/>
        </w:rPr>
      </w:pPr>
      <w:r w:rsidDel="00000000" w:rsidR="00000000" w:rsidRPr="00000000">
        <w:rPr>
          <w:sz w:val="40"/>
          <w:szCs w:val="40"/>
          <w:rtl w:val="0"/>
        </w:rPr>
        <w:t xml:space="preserve">Optimal Industry Development Strategy for Norway</w:t>
      </w:r>
      <w:r w:rsidDel="00000000" w:rsidR="00000000" w:rsidRPr="00000000">
        <w:rPr>
          <w:rtl w:val="0"/>
        </w:rPr>
      </w:r>
    </w:p>
    <w:p w:rsidR="00000000" w:rsidDel="00000000" w:rsidP="00000000" w:rsidRDefault="00000000" w:rsidRPr="00000000" w14:paraId="0000000C">
      <w:pPr>
        <w:pageBreakBefore w:val="0"/>
        <w:jc w:val="center"/>
        <w:rPr>
          <w:sz w:val="40"/>
          <w:szCs w:val="40"/>
        </w:rPr>
      </w:pPr>
      <w:r w:rsidDel="00000000" w:rsidR="00000000" w:rsidRPr="00000000">
        <w:rPr>
          <w:rtl w:val="0"/>
        </w:rPr>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E">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In this report, we uncover the economic path Norway went through during the period from 2013 to 2018. Specifically, we dive into the topic through a macroeconomic overview of Norway from the perspective of Gross Domestic Product (GDP) and Economic Complexity Index (ECI), which reflect countries’ production capability and production structure, respectively. We find that during the period of our interest, Norway demonstrated a low level of economic growth with an average annual GDP growth rate of 0.54</w:t>
      </w:r>
      <w:r w:rsidDel="00000000" w:rsidR="00000000" w:rsidRPr="00000000">
        <w:rPr>
          <w:rtl w:val="0"/>
        </w:rPr>
        <w:t xml:space="preserve">%</w:t>
      </w:r>
      <w:r w:rsidDel="00000000" w:rsidR="00000000" w:rsidRPr="00000000">
        <w:rPr>
          <w:rtl w:val="0"/>
        </w:rPr>
        <w:t xml:space="preserve"> between 2013 and 2018</w:t>
      </w:r>
      <w:r w:rsidDel="00000000" w:rsidR="00000000" w:rsidRPr="00000000">
        <w:rPr>
          <w:rtl w:val="0"/>
        </w:rPr>
        <w:t xml:space="preserve">, concurrent with a decrease in economic complexity as compared with other similar major developed economies, and 7.55% between 2019 and 2021, with a increased economic complexity compared to other major developed economies.</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The negative progress from 2013-2018 and positive progress through 2021 can be partially explained through analysis of the economic complexity structure of Norway on the industry group level. The product classification system we adopt allows us to measure the realized development for various industry groups. We observe that Norway</w:t>
      </w:r>
      <w:r w:rsidDel="00000000" w:rsidR="00000000" w:rsidRPr="00000000">
        <w:rPr>
          <w:rtl w:val="0"/>
        </w:rPr>
        <w:t xml:space="preserve"> consistently relied on developing the </w:t>
      </w:r>
      <w:r w:rsidDel="00000000" w:rsidR="00000000" w:rsidRPr="00000000">
        <w:rPr>
          <w:rtl w:val="0"/>
        </w:rPr>
        <w:t xml:space="preserve">Transportation in</w:t>
      </w:r>
      <w:r w:rsidDel="00000000" w:rsidR="00000000" w:rsidRPr="00000000">
        <w:rPr>
          <w:rtl w:val="0"/>
        </w:rPr>
        <w:t xml:space="preserve">dustry from 2013-2018 and Precious Stones in 2019-2021, while its developed counterparts and emerging economies around the globe have adopted much similar paths. </w:t>
      </w: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Based on our analysis of the opportunity gain and a sensitivity analysis of major industry groups, Norway can further its gains by prioritizing </w:t>
      </w:r>
      <w:r w:rsidDel="00000000" w:rsidR="00000000" w:rsidRPr="00000000">
        <w:rPr>
          <w:rtl w:val="0"/>
        </w:rPr>
        <w:t xml:space="preserve">Machinery and Construction</w:t>
      </w:r>
      <w:r w:rsidDel="00000000" w:rsidR="00000000" w:rsidRPr="00000000">
        <w:rPr>
          <w:rtl w:val="0"/>
        </w:rPr>
        <w:t xml:space="preserve"> and Daily Instrumments in 2018. Three years later, in 2021, its focus should have shifted to Vegetables, Fruits, and Plants and Precious Stones, which have lower-complexity due to the shocks of the pandemic. We further note that Norway has a slightly mismatched development strategy that indicates a moderately high (compared to other developed countries) level of structural optimality on the complexity level, having an adjusted R-square of around 19.5% in 2018 and 4.38% in 2021. A significant positive correlation exists between five-year GDP growth and the structural optimality index of an economy as we define and calculate, but Norway, continued to have significant growth as compared with fast-growing economies both on a regional scale and on a global scale. However, the country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We aim to uncover the economic path Norway went through during the period from 2019 to 2021, before and after the COVID pandemic, compared to its performance from 2013 to 2018. Specifically, we dive into the topic through a macroeconomic overview of Norway from the perspective of Gross Domestic Product (GDP) and Economic Complexity Index (ECI), which reflect countries’ production capability and production structure, respectively. We then analyze the industrial framework of Norway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Norway,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Norway and three of its peer countries (Finland, Sweden, and Denmark) from 2013-2018. In contrast to the other countries, which generally displayed either constant or upwards growth over all years, Norway had a noticeable dip in GDP from 2014-2015. Additionally, Norway’s average annual growth rate of 0.54% over the five-year period is clearly lower than its peers, which are 2.84%, 3.44%, and 3.57% for Finland, Sweden, and Denmark respectively.</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Figure 1b shows the GDP levels for Norway and its peer countries from 2019 to 2021. Similar to the other countries, Norway displayed a drop in GDP from 2019 to 2020 because of the pandemic, with all GDPs rebounding in 2021. Over these three years, Norway’s average annual GDP growth rate (7.55%) is greater than Sweden’s rate (5.77%), Denmark’s rate (4.66%), and Finland’s rate (3.76%). </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2508705" cy="1700213"/>
            <wp:effectExtent b="0" l="0" r="0" t="0"/>
            <wp:docPr id="20"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508705" cy="1700213"/>
                    </a:xfrm>
                    <a:prstGeom prst="rect"/>
                    <a:ln/>
                  </pic:spPr>
                </pic:pic>
              </a:graphicData>
            </a:graphic>
          </wp:inline>
        </w:drawing>
      </w:r>
      <w:r w:rsidDel="00000000" w:rsidR="00000000" w:rsidRPr="00000000">
        <w:rPr/>
        <w:drawing>
          <wp:inline distB="114300" distT="114300" distL="114300" distR="114300">
            <wp:extent cx="2558888" cy="1738858"/>
            <wp:effectExtent b="0" l="0" r="0" t="0"/>
            <wp:docPr id="32"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2558888" cy="173885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ind w:left="1440" w:firstLine="0"/>
        <w:jc w:val="both"/>
        <w:rPr/>
      </w:pPr>
      <w:r w:rsidDel="00000000" w:rsidR="00000000" w:rsidRPr="00000000">
        <w:rPr>
          <w:rtl w:val="0"/>
        </w:rPr>
        <w:t xml:space="preserve">    </w:t>
      </w:r>
    </w:p>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r>
    </w:p>
    <w:p w:rsidR="00000000" w:rsidDel="00000000" w:rsidP="00000000" w:rsidRDefault="00000000" w:rsidRPr="00000000" w14:paraId="00000029">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A">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Norway. As illustrated in Figure 2a below, Norway (-351.33% ECI change) exhibited a decrease in terms of its production capability from 2013 to 2018, which is much more negative than Finland (-15.68%), Sweden (-33.825), and Denmark (-9.25%). Ultimately, Norway is the weakest of the peer country set, as it displays the lowest GDP growth rate and ECI change across the period.</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The comparable countries maintain a small change in ECI level between 2019 and 2020, with a sharp change between 2020 and 2021. Norway exhibits a large increase in production capability in 2021 to levels not seen prior, with economic stimulus measures being one of the reasons. Norway has seen a 153.9% increase in its ECI, which is greater than Sweden's (-209.6%), Denmark's (-175.3%), and Finland's (-267.95%).</w:t>
      </w:r>
    </w:p>
    <w:p w:rsidR="00000000" w:rsidDel="00000000" w:rsidP="00000000" w:rsidRDefault="00000000" w:rsidRPr="00000000" w14:paraId="0000002D">
      <w:pPr>
        <w:pageBreakBefore w:val="0"/>
        <w:ind w:left="0" w:firstLine="0"/>
        <w:jc w:val="center"/>
        <w:rPr/>
      </w:pPr>
      <w:r w:rsidDel="00000000" w:rsidR="00000000" w:rsidRPr="00000000">
        <w:rPr/>
        <w:drawing>
          <wp:inline distB="114300" distT="114300" distL="114300" distR="114300">
            <wp:extent cx="2206463" cy="1473917"/>
            <wp:effectExtent b="0" l="0" r="0" t="0"/>
            <wp:docPr id="37"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2206463" cy="1473917"/>
                    </a:xfrm>
                    <a:prstGeom prst="rect"/>
                    <a:ln/>
                  </pic:spPr>
                </pic:pic>
              </a:graphicData>
            </a:graphic>
          </wp:inline>
        </w:drawing>
      </w:r>
      <w:r w:rsidDel="00000000" w:rsidR="00000000" w:rsidRPr="00000000">
        <w:rPr/>
        <w:drawing>
          <wp:inline distB="114300" distT="114300" distL="114300" distR="114300">
            <wp:extent cx="2212332" cy="1481138"/>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12332"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Figures 3a and 3b offer a further comparison of GDP Growth and ECI over the time span from 2013 to 2021 for Norway. The increase in GDP during the period from 2013 to 2018 is accompanied by a sharp decline in ECI. The results show that the economic growth experienced by Norway during the period from 2013 to 2018 is not very consistent with the predictions by ECI and Norway did not effectively make strides to develop a competitive product space that helps to accumulate complicated knowledge and technology. Unlike the volatile relationship between GDP and ECI between 2013 and 2018, GDP and ECI in 2019 to 2021 both decreased before increasing. For the period 2019 to 2021, the ECI followed GDP trends, which can be interpreted as advancements in production. In order to provide a more concrete answer to why this has happened, we will dive into an analysis of Norway’s production structure and its product space designs in the next few sections.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ageBreakBefore w:val="0"/>
        <w:ind w:firstLine="720"/>
        <w:jc w:val="center"/>
        <w:rPr/>
      </w:pPr>
      <w:r w:rsidDel="00000000" w:rsidR="00000000" w:rsidRPr="00000000">
        <w:rPr/>
        <w:drawing>
          <wp:inline distB="114300" distT="114300" distL="114300" distR="114300">
            <wp:extent cx="2460788" cy="1486316"/>
            <wp:effectExtent b="0" l="0" r="0" t="0"/>
            <wp:docPr id="29"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2460788" cy="1486316"/>
                    </a:xfrm>
                    <a:prstGeom prst="rect"/>
                    <a:ln/>
                  </pic:spPr>
                </pic:pic>
              </a:graphicData>
            </a:graphic>
          </wp:inline>
        </w:drawing>
      </w:r>
      <w:r w:rsidDel="00000000" w:rsidR="00000000" w:rsidRPr="00000000">
        <w:rPr/>
        <w:drawing>
          <wp:inline distB="114300" distT="114300" distL="114300" distR="114300">
            <wp:extent cx="2416013" cy="1472533"/>
            <wp:effectExtent b="0" l="0" r="0" t="0"/>
            <wp:docPr id="40"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2416013" cy="147253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jc w:val="center"/>
        <w:rPr/>
      </w:pPr>
      <w:r w:rsidDel="00000000" w:rsidR="00000000" w:rsidRPr="00000000">
        <w:rPr>
          <w:rtl w:val="0"/>
        </w:rPr>
        <w:t xml:space="preserve">           </w:t>
      </w:r>
    </w:p>
    <w:p w:rsidR="00000000" w:rsidDel="00000000" w:rsidP="00000000" w:rsidRDefault="00000000" w:rsidRPr="00000000" w14:paraId="00000034">
      <w:pPr>
        <w:jc w:val="center"/>
        <w:rPr>
          <w:rFonts w:ascii="Times" w:cs="Times" w:eastAsia="Times" w:hAnsi="Times"/>
          <w:b w:val="1"/>
          <w:bCs w:val="1"/>
          <w:sz w:val="28"/>
          <w:szCs w:val="28"/>
        </w:rPr>
      </w:pPr>
      <w:r w:rsidDel="00000000" w:rsidR="00000000" w:rsidRPr="00000000">
        <w:rPr>
          <w:sz w:val="22"/>
          <w:szCs w:val="22"/>
          <w:rtl w:val="0"/>
        </w:rPr>
        <w:t xml:space="preserve">Figures 3a and 3b. GDP Growth and ECI for Norway (left: 2013-2018; right: 2019-2021)</w:t>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6">
      <w:pPr>
        <w:pageBreakBefore w:val="0"/>
        <w:jc w:val="both"/>
        <w:rPr/>
      </w:pPr>
      <w:r w:rsidDel="00000000" w:rsidR="00000000" w:rsidRPr="00000000">
        <w:rPr>
          <w:rtl w:val="0"/>
        </w:rPr>
      </w:r>
    </w:p>
    <w:p w:rsidR="00000000" w:rsidDel="00000000" w:rsidP="00000000" w:rsidRDefault="00000000" w:rsidRPr="00000000" w14:paraId="00000067">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8">
            <w:pPr>
              <w:pageBreakBefore w:val="0"/>
              <w:jc w:val="center"/>
              <w:rPr/>
            </w:pPr>
            <w:r w:rsidDel="00000000" w:rsidR="00000000" w:rsidRPr="00000000">
              <w:rPr>
                <w:rtl w:val="0"/>
              </w:rPr>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7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1">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72">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73">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5">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107</w:t>
            </w:r>
          </w:p>
        </w:tc>
      </w:tr>
    </w:tbl>
    <w:p w:rsidR="00000000" w:rsidDel="00000000" w:rsidP="00000000" w:rsidRDefault="00000000" w:rsidRPr="00000000" w14:paraId="00000078">
      <w:pPr>
        <w:pageBreakBefore w:val="0"/>
        <w:jc w:val="center"/>
        <w:rPr/>
      </w:pPr>
      <w:r w:rsidDel="00000000" w:rsidR="00000000" w:rsidRPr="00000000">
        <w:rPr>
          <w:rtl w:val="0"/>
        </w:rPr>
      </w:r>
    </w:p>
    <w:p w:rsidR="00000000" w:rsidDel="00000000" w:rsidP="00000000" w:rsidRDefault="00000000" w:rsidRPr="00000000" w14:paraId="00000079">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A">
      <w:pPr>
        <w:pageBreakBefore w:val="0"/>
        <w:jc w:val="both"/>
        <w:rPr/>
      </w:pPr>
      <w:r w:rsidDel="00000000" w:rsidR="00000000" w:rsidRPr="00000000">
        <w:rPr>
          <w:rtl w:val="0"/>
        </w:rPr>
      </w:r>
    </w:p>
    <w:p w:rsidR="00000000" w:rsidDel="00000000" w:rsidP="00000000" w:rsidRDefault="00000000" w:rsidRPr="00000000" w14:paraId="0000007B">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C">
            <w:pPr>
              <w:pageBreakBefore w:val="0"/>
              <w:jc w:val="center"/>
              <w:rPr/>
            </w:pPr>
            <w:r w:rsidDel="00000000" w:rsidR="00000000" w:rsidRPr="00000000">
              <w:rPr>
                <w:rtl w:val="0"/>
              </w:rPr>
            </w:r>
          </w:p>
        </w:tc>
        <w:tc>
          <w:tcPr/>
          <w:p w:rsidR="00000000" w:rsidDel="00000000" w:rsidP="00000000" w:rsidRDefault="00000000" w:rsidRPr="00000000" w14:paraId="0000007D">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E">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F">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5">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6">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7">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8">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9">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A">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B">
            <w:pPr>
              <w:pageBreakBefore w:val="0"/>
              <w:jc w:val="center"/>
              <w:rPr/>
            </w:pPr>
            <w:r w:rsidDel="00000000" w:rsidR="00000000" w:rsidRPr="00000000">
              <w:rPr>
                <w:rtl w:val="0"/>
              </w:rPr>
              <w:t xml:space="preserve">21</w:t>
            </w:r>
          </w:p>
        </w:tc>
      </w:tr>
    </w:tbl>
    <w:p w:rsidR="00000000" w:rsidDel="00000000" w:rsidP="00000000" w:rsidRDefault="00000000" w:rsidRPr="00000000" w14:paraId="0000008C">
      <w:pPr>
        <w:pageBreakBefore w:val="0"/>
        <w:jc w:val="center"/>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E">
      <w:pPr>
        <w:pageBreakBefore w:val="0"/>
        <w:jc w:val="both"/>
        <w:rPr>
          <w:b w:val="1"/>
          <w:bCs w:val="1"/>
        </w:rPr>
      </w:pP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0">
      <w:pPr>
        <w:pageBreakBefore w:val="0"/>
        <w:jc w:val="both"/>
        <w:rPr/>
      </w:pPr>
      <w:r w:rsidDel="00000000" w:rsidR="00000000" w:rsidRPr="00000000">
        <w:rPr>
          <w:rtl w:val="0"/>
        </w:rPr>
        <w:t xml:space="preserve">Based on the product categorization aforementioned, we aim to capture Norway’s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r w:rsidDel="00000000" w:rsidR="00000000" w:rsidRPr="00000000">
        <w:rPr>
          <w:rtl w:val="0"/>
        </w:rPr>
        <w:t xml:space="preserve"> It is notable that the number of industries with positive RID has decreased from 16 to 14 from 2018 to 2021.</w:t>
      </w:r>
    </w:p>
    <w:p w:rsidR="00000000" w:rsidDel="00000000" w:rsidP="00000000" w:rsidRDefault="00000000" w:rsidRPr="00000000" w14:paraId="00000091">
      <w:pPr>
        <w:pageBreakBefore w:val="0"/>
        <w:jc w:val="both"/>
        <w:rPr/>
      </w:pPr>
      <w:r w:rsidDel="00000000" w:rsidR="00000000" w:rsidRPr="00000000">
        <w:rPr>
          <w:rtl w:val="0"/>
        </w:rPr>
      </w:r>
    </w:p>
    <w:p w:rsidR="00000000" w:rsidDel="00000000" w:rsidP="00000000" w:rsidRDefault="00000000" w:rsidRPr="00000000" w14:paraId="00000092">
      <w:pPr>
        <w:ind w:left="0" w:firstLine="0"/>
        <w:jc w:val="center"/>
        <w:rPr/>
      </w:pPr>
      <w:r w:rsidDel="00000000" w:rsidR="00000000" w:rsidRPr="00000000">
        <w:rPr/>
        <w:drawing>
          <wp:inline distB="114300" distT="114300" distL="114300" distR="114300">
            <wp:extent cx="1814513" cy="3942749"/>
            <wp:effectExtent b="0" l="0" r="0" t="0"/>
            <wp:docPr id="12" name="image25.png"/>
            <a:graphic>
              <a:graphicData uri="http://schemas.openxmlformats.org/drawingml/2006/picture">
                <pic:pic>
                  <pic:nvPicPr>
                    <pic:cNvPr id="0" name="image25.png"/>
                    <pic:cNvPicPr preferRelativeResize="0"/>
                  </pic:nvPicPr>
                  <pic:blipFill>
                    <a:blip r:embed="rId13"/>
                    <a:srcRect b="0" l="10833" r="0" t="0"/>
                    <a:stretch>
                      <a:fillRect/>
                    </a:stretch>
                  </pic:blipFill>
                  <pic:spPr>
                    <a:xfrm>
                      <a:off x="0" y="0"/>
                      <a:ext cx="1814513" cy="3942749"/>
                    </a:xfrm>
                    <a:prstGeom prst="rect"/>
                    <a:ln/>
                  </pic:spPr>
                </pic:pic>
              </a:graphicData>
            </a:graphic>
          </wp:inline>
        </w:drawing>
      </w:r>
      <w:r w:rsidDel="00000000" w:rsidR="00000000" w:rsidRPr="00000000">
        <w:rPr/>
        <w:drawing>
          <wp:inline distB="114300" distT="114300" distL="114300" distR="114300">
            <wp:extent cx="1789275" cy="3905250"/>
            <wp:effectExtent b="0" l="0" r="0" t="0"/>
            <wp:docPr id="42" name="image40.png"/>
            <a:graphic>
              <a:graphicData uri="http://schemas.openxmlformats.org/drawingml/2006/picture">
                <pic:pic>
                  <pic:nvPicPr>
                    <pic:cNvPr id="0" name="image40.png"/>
                    <pic:cNvPicPr preferRelativeResize="0"/>
                  </pic:nvPicPr>
                  <pic:blipFill>
                    <a:blip r:embed="rId14"/>
                    <a:srcRect b="0" l="10547" r="0" t="0"/>
                    <a:stretch>
                      <a:fillRect/>
                    </a:stretch>
                  </pic:blipFill>
                  <pic:spPr>
                    <a:xfrm>
                      <a:off x="0" y="0"/>
                      <a:ext cx="178927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ageBreakBefore w:val="0"/>
        <w:jc w:val="center"/>
        <w:rPr/>
      </w:pPr>
      <w:r w:rsidDel="00000000" w:rsidR="00000000" w:rsidRPr="00000000">
        <w:rPr>
          <w:rtl w:val="0"/>
        </w:rPr>
        <w:t xml:space="preserve">Table 3: Realized Industry Development (RID) of Norway</w:t>
      </w:r>
    </w:p>
    <w:p w:rsidR="00000000" w:rsidDel="00000000" w:rsidP="00000000" w:rsidRDefault="00000000" w:rsidRPr="00000000" w14:paraId="00000094">
      <w:pPr>
        <w:pageBreakBefore w:val="0"/>
        <w:jc w:val="both"/>
        <w:rPr>
          <w:b w:val="1"/>
          <w:bCs w:val="1"/>
        </w:rPr>
      </w:pPr>
      <w:r w:rsidDel="00000000" w:rsidR="00000000" w:rsidRPr="00000000">
        <w:rPr>
          <w:rtl w:val="0"/>
        </w:rPr>
      </w:r>
    </w:p>
    <w:p w:rsidR="00000000" w:rsidDel="00000000" w:rsidP="00000000" w:rsidRDefault="00000000" w:rsidRPr="00000000" w14:paraId="00000095">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6">
      <w:pPr>
        <w:jc w:val="both"/>
        <w:rPr/>
      </w:pPr>
      <w:r w:rsidDel="00000000" w:rsidR="00000000" w:rsidRPr="00000000">
        <w:rPr>
          <w:rtl w:val="0"/>
        </w:rPr>
        <w:t xml:space="preserve">Tables 4a-4b below summarize how the production strategy adopted by Norway compares with selected leading economies in the world across different years, as measured in RID. Leading economies such as France, the United States and Germany gave a considerable level of attention to more advanced product groups such as Weapons and High-Complexity Products in 2018 and Services and Utilities, Precious Stones, and High-Complexity Products in 2021.</w:t>
      </w:r>
    </w:p>
    <w:p w:rsidR="00000000" w:rsidDel="00000000" w:rsidP="00000000" w:rsidRDefault="00000000" w:rsidRPr="00000000" w14:paraId="00000097">
      <w:pPr>
        <w:jc w:val="both"/>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98">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99">
            <w:pPr>
              <w:jc w:val="both"/>
              <w:rPr/>
            </w:pPr>
            <w:r w:rsidDel="00000000" w:rsidR="00000000" w:rsidRPr="00000000">
              <w:rPr>
                <w:rtl w:val="0"/>
              </w:rPr>
              <w:t xml:space="preserve">France</w:t>
            </w:r>
          </w:p>
        </w:tc>
        <w:tc>
          <w:tcPr>
            <w:vAlign w:val="center"/>
          </w:tcPr>
          <w:p w:rsidR="00000000" w:rsidDel="00000000" w:rsidP="00000000" w:rsidRDefault="00000000" w:rsidRPr="00000000" w14:paraId="0000009A">
            <w:pPr>
              <w:jc w:val="both"/>
              <w:rPr/>
            </w:pPr>
            <w:r w:rsidDel="00000000" w:rsidR="00000000" w:rsidRPr="00000000">
              <w:rPr>
                <w:rtl w:val="0"/>
              </w:rPr>
              <w:t xml:space="preserve">the UK</w:t>
            </w:r>
          </w:p>
        </w:tc>
        <w:tc>
          <w:tcPr>
            <w:vAlign w:val="center"/>
          </w:tcPr>
          <w:p w:rsidR="00000000" w:rsidDel="00000000" w:rsidP="00000000" w:rsidRDefault="00000000" w:rsidRPr="00000000" w14:paraId="0000009B">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9C">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A0">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A4">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A8">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AC">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B0">
      <w:pPr>
        <w:jc w:val="center"/>
        <w:rPr>
          <w:sz w:val="22"/>
          <w:szCs w:val="22"/>
        </w:rPr>
      </w:pPr>
      <w:r w:rsidDel="00000000" w:rsidR="00000000" w:rsidRPr="00000000">
        <w:rPr>
          <w:sz w:val="22"/>
          <w:szCs w:val="22"/>
          <w:rtl w:val="0"/>
        </w:rPr>
        <w:t xml:space="preserve">Table 4a. RID Comparison across Leading Economies (2018)</w:t>
      </w:r>
    </w:p>
    <w:p w:rsidR="00000000" w:rsidDel="00000000" w:rsidP="00000000" w:rsidRDefault="00000000" w:rsidRPr="00000000" w14:paraId="000000B1">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B2">
            <w:pPr>
              <w:jc w:val="both"/>
              <w:rPr/>
            </w:pPr>
            <w:r w:rsidDel="00000000" w:rsidR="00000000" w:rsidRPr="00000000">
              <w:rPr>
                <w:rtl w:val="0"/>
              </w:rPr>
              <w:t xml:space="preserve">Ranking</w:t>
            </w:r>
          </w:p>
        </w:tc>
        <w:tc>
          <w:tcPr/>
          <w:p w:rsidR="00000000" w:rsidDel="00000000" w:rsidP="00000000" w:rsidRDefault="00000000" w:rsidRPr="00000000" w14:paraId="000000B3">
            <w:pPr>
              <w:jc w:val="both"/>
              <w:rPr/>
            </w:pPr>
            <w:r w:rsidDel="00000000" w:rsidR="00000000" w:rsidRPr="00000000">
              <w:rPr>
                <w:rtl w:val="0"/>
              </w:rPr>
              <w:t xml:space="preserve">France</w:t>
            </w:r>
          </w:p>
        </w:tc>
        <w:tc>
          <w:tcPr/>
          <w:p w:rsidR="00000000" w:rsidDel="00000000" w:rsidP="00000000" w:rsidRDefault="00000000" w:rsidRPr="00000000" w14:paraId="000000B4">
            <w:pPr>
              <w:jc w:val="both"/>
              <w:rPr/>
            </w:pPr>
            <w:r w:rsidDel="00000000" w:rsidR="00000000" w:rsidRPr="00000000">
              <w:rPr>
                <w:rtl w:val="0"/>
              </w:rPr>
              <w:t xml:space="preserve">the UK</w:t>
            </w:r>
          </w:p>
        </w:tc>
        <w:tc>
          <w:tcPr/>
          <w:p w:rsidR="00000000" w:rsidDel="00000000" w:rsidP="00000000" w:rsidRDefault="00000000" w:rsidRPr="00000000" w14:paraId="000000B5">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B6">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7">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8">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9">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BA">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B">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C">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C6">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8">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CA">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CB">
      <w:pPr>
        <w:jc w:val="center"/>
        <w:rPr>
          <w:sz w:val="22"/>
          <w:szCs w:val="22"/>
        </w:rPr>
      </w:pPr>
      <w:r w:rsidDel="00000000" w:rsidR="00000000" w:rsidRPr="00000000">
        <w:rPr>
          <w:rtl w:val="0"/>
        </w:rPr>
      </w:r>
    </w:p>
    <w:p w:rsidR="00000000" w:rsidDel="00000000" w:rsidP="00000000" w:rsidRDefault="00000000" w:rsidRPr="00000000" w14:paraId="000000CC">
      <w:pPr>
        <w:jc w:val="both"/>
        <w:rPr>
          <w:sz w:val="22"/>
          <w:szCs w:val="22"/>
        </w:rPr>
      </w:pPr>
      <w:r w:rsidDel="00000000" w:rsidR="00000000" w:rsidRPr="00000000">
        <w:rPr>
          <w:rtl w:val="0"/>
        </w:rPr>
        <w:t xml:space="preserve">Tables 4c-4d further examine Norway’s development strategy against those of emerging economies on a global scale. Reasonably, emerging economies such as China, South Korea, and Singapore, have devoted the majority of their efforts to intermediate industry groups, showing drastic shifts in strategies over the course of three years.</w:t>
      </w: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0CE">
            <w:pPr>
              <w:jc w:val="both"/>
              <w:rPr/>
            </w:pPr>
            <w:r w:rsidDel="00000000" w:rsidR="00000000" w:rsidRPr="00000000">
              <w:rPr>
                <w:rtl w:val="0"/>
              </w:rPr>
              <w:t xml:space="preserve">Ranking</w:t>
            </w:r>
          </w:p>
        </w:tc>
        <w:tc>
          <w:tcPr/>
          <w:p w:rsidR="00000000" w:rsidDel="00000000" w:rsidP="00000000" w:rsidRDefault="00000000" w:rsidRPr="00000000" w14:paraId="000000CF">
            <w:pPr>
              <w:jc w:val="both"/>
              <w:rPr/>
            </w:pPr>
            <w:r w:rsidDel="00000000" w:rsidR="00000000" w:rsidRPr="00000000">
              <w:rPr>
                <w:rtl w:val="0"/>
              </w:rPr>
              <w:t xml:space="preserve">China</w:t>
            </w:r>
          </w:p>
        </w:tc>
        <w:tc>
          <w:tcPr/>
          <w:p w:rsidR="00000000" w:rsidDel="00000000" w:rsidP="00000000" w:rsidRDefault="00000000" w:rsidRPr="00000000" w14:paraId="000000D0">
            <w:pPr>
              <w:jc w:val="both"/>
              <w:rPr/>
            </w:pPr>
            <w:r w:rsidDel="00000000" w:rsidR="00000000" w:rsidRPr="00000000">
              <w:rPr>
                <w:rtl w:val="0"/>
              </w:rPr>
              <w:t xml:space="preserve">South Korea</w:t>
            </w:r>
          </w:p>
        </w:tc>
        <w:tc>
          <w:tcPr/>
          <w:p w:rsidR="00000000" w:rsidDel="00000000" w:rsidP="00000000" w:rsidRDefault="00000000" w:rsidRPr="00000000" w14:paraId="000000D1">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2">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6">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0DE">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0E2">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E6">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E8">
            <w:pPr>
              <w:jc w:val="both"/>
              <w:rPr/>
            </w:pPr>
            <w:r w:rsidDel="00000000" w:rsidR="00000000" w:rsidRPr="00000000">
              <w:rPr>
                <w:rtl w:val="0"/>
              </w:rPr>
              <w:t xml:space="preserve">Ranking</w:t>
            </w:r>
          </w:p>
        </w:tc>
        <w:tc>
          <w:tcPr/>
          <w:p w:rsidR="00000000" w:rsidDel="00000000" w:rsidP="00000000" w:rsidRDefault="00000000" w:rsidRPr="00000000" w14:paraId="000000E9">
            <w:pPr>
              <w:jc w:val="both"/>
              <w:rPr/>
            </w:pPr>
            <w:r w:rsidDel="00000000" w:rsidR="00000000" w:rsidRPr="00000000">
              <w:rPr>
                <w:rtl w:val="0"/>
              </w:rPr>
              <w:t xml:space="preserve">China</w:t>
            </w:r>
          </w:p>
        </w:tc>
        <w:tc>
          <w:tcPr/>
          <w:p w:rsidR="00000000" w:rsidDel="00000000" w:rsidP="00000000" w:rsidRDefault="00000000" w:rsidRPr="00000000" w14:paraId="000000EA">
            <w:pPr>
              <w:jc w:val="both"/>
              <w:rPr/>
            </w:pPr>
            <w:r w:rsidDel="00000000" w:rsidR="00000000" w:rsidRPr="00000000">
              <w:rPr>
                <w:rtl w:val="0"/>
              </w:rPr>
              <w:t xml:space="preserve">South Korea</w:t>
            </w:r>
          </w:p>
        </w:tc>
        <w:tc>
          <w:tcPr/>
          <w:p w:rsidR="00000000" w:rsidDel="00000000" w:rsidP="00000000" w:rsidRDefault="00000000" w:rsidRPr="00000000" w14:paraId="000000EB">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EC">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D">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E">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EF">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F0">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1">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2">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3">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F4">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5">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6">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7">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0F8">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9">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A">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B">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0FC">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D">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E">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F">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00">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01">
      <w:pPr>
        <w:pageBreakBefore w:val="0"/>
        <w:jc w:val="both"/>
        <w:rPr/>
      </w:pPr>
      <w:r w:rsidDel="00000000" w:rsidR="00000000" w:rsidRPr="00000000">
        <w:rPr>
          <w:rtl w:val="0"/>
        </w:rPr>
      </w:r>
    </w:p>
    <w:p w:rsidR="00000000" w:rsidDel="00000000" w:rsidP="00000000" w:rsidRDefault="00000000" w:rsidRPr="00000000" w14:paraId="0000010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0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4">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05">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106">
      <w:pPr>
        <w:jc w:val="center"/>
        <w:rPr/>
      </w:pPr>
      <w:r w:rsidDel="00000000" w:rsidR="00000000" w:rsidRPr="00000000">
        <w:rPr/>
        <w:drawing>
          <wp:inline distB="114300" distT="114300" distL="114300" distR="114300">
            <wp:extent cx="5731200" cy="2260600"/>
            <wp:effectExtent b="0" l="0" r="0" t="0"/>
            <wp:docPr id="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pPr>
      <w:r w:rsidDel="00000000" w:rsidR="00000000" w:rsidRPr="00000000">
        <w:rPr>
          <w:sz w:val="22"/>
          <w:szCs w:val="22"/>
          <w:rtl w:val="0"/>
        </w:rPr>
        <w:t xml:space="preserve">Table 5a. Opportunity Gain Ranking on a Comparable Scale (2013)</w:t>
      </w: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t xml:space="preserve">  </w:t>
      </w:r>
    </w:p>
    <w:p w:rsidR="00000000" w:rsidDel="00000000" w:rsidP="00000000" w:rsidRDefault="00000000" w:rsidRPr="00000000" w14:paraId="00000109">
      <w:pPr>
        <w:jc w:val="center"/>
        <w:rPr/>
      </w:pPr>
      <w:r w:rsidDel="00000000" w:rsidR="00000000" w:rsidRPr="00000000">
        <w:rPr/>
        <w:drawing>
          <wp:inline distB="114300" distT="114300" distL="114300" distR="114300">
            <wp:extent cx="5731200" cy="2362200"/>
            <wp:effectExtent b="0" l="0" r="0" t="0"/>
            <wp:docPr id="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center"/>
        <w:rPr>
          <w:sz w:val="22"/>
          <w:szCs w:val="22"/>
        </w:rPr>
      </w:pPr>
      <w:r w:rsidDel="00000000" w:rsidR="00000000" w:rsidRPr="00000000">
        <w:rPr>
          <w:sz w:val="22"/>
          <w:szCs w:val="22"/>
          <w:rtl w:val="0"/>
        </w:rPr>
        <w:t xml:space="preserve">Table 5b. Opportunity Gain Ranking on a Comparable Scale (2018)</w:t>
      </w:r>
    </w:p>
    <w:p w:rsidR="00000000" w:rsidDel="00000000" w:rsidP="00000000" w:rsidRDefault="00000000" w:rsidRPr="00000000" w14:paraId="0000010B">
      <w:pPr>
        <w:jc w:val="center"/>
        <w:rPr>
          <w:sz w:val="22"/>
          <w:szCs w:val="22"/>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drawing>
          <wp:inline distB="114300" distT="114300" distL="114300" distR="114300">
            <wp:extent cx="5272088" cy="2075556"/>
            <wp:effectExtent b="0" l="0" r="0" t="0"/>
            <wp:docPr id="1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272088" cy="207555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center"/>
        <w:rPr>
          <w:sz w:val="22"/>
          <w:szCs w:val="22"/>
        </w:rPr>
      </w:pPr>
      <w:r w:rsidDel="00000000" w:rsidR="00000000" w:rsidRPr="00000000">
        <w:rPr>
          <w:sz w:val="22"/>
          <w:szCs w:val="22"/>
          <w:rtl w:val="0"/>
        </w:rPr>
        <w:t xml:space="preserve">Table 5c. Opportunity Gain Ranking on a Comparable Scale (2021)</w:t>
      </w:r>
    </w:p>
    <w:p w:rsidR="00000000" w:rsidDel="00000000" w:rsidP="00000000" w:rsidRDefault="00000000" w:rsidRPr="00000000" w14:paraId="0000010E">
      <w:pPr>
        <w:jc w:val="center"/>
        <w:rPr>
          <w:sz w:val="22"/>
          <w:szCs w:val="22"/>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We define the ranking of opportunity gain for a country c, as the Suggested Development Vector (SDV) of c. Tables 5a-5c summarize how the SDV of Norway compares with a selected group of regional and leading economies in the world, with the industry groups ranked in decreasing order of significance. We focus on SDV results for 2018 because they give the most accurate snapshot of complexity for global comparison in the absence of the irregular effects of the COVID-19 pandemic observed in 2021.</w:t>
      </w:r>
      <w:r w:rsidDel="00000000" w:rsidR="00000000" w:rsidRPr="00000000">
        <w:rPr>
          <w:rtl w:val="0"/>
        </w:rPr>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pageBreakBefore w:val="0"/>
        <w:jc w:val="both"/>
        <w:rPr/>
      </w:pPr>
      <w:r w:rsidDel="00000000" w:rsidR="00000000" w:rsidRPr="00000000">
        <w:rPr>
          <w:rtl w:val="0"/>
        </w:rPr>
        <w:t xml:space="preserve">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Norway shares the characters of developing countries, with a balanced economics structure that leans towards intermediate-level industries. </w:t>
      </w:r>
    </w:p>
    <w:p w:rsidR="00000000" w:rsidDel="00000000" w:rsidP="00000000" w:rsidRDefault="00000000" w:rsidRPr="00000000" w14:paraId="00000112">
      <w:pPr>
        <w:pageBreakBefore w:val="0"/>
        <w:jc w:val="both"/>
        <w:rPr/>
      </w:pPr>
      <w:r w:rsidDel="00000000" w:rsidR="00000000" w:rsidRPr="00000000">
        <w:rPr>
          <w:rtl w:val="0"/>
        </w:rPr>
      </w:r>
    </w:p>
    <w:p w:rsidR="00000000" w:rsidDel="00000000" w:rsidP="00000000" w:rsidRDefault="00000000" w:rsidRPr="00000000" w14:paraId="00000113">
      <w:pPr>
        <w:pageBreakBefore w:val="0"/>
        <w:jc w:val="center"/>
        <w:rPr/>
      </w:pPr>
      <w:r w:rsidDel="00000000" w:rsidR="00000000" w:rsidRPr="00000000">
        <w:rPr/>
        <w:drawing>
          <wp:inline distB="114300" distT="114300" distL="114300" distR="114300">
            <wp:extent cx="5731200" cy="2387600"/>
            <wp:effectExtent b="0" l="0" r="0" t="0"/>
            <wp:docPr id="3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115">
      <w:pPr>
        <w:pageBreakBefore w:val="0"/>
        <w:jc w:val="center"/>
        <w:rPr/>
      </w:pPr>
      <w:r w:rsidDel="00000000" w:rsidR="00000000" w:rsidRPr="00000000">
        <w:rPr>
          <w:rtl w:val="0"/>
        </w:rPr>
      </w:r>
    </w:p>
    <w:p w:rsidR="00000000" w:rsidDel="00000000" w:rsidP="00000000" w:rsidRDefault="00000000" w:rsidRPr="00000000" w14:paraId="00000116">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center"/>
        <w:rPr/>
      </w:pPr>
      <w:r w:rsidDel="00000000" w:rsidR="00000000" w:rsidRPr="00000000">
        <w:rPr/>
        <w:drawing>
          <wp:inline distB="114300" distT="114300" distL="114300" distR="114300">
            <wp:extent cx="2528888" cy="1141284"/>
            <wp:effectExtent b="0" l="0" r="0" t="0"/>
            <wp:docPr id="2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jc w:val="center"/>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1D">
      <w:pPr>
        <w:pageBreakBefore w:val="0"/>
        <w:jc w:val="both"/>
        <w:rPr/>
      </w:pPr>
      <w:r w:rsidDel="00000000" w:rsidR="00000000" w:rsidRPr="00000000">
        <w:rPr>
          <w:rtl w:val="0"/>
        </w:rPr>
        <w:t xml:space="preserve"> </w:t>
      </w:r>
    </w:p>
    <w:p w:rsidR="00000000" w:rsidDel="00000000" w:rsidP="00000000" w:rsidRDefault="00000000" w:rsidRPr="00000000" w14:paraId="0000011E">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1F">
      <w:pPr>
        <w:pageBreakBefore w:val="0"/>
        <w:jc w:val="both"/>
        <w:rPr/>
      </w:pPr>
      <w:r w:rsidDel="00000000" w:rsidR="00000000" w:rsidRPr="00000000">
        <w:rPr>
          <w:rtl w:val="0"/>
        </w:rPr>
        <w:t xml:space="preserve"> </w:t>
      </w:r>
    </w:p>
    <w:p w:rsidR="00000000" w:rsidDel="00000000" w:rsidP="00000000" w:rsidRDefault="00000000" w:rsidRPr="00000000" w14:paraId="00000120">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jc w:val="center"/>
        <w:rPr/>
      </w:pPr>
      <w:r w:rsidDel="00000000" w:rsidR="00000000" w:rsidRPr="00000000">
        <w:rPr/>
        <w:drawing>
          <wp:inline distB="114300" distT="114300" distL="114300" distR="114300">
            <wp:extent cx="2138363" cy="718630"/>
            <wp:effectExtent b="0" l="0" r="0" t="0"/>
            <wp:docPr id="2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26">
      <w:pPr>
        <w:pageBreakBefore w:val="0"/>
        <w:rPr/>
      </w:pPr>
      <w:r w:rsidDel="00000000" w:rsidR="00000000" w:rsidRPr="00000000">
        <w:rPr>
          <w:rtl w:val="0"/>
        </w:rPr>
        <w:t xml:space="preserve"> </w:t>
      </w:r>
    </w:p>
    <w:p w:rsidR="00000000" w:rsidDel="00000000" w:rsidP="00000000" w:rsidRDefault="00000000" w:rsidRPr="00000000" w14:paraId="00000127">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28">
      <w:pPr>
        <w:pageBreakBefore w:val="0"/>
        <w:jc w:val="both"/>
        <w:rPr>
          <w:b w:val="1"/>
          <w:bCs w:val="1"/>
        </w:rPr>
      </w:pPr>
      <w:r w:rsidDel="00000000" w:rsidR="00000000" w:rsidRPr="00000000">
        <w:rPr>
          <w:rtl w:val="0"/>
        </w:rPr>
      </w:r>
    </w:p>
    <w:p w:rsidR="00000000" w:rsidDel="00000000" w:rsidP="00000000" w:rsidRDefault="00000000" w:rsidRPr="00000000" w14:paraId="00000129">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2A">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12B">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2C">
      <w:pPr>
        <w:pageBreakBefore w:val="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D">
      <w:pPr>
        <w:pageBreakBefore w:val="0"/>
        <w:jc w:val="center"/>
        <w:rPr/>
      </w:pPr>
      <w:r w:rsidDel="00000000" w:rsidR="00000000" w:rsidRPr="00000000">
        <w:rPr>
          <w:b w:val="1"/>
          <w:bCs w:val="1"/>
          <w:rtl w:val="0"/>
        </w:rPr>
        <w:t xml:space="preserve"> </w:t>
      </w: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F">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0">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1">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2">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3">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54">
      <w:pPr>
        <w:jc w:val="center"/>
        <w:rPr>
          <w:b w:val="1"/>
          <w:bCs w:val="1"/>
        </w:rPr>
      </w:pPr>
      <w:r w:rsidDel="00000000" w:rsidR="00000000" w:rsidRPr="00000000">
        <w:rPr>
          <w:sz w:val="22"/>
          <w:szCs w:val="22"/>
          <w:rtl w:val="0"/>
        </w:rPr>
        <w:t xml:space="preserve">Table 7. Products Labeling</w:t>
      </w:r>
      <w:r w:rsidDel="00000000" w:rsidR="00000000" w:rsidRPr="00000000">
        <w:rPr>
          <w:rtl w:val="0"/>
        </w:rPr>
      </w:r>
    </w:p>
    <w:p w:rsidR="00000000" w:rsidDel="00000000" w:rsidP="00000000" w:rsidRDefault="00000000" w:rsidRPr="00000000" w14:paraId="00000155">
      <w:pPr>
        <w:pageBreakBefore w:val="0"/>
        <w:jc w:val="both"/>
        <w:rPr/>
      </w:pPr>
      <w:r w:rsidDel="00000000" w:rsidR="00000000" w:rsidRPr="00000000">
        <w:rPr>
          <w:rtl w:val="0"/>
        </w:rPr>
      </w:r>
    </w:p>
    <w:p w:rsidR="00000000" w:rsidDel="00000000" w:rsidP="00000000" w:rsidRDefault="00000000" w:rsidRPr="00000000" w14:paraId="00000156">
      <w:pPr>
        <w:pageBreakBefore w:val="0"/>
        <w:jc w:val="both"/>
        <w:rPr/>
      </w:pPr>
      <w:r w:rsidDel="00000000" w:rsidR="00000000" w:rsidRPr="00000000">
        <w:rPr>
          <w:rtl w:val="0"/>
        </w:rPr>
        <w:t xml:space="preserve">Below is the economic panel for Norway in 2013. We can see that for different percentages of heuristic total export growth, the ECIs of Norway have different amounts of increments. </w:t>
      </w:r>
      <w:r w:rsidDel="00000000" w:rsidR="00000000" w:rsidRPr="00000000">
        <w:rPr>
          <w:rtl w:val="0"/>
        </w:rPr>
        <w:t xml:space="preserve">Overall, 5 and 10 percent export growth result in a high ECI improvement pattern, which starts from around -0.21 and ends at around 0.44. However, 15 and 20 percent export growth are able to result in obvious ECI improvement trajectories. For a 15 percent growth budget, ECI of Norway is able to end at around 0.71 while for a 20 percent budget, the increment is even more obvious, eventually achieving around 1.08. </w:t>
      </w:r>
      <w:r w:rsidDel="00000000" w:rsidR="00000000" w:rsidRPr="00000000">
        <w:rPr>
          <w:rtl w:val="0"/>
        </w:rPr>
      </w:r>
    </w:p>
    <w:p w:rsidR="00000000" w:rsidDel="00000000" w:rsidP="00000000" w:rsidRDefault="00000000" w:rsidRPr="00000000" w14:paraId="00000157">
      <w:pPr>
        <w:pageBreakBefore w:val="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8">
      <w:pPr>
        <w:pageBreakBefore w:val="0"/>
        <w:jc w:val="both"/>
        <w:rPr/>
      </w:pPr>
      <w:r w:rsidDel="00000000" w:rsidR="00000000" w:rsidRPr="00000000">
        <w:rPr>
          <w:rtl w:val="0"/>
        </w:rPr>
        <w:t xml:space="preserve">For the case of 5 percent export Daily Instruments, Chemicals and Textiles account for most of the portfolio. For 10 percent export growth, in addition to the industries that we mentioned before, more weights are put on other industries, such as Wood Products, and Vegetables, Fruits and Plants. In these two ECI improvement trajectories, we also notice that the largest improvement comes from Wood Products, suggesting that with a low economic improvement anticipation, Norway should focus more on developing the industry of Wood Products. For the case of 15 and 20 percent increment budgets, we realize that the development trajectories are in a similar pattern except that there are a few additional steps when there are more budgets. Different from the previous two cases, the solutions suggest that Norway should invest more on machinery and construction and weapons. This makes sense because with more budgets, a country should definitely focus more on the development of high-end product spaces. A more detailed numerical representation of the portfolio is shown in Table 8.</w:t>
      </w:r>
      <w:r w:rsidDel="00000000" w:rsidR="00000000" w:rsidRPr="00000000">
        <w:rPr>
          <w:rtl w:val="0"/>
        </w:rPr>
      </w:r>
    </w:p>
    <w:p w:rsidR="00000000" w:rsidDel="00000000" w:rsidP="00000000" w:rsidRDefault="00000000" w:rsidRPr="00000000" w14:paraId="00000159">
      <w:pPr>
        <w:pageBreakBefore w:val="0"/>
        <w:jc w:val="both"/>
        <w:rPr/>
      </w:pPr>
      <w:r w:rsidDel="00000000" w:rsidR="00000000" w:rsidRPr="00000000">
        <w:rPr>
          <w:rtl w:val="0"/>
        </w:rPr>
      </w:r>
    </w:p>
    <w:p w:rsidR="00000000" w:rsidDel="00000000" w:rsidP="00000000" w:rsidRDefault="00000000" w:rsidRPr="00000000" w14:paraId="0000015A">
      <w:pPr>
        <w:pageBreakBefore w:val="0"/>
        <w:jc w:val="both"/>
        <w:rPr/>
      </w:pPr>
      <w:r w:rsidDel="00000000" w:rsidR="00000000" w:rsidRPr="00000000">
        <w:rPr/>
        <w:drawing>
          <wp:inline distB="114300" distT="114300" distL="114300" distR="114300">
            <wp:extent cx="5731200" cy="2019300"/>
            <wp:effectExtent b="0" l="0" r="0" t="0"/>
            <wp:docPr id="8"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2019300"/>
                    </a:xfrm>
                    <a:prstGeom prst="rect"/>
                    <a:ln/>
                  </pic:spPr>
                </pic:pic>
              </a:graphicData>
            </a:graphic>
          </wp:inline>
        </w:drawing>
      </w:r>
      <w:r w:rsidDel="00000000" w:rsidR="00000000" w:rsidRPr="00000000">
        <w:rPr/>
        <w:drawing>
          <wp:inline distB="114300" distT="114300" distL="114300" distR="114300">
            <wp:extent cx="5731200" cy="1739900"/>
            <wp:effectExtent b="0" l="0" r="0" t="0"/>
            <wp:docPr id="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jc w:val="both"/>
        <w:rPr/>
      </w:pPr>
      <w:r w:rsidDel="00000000" w:rsidR="00000000" w:rsidRPr="00000000">
        <w:rPr>
          <w:rtl w:val="0"/>
        </w:rPr>
      </w:r>
    </w:p>
    <w:p w:rsidR="00000000" w:rsidDel="00000000" w:rsidP="00000000" w:rsidRDefault="00000000" w:rsidRPr="00000000" w14:paraId="0000015C">
      <w:pPr>
        <w:pageBreakBefore w:val="0"/>
        <w:jc w:val="both"/>
        <w:rPr/>
      </w:pPr>
      <w:r w:rsidDel="00000000" w:rsidR="00000000" w:rsidRPr="00000000">
        <w:rPr>
          <w:rtl w:val="0"/>
        </w:rPr>
      </w:r>
    </w:p>
    <w:p w:rsidR="00000000" w:rsidDel="00000000" w:rsidP="00000000" w:rsidRDefault="00000000" w:rsidRPr="00000000" w14:paraId="0000015D">
      <w:pPr>
        <w:pageBreakBefore w:val="0"/>
        <w:jc w:val="center"/>
        <w:rPr/>
      </w:pPr>
      <w:r w:rsidDel="00000000" w:rsidR="00000000" w:rsidRPr="00000000">
        <w:rPr>
          <w:rtl w:val="0"/>
        </w:rPr>
        <w:t xml:space="preserve">Figure 8a. Greedy-Based ECI Improvement Results of Norway with Different Budgets (2013)</w:t>
      </w:r>
    </w:p>
    <w:p w:rsidR="00000000" w:rsidDel="00000000" w:rsidP="00000000" w:rsidRDefault="00000000" w:rsidRPr="00000000" w14:paraId="0000015E">
      <w:pPr>
        <w:pageBreakBefore w:val="0"/>
        <w:jc w:val="both"/>
        <w:rPr/>
      </w:pPr>
      <w:r w:rsidDel="00000000" w:rsidR="00000000" w:rsidRPr="00000000">
        <w:rPr>
          <w:rtl w:val="0"/>
        </w:rPr>
      </w:r>
    </w:p>
    <w:p w:rsidR="00000000" w:rsidDel="00000000" w:rsidP="00000000" w:rsidRDefault="00000000" w:rsidRPr="00000000" w14:paraId="0000015F">
      <w:pPr>
        <w:pageBreakBefore w:val="0"/>
        <w:jc w:val="both"/>
        <w:rPr/>
      </w:pPr>
      <w:r w:rsidDel="00000000" w:rsidR="00000000" w:rsidRPr="00000000">
        <w:rPr/>
        <w:drawing>
          <wp:inline distB="114300" distT="114300" distL="114300" distR="114300">
            <wp:extent cx="5731200" cy="1651000"/>
            <wp:effectExtent b="0" l="0" r="0" t="0"/>
            <wp:docPr id="2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both"/>
        <w:rPr/>
      </w:pP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rtl w:val="0"/>
        </w:rPr>
        <w:t xml:space="preserve">Table 8a: Portfolio of Norway in 2013</w:t>
      </w:r>
    </w:p>
    <w:p w:rsidR="00000000" w:rsidDel="00000000" w:rsidP="00000000" w:rsidRDefault="00000000" w:rsidRPr="00000000" w14:paraId="00000162">
      <w:pPr>
        <w:pageBreakBefore w:val="0"/>
        <w:jc w:val="both"/>
        <w:rPr/>
      </w:pPr>
      <w:r w:rsidDel="00000000" w:rsidR="00000000" w:rsidRPr="00000000">
        <w:rPr>
          <w:rtl w:val="0"/>
        </w:rPr>
        <w:t xml:space="preserve">F</w:t>
      </w:r>
      <w:r w:rsidDel="00000000" w:rsidR="00000000" w:rsidRPr="00000000">
        <w:rPr>
          <w:rtl w:val="0"/>
        </w:rPr>
        <w:t xml:space="preserve">or further suggestions on Norway’s development in the future. We also offer the optimization result of Norway based on export data in 2018. Below is the economic panel for Norway in 2018. We can see that there is a similar pattern for the ECI improvement trajectories, which is that the improvements in 5 and 10 percent export growth are similar, and the ones in 15 and 20 are lower. The main components of the ECI Optimization Results are also very similar to the 2013 case for the 5 percent case. For a 10 percent growth, the main components also consist of chemical manufacturing and Daily Instruments. For situations with higher budgets of investment, like 15 or 20 percent of growth, the portfolios are much more diverse than the previous two cases. In addition to the previously mentioned industries, industries like chemical manufacturing and daily instruments, Machinery &amp; Construction are the ones that contribute a lot in ECI increments. A more detailed numerical representation of the portfolio is shown in Table 9. </w:t>
      </w:r>
    </w:p>
    <w:p w:rsidR="00000000" w:rsidDel="00000000" w:rsidP="00000000" w:rsidRDefault="00000000" w:rsidRPr="00000000" w14:paraId="00000163">
      <w:pPr>
        <w:pageBreakBefore w:val="0"/>
        <w:jc w:val="both"/>
        <w:rPr/>
      </w:pPr>
      <w:r w:rsidDel="00000000" w:rsidR="00000000" w:rsidRPr="00000000">
        <w:rPr>
          <w:rtl w:val="0"/>
        </w:rPr>
      </w:r>
    </w:p>
    <w:p w:rsidR="00000000" w:rsidDel="00000000" w:rsidP="00000000" w:rsidRDefault="00000000" w:rsidRPr="00000000" w14:paraId="00000164">
      <w:pPr>
        <w:pageBreakBefore w:val="0"/>
        <w:jc w:val="both"/>
        <w:rPr/>
      </w:pPr>
      <w:r w:rsidDel="00000000" w:rsidR="00000000" w:rsidRPr="00000000">
        <w:rPr/>
        <w:drawing>
          <wp:inline distB="114300" distT="114300" distL="114300" distR="114300">
            <wp:extent cx="5731200" cy="1943100"/>
            <wp:effectExtent b="0" l="0" r="0" t="0"/>
            <wp:docPr id="1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1943100"/>
                    </a:xfrm>
                    <a:prstGeom prst="rect"/>
                    <a:ln/>
                  </pic:spPr>
                </pic:pic>
              </a:graphicData>
            </a:graphic>
          </wp:inline>
        </w:drawing>
      </w:r>
      <w:r w:rsidDel="00000000" w:rsidR="00000000" w:rsidRPr="00000000">
        <w:rPr/>
        <w:drawing>
          <wp:inline distB="114300" distT="114300" distL="114300" distR="114300">
            <wp:extent cx="5731200" cy="1612900"/>
            <wp:effectExtent b="0" l="0" r="0" t="0"/>
            <wp:docPr id="39"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jc w:val="both"/>
        <w:rPr/>
      </w:pPr>
      <w:r w:rsidDel="00000000" w:rsidR="00000000" w:rsidRPr="00000000">
        <w:rPr>
          <w:rtl w:val="0"/>
        </w:rPr>
      </w:r>
    </w:p>
    <w:p w:rsidR="00000000" w:rsidDel="00000000" w:rsidP="00000000" w:rsidRDefault="00000000" w:rsidRPr="00000000" w14:paraId="00000166">
      <w:pPr>
        <w:pageBreakBefore w:val="0"/>
        <w:jc w:val="center"/>
        <w:rPr/>
      </w:pPr>
      <w:r w:rsidDel="00000000" w:rsidR="00000000" w:rsidRPr="00000000">
        <w:rPr>
          <w:rtl w:val="0"/>
        </w:rPr>
        <w:t xml:space="preserve">Figure 8b: Greedy Based ECI Improvement Results of Norway in 2018 with Different Budgets</w:t>
      </w:r>
    </w:p>
    <w:p w:rsidR="00000000" w:rsidDel="00000000" w:rsidP="00000000" w:rsidRDefault="00000000" w:rsidRPr="00000000" w14:paraId="00000167">
      <w:pPr>
        <w:pageBreakBefore w:val="0"/>
        <w:jc w:val="both"/>
        <w:rPr/>
      </w:pPr>
      <w:r w:rsidDel="00000000" w:rsidR="00000000" w:rsidRPr="00000000">
        <w:rPr>
          <w:rtl w:val="0"/>
        </w:rPr>
      </w:r>
    </w:p>
    <w:p w:rsidR="00000000" w:rsidDel="00000000" w:rsidP="00000000" w:rsidRDefault="00000000" w:rsidRPr="00000000" w14:paraId="00000168">
      <w:pPr>
        <w:pageBreakBefore w:val="0"/>
        <w:jc w:val="both"/>
        <w:rPr/>
      </w:pPr>
      <w:r w:rsidDel="00000000" w:rsidR="00000000" w:rsidRPr="00000000">
        <w:rPr/>
        <w:drawing>
          <wp:inline distB="114300" distT="114300" distL="114300" distR="114300">
            <wp:extent cx="5731200" cy="1625600"/>
            <wp:effectExtent b="0" l="0" r="0" t="0"/>
            <wp:docPr id="2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ageBreakBefore w:val="0"/>
        <w:jc w:val="center"/>
        <w:rPr/>
      </w:pPr>
      <w:r w:rsidDel="00000000" w:rsidR="00000000" w:rsidRPr="00000000">
        <w:rPr>
          <w:rtl w:val="0"/>
        </w:rPr>
        <w:t xml:space="preserve">Table 8b: Portfolio of Norway in 2018</w:t>
      </w:r>
    </w:p>
    <w:p w:rsidR="00000000" w:rsidDel="00000000" w:rsidP="00000000" w:rsidRDefault="00000000" w:rsidRPr="00000000" w14:paraId="0000016A">
      <w:pPr>
        <w:pageBreakBefore w:val="0"/>
        <w:jc w:val="both"/>
        <w:rPr/>
      </w:pPr>
      <w:r w:rsidDel="00000000" w:rsidR="00000000" w:rsidRPr="00000000">
        <w:rPr>
          <w:rtl w:val="0"/>
        </w:rPr>
        <w:t xml:space="preserve">To compare with the performance in 2013 and 2018, we also re-examine suggested strategies for 2021. For 2021, a 5% increase in export would emphasize Vegetables, Fruits, and Plants and Food and Preparation. At 10% and 15%, Precious Stones also becomes a major industry, while at 20%, Transportation becomes the key to growth. </w:t>
      </w:r>
      <w:r w:rsidDel="00000000" w:rsidR="00000000" w:rsidRPr="00000000">
        <w:rPr>
          <w:rtl w:val="0"/>
        </w:rPr>
        <w:t xml:space="preserve">These strategies go in line with the suggested trajectories based on ECI. Norway’s GDP and ECI have experienced consistent growth over the years, and its focus on Precious Stones can be attributed to this growth. A more detailed numerical representation of the portfolio for Norway is shown in Table 8c.</w:t>
      </w:r>
      <w:r w:rsidDel="00000000" w:rsidR="00000000" w:rsidRPr="00000000">
        <w:rPr>
          <w:rtl w:val="0"/>
        </w:rPr>
      </w:r>
    </w:p>
    <w:p w:rsidR="00000000" w:rsidDel="00000000" w:rsidP="00000000" w:rsidRDefault="00000000" w:rsidRPr="00000000" w14:paraId="0000016B">
      <w:pPr>
        <w:pageBreakBefore w:val="0"/>
        <w:jc w:val="center"/>
        <w:rPr/>
      </w:pPr>
      <w:r w:rsidDel="00000000" w:rsidR="00000000" w:rsidRPr="00000000">
        <w:rPr>
          <w:rtl w:val="0"/>
        </w:rPr>
      </w:r>
    </w:p>
    <w:p w:rsidR="00000000" w:rsidDel="00000000" w:rsidP="00000000" w:rsidRDefault="00000000" w:rsidRPr="00000000" w14:paraId="0000016C">
      <w:pPr>
        <w:pageBreakBefore w:val="0"/>
        <w:jc w:val="center"/>
        <w:rPr/>
      </w:pPr>
      <w:r w:rsidDel="00000000" w:rsidR="00000000" w:rsidRPr="00000000">
        <w:rPr/>
        <w:drawing>
          <wp:inline distB="114300" distT="114300" distL="114300" distR="114300">
            <wp:extent cx="4010025" cy="2005013"/>
            <wp:effectExtent b="0" l="0" r="0" t="0"/>
            <wp:docPr id="41"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4010025"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ageBreakBefore w:val="0"/>
        <w:jc w:val="center"/>
        <w:rPr/>
      </w:pPr>
      <w:r w:rsidDel="00000000" w:rsidR="00000000" w:rsidRPr="00000000">
        <w:rPr/>
        <w:drawing>
          <wp:inline distB="114300" distT="114300" distL="114300" distR="114300">
            <wp:extent cx="4071938" cy="1535432"/>
            <wp:effectExtent b="0" l="0" r="0" t="0"/>
            <wp:docPr id="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071938" cy="1535432"/>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sz w:val="22"/>
          <w:szCs w:val="22"/>
        </w:rPr>
      </w:pPr>
      <w:r w:rsidDel="00000000" w:rsidR="00000000" w:rsidRPr="00000000">
        <w:rPr>
          <w:sz w:val="22"/>
          <w:szCs w:val="22"/>
          <w:rtl w:val="0"/>
        </w:rPr>
        <w:t xml:space="preserve">Figure 4c. Greedy-Based ECI Improvement Results of Norway with Different Budgets (2021)</w:t>
      </w:r>
    </w:p>
    <w:p w:rsidR="00000000" w:rsidDel="00000000" w:rsidP="00000000" w:rsidRDefault="00000000" w:rsidRPr="00000000" w14:paraId="0000016F">
      <w:pPr>
        <w:jc w:val="center"/>
        <w:rPr>
          <w:sz w:val="22"/>
          <w:szCs w:val="22"/>
        </w:rPr>
      </w:pPr>
      <w:r w:rsidDel="00000000" w:rsidR="00000000" w:rsidRPr="00000000">
        <w:rPr>
          <w:sz w:val="22"/>
          <w:szCs w:val="22"/>
        </w:rPr>
        <w:drawing>
          <wp:inline distB="114300" distT="114300" distL="114300" distR="114300">
            <wp:extent cx="5731200" cy="1460500"/>
            <wp:effectExtent b="0" l="0" r="0" t="0"/>
            <wp:docPr id="1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sz w:val="22"/>
          <w:szCs w:val="22"/>
        </w:rPr>
      </w:pPr>
      <w:r w:rsidDel="00000000" w:rsidR="00000000" w:rsidRPr="00000000">
        <w:rPr>
          <w:sz w:val="22"/>
          <w:szCs w:val="22"/>
          <w:rtl w:val="0"/>
        </w:rPr>
        <w:t xml:space="preserve">Table 8c. Portfolio of Norway (2021)</w:t>
      </w:r>
    </w:p>
    <w:p w:rsidR="00000000" w:rsidDel="00000000" w:rsidP="00000000" w:rsidRDefault="00000000" w:rsidRPr="00000000" w14:paraId="00000171">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72">
      <w:pPr>
        <w:pageBreakBefore w:val="0"/>
        <w:spacing w:after="240" w:before="240" w:line="276" w:lineRule="auto"/>
        <w:jc w:val="both"/>
        <w:rPr/>
      </w:pPr>
      <w:r w:rsidDel="00000000" w:rsidR="00000000" w:rsidRPr="00000000">
        <w:rPr>
          <w:rtl w:val="0"/>
        </w:rPr>
        <w:t xml:space="preserve">In the following section our broad aim is to understand how sensitive Norway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73">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74">
      <w:pPr>
        <w:pageBreakBefore w:val="0"/>
        <w:spacing w:after="240" w:before="240" w:line="276" w:lineRule="auto"/>
        <w:jc w:val="both"/>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75">
      <w:pPr>
        <w:pageBreakBefore w:val="0"/>
        <w:spacing w:after="240" w:before="240" w:line="276" w:lineRule="auto"/>
        <w:jc w:val="both"/>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76">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3" name="image2.jpg"/>
            <a:graphic>
              <a:graphicData uri="http://schemas.openxmlformats.org/drawingml/2006/picture">
                <pic:pic>
                  <pic:nvPicPr>
                    <pic:cNvPr id="0" name="image2.jpg"/>
                    <pic:cNvPicPr preferRelativeResize="0"/>
                  </pic:nvPicPr>
                  <pic:blipFill>
                    <a:blip r:embed="rId30"/>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jc w:val="center"/>
        <w:rPr>
          <w:b w:val="1"/>
          <w:bCs w:val="1"/>
        </w:rPr>
      </w:pPr>
      <w:r w:rsidDel="00000000" w:rsidR="00000000" w:rsidRPr="00000000">
        <w:rPr>
          <w:sz w:val="22"/>
          <w:szCs w:val="22"/>
          <w:rtl w:val="0"/>
        </w:rPr>
        <w:t xml:space="preserve">Example 2018 (Incremental ECI Sensitivity)</w:t>
      </w:r>
      <w:r w:rsidDel="00000000" w:rsidR="00000000" w:rsidRPr="00000000">
        <w:rPr>
          <w:rtl w:val="0"/>
        </w:rPr>
      </w:r>
    </w:p>
    <w:p w:rsidR="00000000" w:rsidDel="00000000" w:rsidP="00000000" w:rsidRDefault="00000000" w:rsidRPr="00000000" w14:paraId="00000178">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79">
      <w:pPr>
        <w:pageBreakBefore w:val="0"/>
        <w:spacing w:after="240" w:before="240" w:line="276" w:lineRule="auto"/>
        <w:jc w:val="both"/>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7A">
      <w:pPr>
        <w:pageBreakBefore w:val="0"/>
        <w:spacing w:after="240" w:before="240" w:line="276" w:lineRule="auto"/>
        <w:jc w:val="both"/>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7B">
      <w:pPr>
        <w:pageBreakBefore w:val="0"/>
        <w:spacing w:line="276" w:lineRule="auto"/>
        <w:jc w:val="both"/>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7C">
      <w:pPr>
        <w:pageBreakBefore w:val="0"/>
        <w:spacing w:line="276" w:lineRule="auto"/>
        <w:rPr/>
      </w:pPr>
      <w:r w:rsidDel="00000000" w:rsidR="00000000" w:rsidRPr="00000000">
        <w:rPr>
          <w:rtl w:val="0"/>
        </w:rPr>
      </w:r>
    </w:p>
    <w:p w:rsidR="00000000" w:rsidDel="00000000" w:rsidP="00000000" w:rsidRDefault="00000000" w:rsidRPr="00000000" w14:paraId="0000017D">
      <w:pPr>
        <w:pageBreakBefore w:val="0"/>
        <w:jc w:val="both"/>
        <w:rPr/>
      </w:pPr>
      <w:r w:rsidDel="00000000" w:rsidR="00000000" w:rsidRPr="00000000">
        <w:rPr/>
        <w:drawing>
          <wp:inline distB="114300" distT="114300" distL="114300" distR="114300">
            <wp:extent cx="5734050" cy="1739900"/>
            <wp:effectExtent b="0" l="0" r="0" t="0"/>
            <wp:docPr id="5" name="image14.jpg"/>
            <a:graphic>
              <a:graphicData uri="http://schemas.openxmlformats.org/drawingml/2006/picture">
                <pic:pic>
                  <pic:nvPicPr>
                    <pic:cNvPr id="0" name="image14.jpg"/>
                    <pic:cNvPicPr preferRelativeResize="0"/>
                  </pic:nvPicPr>
                  <pic:blipFill>
                    <a:blip r:embed="rId31"/>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ind w:left="720" w:firstLine="720"/>
        <w:jc w:val="both"/>
        <w:rPr>
          <w:b w:val="1"/>
          <w:bCs w:val="1"/>
        </w:rPr>
      </w:pPr>
      <w:r w:rsidDel="00000000" w:rsidR="00000000" w:rsidRPr="00000000">
        <w:rPr>
          <w:sz w:val="22"/>
          <w:szCs w:val="22"/>
          <w:rtl w:val="0"/>
        </w:rPr>
        <w:t xml:space="preserve">Example High-complexity Products 2018 (Incremental SDV Sensitivity)</w:t>
      </w:r>
      <w:r w:rsidDel="00000000" w:rsidR="00000000" w:rsidRPr="00000000">
        <w:rPr>
          <w:rtl w:val="0"/>
        </w:rPr>
      </w:r>
    </w:p>
    <w:p w:rsidR="00000000" w:rsidDel="00000000" w:rsidP="00000000" w:rsidRDefault="00000000" w:rsidRPr="00000000" w14:paraId="0000017F">
      <w:pPr>
        <w:jc w:val="center"/>
        <w:rPr>
          <w:sz w:val="22"/>
          <w:szCs w:val="22"/>
        </w:rPr>
      </w:pPr>
      <w:r w:rsidDel="00000000" w:rsidR="00000000" w:rsidRPr="00000000">
        <w:rPr>
          <w:sz w:val="22"/>
          <w:szCs w:val="22"/>
        </w:rPr>
        <w:drawing>
          <wp:inline distB="114300" distT="114300" distL="114300" distR="114300">
            <wp:extent cx="4600575" cy="2989911"/>
            <wp:effectExtent b="0" l="0" r="0" t="0"/>
            <wp:docPr id="31" name="image27.jpg"/>
            <a:graphic>
              <a:graphicData uri="http://schemas.openxmlformats.org/drawingml/2006/picture">
                <pic:pic>
                  <pic:nvPicPr>
                    <pic:cNvPr id="0" name="image27.jpg"/>
                    <pic:cNvPicPr preferRelativeResize="0"/>
                  </pic:nvPicPr>
                  <pic:blipFill>
                    <a:blip r:embed="rId32"/>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sz w:val="22"/>
          <w:szCs w:val="22"/>
        </w:rPr>
      </w:pPr>
      <w:r w:rsidDel="00000000" w:rsidR="00000000" w:rsidRPr="00000000">
        <w:rPr>
          <w:rtl w:val="0"/>
        </w:rPr>
      </w:r>
    </w:p>
    <w:p w:rsidR="00000000" w:rsidDel="00000000" w:rsidP="00000000" w:rsidRDefault="00000000" w:rsidRPr="00000000" w14:paraId="00000181">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8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3">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84">
      <w:pPr>
        <w:jc w:val="both"/>
        <w:rPr/>
      </w:pPr>
      <w:r w:rsidDel="00000000" w:rsidR="00000000" w:rsidRPr="00000000">
        <w:rPr>
          <w:rtl w:val="0"/>
        </w:rPr>
        <w:t xml:space="preserve">We examine Norway’s ECI Decremental and Incremental Sensitivity Charts for 2021. An increase in Chemicals will lead to the highest change in ECI, followed by Daily Instruments. The strong sensitivity effect of manipulating the Daily Instruments category remains consistent with previous years. For the negative shock cases, Energy, Drilling, and Mining becomes most impactful, with large decreases leading to an increased ECI. This trend remains consistent across years. The rest of the industries do not appear to have the same level of sensitivity.</w:t>
      </w:r>
    </w:p>
    <w:p w:rsidR="00000000" w:rsidDel="00000000" w:rsidP="00000000" w:rsidRDefault="00000000" w:rsidRPr="00000000" w14:paraId="0000018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6">
      <w:pPr>
        <w:pageBreakBefore w:val="0"/>
        <w:jc w:val="both"/>
        <w:rPr>
          <w:b w:val="1"/>
          <w:bCs w:val="1"/>
          <w:sz w:val="28"/>
          <w:szCs w:val="28"/>
        </w:rPr>
      </w:pPr>
      <w:r w:rsidDel="00000000" w:rsidR="00000000" w:rsidRPr="00000000">
        <w:rPr>
          <w:b w:val="1"/>
          <w:bCs w:val="1"/>
          <w:sz w:val="28"/>
          <w:szCs w:val="28"/>
        </w:rPr>
        <w:drawing>
          <wp:inline distB="114300" distT="114300" distL="114300" distR="114300">
            <wp:extent cx="4862513" cy="1801244"/>
            <wp:effectExtent b="0" l="0" r="0" t="0"/>
            <wp:docPr id="18" name="image12.png"/>
            <a:graphic>
              <a:graphicData uri="http://schemas.openxmlformats.org/drawingml/2006/picture">
                <pic:pic>
                  <pic:nvPicPr>
                    <pic:cNvPr id="0" name="image12.png"/>
                    <pic:cNvPicPr preferRelativeResize="0"/>
                  </pic:nvPicPr>
                  <pic:blipFill>
                    <a:blip r:embed="rId33"/>
                    <a:srcRect b="0" l="0" r="4485" t="0"/>
                    <a:stretch>
                      <a:fillRect/>
                    </a:stretch>
                  </pic:blipFill>
                  <pic:spPr>
                    <a:xfrm>
                      <a:off x="0" y="0"/>
                      <a:ext cx="4862513" cy="1801244"/>
                    </a:xfrm>
                    <a:prstGeom prst="rect"/>
                    <a:ln/>
                  </pic:spPr>
                </pic:pic>
              </a:graphicData>
            </a:graphic>
          </wp:inline>
        </w:drawing>
      </w:r>
      <w:r w:rsidDel="00000000" w:rsidR="00000000" w:rsidRPr="00000000">
        <w:rPr>
          <w:b w:val="1"/>
          <w:bCs w:val="1"/>
          <w:sz w:val="28"/>
          <w:szCs w:val="28"/>
        </w:rPr>
        <w:drawing>
          <wp:inline distB="114300" distT="114300" distL="114300" distR="114300">
            <wp:extent cx="776288" cy="1918539"/>
            <wp:effectExtent b="0" l="0" r="0" t="0"/>
            <wp:docPr id="33" name="image1.png"/>
            <a:graphic>
              <a:graphicData uri="http://schemas.openxmlformats.org/drawingml/2006/picture">
                <pic:pic>
                  <pic:nvPicPr>
                    <pic:cNvPr id="0" name="image1.png"/>
                    <pic:cNvPicPr preferRelativeResize="0"/>
                  </pic:nvPicPr>
                  <pic:blipFill>
                    <a:blip r:embed="rId34"/>
                    <a:srcRect b="0" l="85714" r="0" t="0"/>
                    <a:stretch>
                      <a:fillRect/>
                    </a:stretch>
                  </pic:blipFill>
                  <pic:spPr>
                    <a:xfrm>
                      <a:off x="0" y="0"/>
                      <a:ext cx="776288" cy="1918539"/>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jc w:val="center"/>
        <w:rPr>
          <w:b w:val="1"/>
          <w:bCs w:val="1"/>
          <w:sz w:val="28"/>
          <w:szCs w:val="28"/>
        </w:rPr>
      </w:pPr>
      <w:r w:rsidDel="00000000" w:rsidR="00000000" w:rsidRPr="00000000">
        <w:rPr>
          <w:sz w:val="22"/>
          <w:szCs w:val="22"/>
          <w:rtl w:val="0"/>
        </w:rPr>
        <w:t xml:space="preserve">Figure 6a. Incremental ECI Sensitivity for Norway (2021)</w:t>
      </w:r>
      <w:r w:rsidDel="00000000" w:rsidR="00000000" w:rsidRPr="00000000">
        <w:rPr>
          <w:rtl w:val="0"/>
        </w:rPr>
      </w:r>
    </w:p>
    <w:p w:rsidR="00000000" w:rsidDel="00000000" w:rsidP="00000000" w:rsidRDefault="00000000" w:rsidRPr="00000000" w14:paraId="00000188">
      <w:pPr>
        <w:pageBreakBefore w:val="0"/>
        <w:jc w:val="both"/>
        <w:rPr>
          <w:b w:val="1"/>
          <w:bCs w:val="1"/>
          <w:sz w:val="28"/>
          <w:szCs w:val="28"/>
        </w:rPr>
      </w:pPr>
      <w:r w:rsidDel="00000000" w:rsidR="00000000" w:rsidRPr="00000000">
        <w:rPr>
          <w:b w:val="1"/>
          <w:bCs w:val="1"/>
          <w:sz w:val="28"/>
          <w:szCs w:val="28"/>
        </w:rPr>
        <w:drawing>
          <wp:inline distB="114300" distT="114300" distL="114300" distR="114300">
            <wp:extent cx="5731200" cy="2032000"/>
            <wp:effectExtent b="0" l="0" r="0" t="0"/>
            <wp:docPr id="15"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b w:val="1"/>
          <w:bCs w:val="1"/>
          <w:sz w:val="28"/>
          <w:szCs w:val="28"/>
        </w:rPr>
      </w:pPr>
      <w:r w:rsidDel="00000000" w:rsidR="00000000" w:rsidRPr="00000000">
        <w:rPr>
          <w:sz w:val="22"/>
          <w:szCs w:val="22"/>
          <w:rtl w:val="0"/>
        </w:rPr>
        <w:t xml:space="preserve">Figure 6b. Decremental ECI Sensitivity for Norway (2021)</w:t>
      </w:r>
      <w:r w:rsidDel="00000000" w:rsidR="00000000" w:rsidRPr="00000000">
        <w:rPr>
          <w:rtl w:val="0"/>
        </w:rPr>
      </w:r>
    </w:p>
    <w:p w:rsidR="00000000" w:rsidDel="00000000" w:rsidP="00000000" w:rsidRDefault="00000000" w:rsidRPr="00000000" w14:paraId="0000018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Below is Norway’s 2018 ECI Sensitivity Charts. Firstly in the positive chart, we notice immediately that increases in Daily Instruments and Machinery &amp; Construction</w:t>
      </w:r>
      <w:r w:rsidDel="00000000" w:rsidR="00000000" w:rsidRPr="00000000">
        <w:rPr>
          <w:rtl w:val="0"/>
        </w:rPr>
        <w:t xml:space="preserve"> lead to an uptrend in ECI</w:t>
      </w:r>
      <w:r w:rsidDel="00000000" w:rsidR="00000000" w:rsidRPr="00000000">
        <w:rPr>
          <w:rtl w:val="0"/>
        </w:rPr>
        <w:t xml:space="preserve">. Machinery &amp; Construction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Next we consider Norway’s 2018 Negative Shock chart. We see that Norway’s ECI is slightly sensitive to drawdowns in Metals and Services and Utilities. More interestingly we see that large decreases in Energy, Drilling, and Mining seem to greatly increase the ECI score. These industries are very important for Norway’s economy and thus the results that are reflected in the chart may be suggesting that there is another industry that could be very beneficial for Norway that is far in proximity from Machinery &amp; Construction and Daily Instruments.  </w:t>
      </w:r>
    </w:p>
    <w:p w:rsidR="00000000" w:rsidDel="00000000" w:rsidP="00000000" w:rsidRDefault="00000000" w:rsidRPr="00000000" w14:paraId="0000018E">
      <w:pPr>
        <w:tabs>
          <w:tab w:val="center" w:leader="none" w:pos="4680"/>
          <w:tab w:val="right" w:leader="none" w:pos="9360"/>
        </w:tabs>
        <w:jc w:val="center"/>
        <w:rPr>
          <w:b w:val="1"/>
          <w:bCs w:val="1"/>
        </w:rPr>
      </w:pPr>
      <w:r w:rsidDel="00000000" w:rsidR="00000000" w:rsidRPr="00000000">
        <w:rPr>
          <w:rFonts w:ascii="Calibri" w:cs="Calibri" w:eastAsia="Calibri" w:hAnsi="Calibri"/>
        </w:rPr>
        <w:drawing>
          <wp:inline distB="114300" distT="114300" distL="114300" distR="114300">
            <wp:extent cx="4548188" cy="1454719"/>
            <wp:effectExtent b="0" l="0" r="0" t="0"/>
            <wp:docPr id="17"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548188" cy="1454719"/>
                    </a:xfrm>
                    <a:prstGeom prst="rect"/>
                    <a:ln/>
                  </pic:spPr>
                </pic:pic>
              </a:graphicData>
            </a:graphic>
          </wp:inline>
        </w:drawing>
      </w:r>
      <w:r w:rsidDel="00000000" w:rsidR="00000000" w:rsidRPr="00000000">
        <w:rPr>
          <w:b w:val="1"/>
          <w:bCs w:val="1"/>
          <w:sz w:val="28"/>
          <w:szCs w:val="28"/>
        </w:rPr>
        <w:drawing>
          <wp:inline distB="114300" distT="114300" distL="114300" distR="114300">
            <wp:extent cx="685847" cy="1681163"/>
            <wp:effectExtent b="0" l="0" r="0" t="0"/>
            <wp:docPr id="30" name="image1.png"/>
            <a:graphic>
              <a:graphicData uri="http://schemas.openxmlformats.org/drawingml/2006/picture">
                <pic:pic>
                  <pic:nvPicPr>
                    <pic:cNvPr id="0" name="image1.png"/>
                    <pic:cNvPicPr preferRelativeResize="0"/>
                  </pic:nvPicPr>
                  <pic:blipFill>
                    <a:blip r:embed="rId34"/>
                    <a:srcRect b="0" l="85714" r="0" t="0"/>
                    <a:stretch>
                      <a:fillRect/>
                    </a:stretch>
                  </pic:blipFill>
                  <pic:spPr>
                    <a:xfrm>
                      <a:off x="0" y="0"/>
                      <a:ext cx="685847"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center"/>
        <w:rPr/>
      </w:pPr>
      <w:r w:rsidDel="00000000" w:rsidR="00000000" w:rsidRPr="00000000">
        <w:rPr>
          <w:sz w:val="22"/>
          <w:szCs w:val="22"/>
          <w:rtl w:val="0"/>
        </w:rPr>
        <w:t xml:space="preserve">Figure 7a. Incremental ECI Sensitivity for Norway (2018)</w:t>
      </w:r>
      <w:r w:rsidDel="00000000" w:rsidR="00000000" w:rsidRPr="00000000">
        <w:rPr>
          <w:rtl w:val="0"/>
        </w:rPr>
      </w:r>
    </w:p>
    <w:p w:rsidR="00000000" w:rsidDel="00000000" w:rsidP="00000000" w:rsidRDefault="00000000" w:rsidRPr="00000000" w14:paraId="00000190">
      <w:pPr>
        <w:pageBreakBefore w:val="0"/>
        <w:jc w:val="center"/>
        <w:rPr>
          <w:b w:val="1"/>
          <w:bCs w:val="1"/>
        </w:rPr>
      </w:pPr>
      <w:r w:rsidDel="00000000" w:rsidR="00000000" w:rsidRPr="00000000">
        <w:rPr>
          <w:b w:val="1"/>
          <w:bCs w:val="1"/>
        </w:rPr>
        <w:drawing>
          <wp:inline distB="114300" distT="114300" distL="114300" distR="114300">
            <wp:extent cx="5253916" cy="1747838"/>
            <wp:effectExtent b="0" l="0" r="0" t="0"/>
            <wp:docPr id="43"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253916"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ageBreakBefore w:val="0"/>
        <w:jc w:val="both"/>
        <w:rPr>
          <w:b w:val="1"/>
          <w:bCs w:val="1"/>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sz w:val="22"/>
          <w:szCs w:val="22"/>
          <w:rtl w:val="0"/>
        </w:rPr>
        <w:t xml:space="preserve">Figure 7b. Decremental ECI Sensitivity for Norway (2018)</w:t>
      </w: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Machinery and construction and Daily Instruments seem to offer the best ECI growth prospects. </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In the 2013 negative shocking case, we see that again Norway is very sensitive to drawdowns in Machinery &amp; Construction and Daily Instruments. </w:t>
      </w: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drawing>
          <wp:inline distB="114300" distT="114300" distL="114300" distR="114300">
            <wp:extent cx="5731200" cy="1841500"/>
            <wp:effectExtent b="0" l="0" r="0" t="0"/>
            <wp:docPr id="23"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ageBreakBefore w:val="0"/>
        <w:jc w:val="both"/>
        <w:rPr>
          <w:b w:val="1"/>
          <w:bCs w:val="1"/>
        </w:rPr>
      </w:pPr>
      <w:r w:rsidDel="00000000" w:rsidR="00000000" w:rsidRPr="00000000">
        <w:rPr>
          <w:rtl w:val="0"/>
        </w:rPr>
      </w:r>
    </w:p>
    <w:p w:rsidR="00000000" w:rsidDel="00000000" w:rsidP="00000000" w:rsidRDefault="00000000" w:rsidRPr="00000000" w14:paraId="00000199">
      <w:pPr>
        <w:jc w:val="center"/>
        <w:rPr/>
      </w:pPr>
      <w:r w:rsidDel="00000000" w:rsidR="00000000" w:rsidRPr="00000000">
        <w:rPr>
          <w:sz w:val="22"/>
          <w:szCs w:val="22"/>
          <w:rtl w:val="0"/>
        </w:rPr>
        <w:t xml:space="preserve">Figure 8a. Incremental ECI Sensitivity for Norway (2013)</w:t>
      </w:r>
      <w:r w:rsidDel="00000000" w:rsidR="00000000" w:rsidRPr="00000000">
        <w:rPr>
          <w:rtl w:val="0"/>
        </w:rPr>
      </w:r>
    </w:p>
    <w:p w:rsidR="00000000" w:rsidDel="00000000" w:rsidP="00000000" w:rsidRDefault="00000000" w:rsidRPr="00000000" w14:paraId="0000019A">
      <w:pPr>
        <w:pageBreakBefore w:val="0"/>
        <w:jc w:val="both"/>
        <w:rPr>
          <w:b w:val="1"/>
          <w:bCs w:val="1"/>
        </w:rPr>
      </w:pPr>
      <w:r w:rsidDel="00000000" w:rsidR="00000000" w:rsidRPr="00000000">
        <w:rPr>
          <w:rtl w:val="0"/>
        </w:rPr>
      </w:r>
    </w:p>
    <w:p w:rsidR="00000000" w:rsidDel="00000000" w:rsidP="00000000" w:rsidRDefault="00000000" w:rsidRPr="00000000" w14:paraId="0000019B">
      <w:pPr>
        <w:pageBreakBefore w:val="0"/>
        <w:jc w:val="both"/>
        <w:rPr>
          <w:b w:val="1"/>
          <w:bCs w:val="1"/>
        </w:rPr>
      </w:pPr>
      <w:r w:rsidDel="00000000" w:rsidR="00000000" w:rsidRPr="00000000">
        <w:rPr>
          <w:b w:val="1"/>
          <w:bCs w:val="1"/>
        </w:rPr>
        <w:drawing>
          <wp:inline distB="114300" distT="114300" distL="114300" distR="114300">
            <wp:extent cx="5731200" cy="1778000"/>
            <wp:effectExtent b="0" l="0" r="0" t="0"/>
            <wp:docPr id="35"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pPr>
      <w:r w:rsidDel="00000000" w:rsidR="00000000" w:rsidRPr="00000000">
        <w:rPr>
          <w:sz w:val="22"/>
          <w:szCs w:val="22"/>
          <w:rtl w:val="0"/>
        </w:rPr>
        <w:t xml:space="preserve">Figure 8b. Decremental ECI Sensitivity for Norway (2013)</w:t>
      </w: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t xml:space="preserve">Below we see the SDV sensitivity charts for Machinery &amp; Construction. We see that increasing the export of Machinery &amp; Construction does not open up any new positive opportunity gain industries for Norway to move into, instead it decreases an industry which can yield positive gains in ECI, namely Machinery &amp; Construction. In fact after about a 190% increase it is no longer for Norway to continue exporting Machinery &amp; Construction. </w:t>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t xml:space="preserve">As expected in the negative Machinery &amp; Construction DSV chart we see that there is no way to gain additional ECI by decreasing the export of Machinery and Construction. Hence the ECI stays at its original level. </w:t>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t xml:space="preserve">Concerning Weapons, Norway seems to be mostly insensitive to this industry suggesting that this is not an important industry in terms of the stability of its SDV. </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ind w:firstLine="720"/>
        <w:jc w:val="center"/>
        <w:rPr>
          <w:b w:val="1"/>
          <w:bCs w:val="1"/>
        </w:rPr>
      </w:pPr>
      <w:r w:rsidDel="00000000" w:rsidR="00000000" w:rsidRPr="00000000">
        <w:rPr>
          <w:b w:val="1"/>
          <w:bCs w:val="1"/>
        </w:rPr>
        <w:drawing>
          <wp:inline distB="114300" distT="114300" distL="114300" distR="114300">
            <wp:extent cx="2973121" cy="3214688"/>
            <wp:effectExtent b="0" l="0" r="0" t="0"/>
            <wp:docPr id="28"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2973121"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ageBreakBefore w:val="0"/>
        <w:ind w:firstLine="720"/>
        <w:jc w:val="center"/>
        <w:rPr>
          <w:b w:val="1"/>
          <w:bCs w:val="1"/>
        </w:rPr>
      </w:pPr>
      <w:r w:rsidDel="00000000" w:rsidR="00000000" w:rsidRPr="00000000">
        <w:rPr>
          <w:rtl w:val="0"/>
        </w:rPr>
      </w:r>
    </w:p>
    <w:p w:rsidR="00000000" w:rsidDel="00000000" w:rsidP="00000000" w:rsidRDefault="00000000" w:rsidRPr="00000000" w14:paraId="000001A7">
      <w:pPr>
        <w:pageBreakBefore w:val="0"/>
        <w:ind w:left="720" w:firstLine="720"/>
        <w:jc w:val="center"/>
        <w:rPr>
          <w:b w:val="1"/>
          <w:bCs w:val="1"/>
        </w:rPr>
      </w:pPr>
      <w:r w:rsidDel="00000000" w:rsidR="00000000" w:rsidRPr="00000000">
        <w:rPr>
          <w:rtl w:val="0"/>
        </w:rPr>
        <w:t xml:space="preserve">Norway Machinery &amp; Construction 2018 (Incremental SDV Sensitivity)</w:t>
      </w:r>
      <w:r w:rsidDel="00000000" w:rsidR="00000000" w:rsidRPr="00000000">
        <w:rPr>
          <w:rtl w:val="0"/>
        </w:rPr>
      </w:r>
    </w:p>
    <w:p w:rsidR="00000000" w:rsidDel="00000000" w:rsidP="00000000" w:rsidRDefault="00000000" w:rsidRPr="00000000" w14:paraId="000001A8">
      <w:pPr>
        <w:pageBreakBefore w:val="0"/>
        <w:ind w:left="720" w:firstLine="720"/>
        <w:jc w:val="center"/>
        <w:rPr/>
      </w:pPr>
      <w:r w:rsidDel="00000000" w:rsidR="00000000" w:rsidRPr="00000000">
        <w:rPr/>
        <w:drawing>
          <wp:inline distB="114300" distT="114300" distL="114300" distR="114300">
            <wp:extent cx="1751953" cy="2900363"/>
            <wp:effectExtent b="0" l="0" r="0" t="0"/>
            <wp:docPr id="27"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1751953"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ageBreakBefore w:val="0"/>
        <w:ind w:left="720" w:firstLine="720"/>
        <w:jc w:val="center"/>
        <w:rPr/>
      </w:pPr>
      <w:r w:rsidDel="00000000" w:rsidR="00000000" w:rsidRPr="00000000">
        <w:rPr>
          <w:rtl w:val="0"/>
        </w:rPr>
        <w:t xml:space="preserve">Norway Machinery &amp; Construction</w:t>
      </w:r>
      <w:r w:rsidDel="00000000" w:rsidR="00000000" w:rsidRPr="00000000">
        <w:rPr>
          <w:rtl w:val="0"/>
        </w:rPr>
        <w:t xml:space="preserve"> 2018 (Decremental SDV Sensitivity)</w:t>
      </w:r>
    </w:p>
    <w:p w:rsidR="00000000" w:rsidDel="00000000" w:rsidP="00000000" w:rsidRDefault="00000000" w:rsidRPr="00000000" w14:paraId="000001AA">
      <w:pPr>
        <w:pageBreakBefore w:val="0"/>
        <w:ind w:left="720" w:firstLine="720"/>
        <w:jc w:val="center"/>
        <w:rPr/>
      </w:pPr>
      <w:r w:rsidDel="00000000" w:rsidR="00000000" w:rsidRPr="00000000">
        <w:rPr>
          <w:rtl w:val="0"/>
        </w:rPr>
      </w:r>
    </w:p>
    <w:p w:rsidR="00000000" w:rsidDel="00000000" w:rsidP="00000000" w:rsidRDefault="00000000" w:rsidRPr="00000000" w14:paraId="000001AB">
      <w:pPr>
        <w:pageBreakBefore w:val="0"/>
        <w:ind w:left="720" w:firstLine="720"/>
        <w:jc w:val="center"/>
        <w:rPr/>
      </w:pPr>
      <w:r w:rsidDel="00000000" w:rsidR="00000000" w:rsidRPr="00000000">
        <w:rPr/>
        <w:drawing>
          <wp:inline distB="114300" distT="114300" distL="114300" distR="114300">
            <wp:extent cx="1779520" cy="2957513"/>
            <wp:effectExtent b="0" l="0" r="0" t="0"/>
            <wp:docPr id="6"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177952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ageBreakBefore w:val="0"/>
        <w:ind w:left="720" w:firstLine="720"/>
        <w:jc w:val="center"/>
        <w:rPr>
          <w:b w:val="1"/>
          <w:bCs w:val="1"/>
        </w:rPr>
      </w:pPr>
      <w:r w:rsidDel="00000000" w:rsidR="00000000" w:rsidRPr="00000000">
        <w:rPr>
          <w:rtl w:val="0"/>
        </w:rPr>
        <w:t xml:space="preserve">Norway Weapons 2018 (Incremental SDV Sensitivity)</w:t>
      </w:r>
      <w:r w:rsidDel="00000000" w:rsidR="00000000" w:rsidRPr="00000000">
        <w:rPr>
          <w:rtl w:val="0"/>
        </w:rPr>
      </w:r>
    </w:p>
    <w:p w:rsidR="00000000" w:rsidDel="00000000" w:rsidP="00000000" w:rsidRDefault="00000000" w:rsidRPr="00000000" w14:paraId="000001AD">
      <w:pPr>
        <w:ind w:left="720" w:firstLine="720"/>
        <w:jc w:val="center"/>
        <w:rPr>
          <w:b w:val="1"/>
          <w:bCs w:val="1"/>
        </w:rPr>
      </w:pPr>
      <w:r w:rsidDel="00000000" w:rsidR="00000000" w:rsidRPr="00000000">
        <w:rPr/>
        <w:drawing>
          <wp:inline distB="114300" distT="114300" distL="114300" distR="114300">
            <wp:extent cx="1779520" cy="2957513"/>
            <wp:effectExtent b="0" l="0" r="0" t="0"/>
            <wp:docPr id="44"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177952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ageBreakBefore w:val="0"/>
        <w:ind w:left="720" w:firstLine="720"/>
        <w:jc w:val="center"/>
        <w:rPr/>
      </w:pPr>
      <w:r w:rsidDel="00000000" w:rsidR="00000000" w:rsidRPr="00000000">
        <w:rPr>
          <w:rtl w:val="0"/>
        </w:rPr>
        <w:t xml:space="preserve">Norway Weapons 2018 (Decremental SDV Sensitivity)</w:t>
      </w:r>
    </w:p>
    <w:p w:rsidR="00000000" w:rsidDel="00000000" w:rsidP="00000000" w:rsidRDefault="00000000" w:rsidRPr="00000000" w14:paraId="000001AF">
      <w:pPr>
        <w:pageBreakBefore w:val="0"/>
        <w:ind w:left="0"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0">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B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2">
      <w:pPr>
        <w:pageBreakBefore w:val="0"/>
        <w:jc w:val="both"/>
        <w:rPr>
          <w:b w:val="1"/>
          <w:bCs w:val="1"/>
          <w:sz w:val="28"/>
          <w:szCs w:val="28"/>
        </w:rPr>
      </w:pPr>
      <w:r w:rsidDel="00000000" w:rsidR="00000000" w:rsidRPr="00000000">
        <w:rPr>
          <w:rtl w:val="0"/>
        </w:rPr>
        <w:t xml:space="preserve">Decreasing export of each industry in Norway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B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4">
      <w:pPr>
        <w:jc w:val="center"/>
        <w:rPr>
          <w:b w:val="1"/>
          <w:bCs w:val="1"/>
          <w:sz w:val="28"/>
          <w:szCs w:val="28"/>
        </w:rPr>
      </w:pPr>
      <w:r w:rsidDel="00000000" w:rsidR="00000000" w:rsidRPr="00000000">
        <w:rPr>
          <w:sz w:val="22"/>
          <w:szCs w:val="22"/>
        </w:rPr>
        <w:drawing>
          <wp:inline distB="114300" distT="114300" distL="114300" distR="114300">
            <wp:extent cx="5129213" cy="2803174"/>
            <wp:effectExtent b="0" l="0" r="0" t="0"/>
            <wp:docPr id="38"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5129213" cy="2803174"/>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ageBreakBefore w:val="0"/>
        <w:jc w:val="center"/>
        <w:rPr>
          <w:sz w:val="22"/>
          <w:szCs w:val="22"/>
        </w:rPr>
      </w:pPr>
      <w:r w:rsidDel="00000000" w:rsidR="00000000" w:rsidRPr="00000000">
        <w:rPr>
          <w:sz w:val="22"/>
          <w:szCs w:val="22"/>
          <w:rtl w:val="0"/>
        </w:rPr>
        <w:t xml:space="preserve">Norway Contingency Strategy 2018</w:t>
      </w:r>
    </w:p>
    <w:p w:rsidR="00000000" w:rsidDel="00000000" w:rsidP="00000000" w:rsidRDefault="00000000" w:rsidRPr="00000000" w14:paraId="000001B6">
      <w:pPr>
        <w:pageBreakBefore w:val="0"/>
        <w:jc w:val="center"/>
        <w:rPr>
          <w:sz w:val="22"/>
          <w:szCs w:val="22"/>
        </w:rPr>
      </w:pPr>
      <w:r w:rsidDel="00000000" w:rsidR="00000000" w:rsidRPr="00000000">
        <w:rPr>
          <w:rtl w:val="0"/>
        </w:rPr>
      </w:r>
    </w:p>
    <w:p w:rsidR="00000000" w:rsidDel="00000000" w:rsidP="00000000" w:rsidRDefault="00000000" w:rsidRPr="00000000" w14:paraId="000001B7">
      <w:pPr>
        <w:pageBreakBefore w:val="0"/>
        <w:jc w:val="both"/>
        <w:rPr>
          <w:b w:val="1"/>
          <w:bCs w:val="1"/>
        </w:rPr>
      </w:pPr>
      <w:r w:rsidDel="00000000" w:rsidR="00000000" w:rsidRPr="00000000">
        <w:rPr>
          <w:rtl w:val="0"/>
        </w:rPr>
      </w:r>
    </w:p>
    <w:p w:rsidR="00000000" w:rsidDel="00000000" w:rsidP="00000000" w:rsidRDefault="00000000" w:rsidRPr="00000000" w14:paraId="000001B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B9">
      <w:pPr>
        <w:pageBreakBefore w:val="0"/>
        <w:jc w:val="both"/>
        <w:rPr>
          <w:b w:val="1"/>
          <w:bCs w:val="1"/>
        </w:rPr>
      </w:pPr>
      <w:r w:rsidDel="00000000" w:rsidR="00000000" w:rsidRPr="00000000">
        <w:rPr>
          <w:rtl w:val="0"/>
        </w:rPr>
      </w:r>
    </w:p>
    <w:p w:rsidR="00000000" w:rsidDel="00000000" w:rsidP="00000000" w:rsidRDefault="00000000" w:rsidRPr="00000000" w14:paraId="000001B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BB">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BC">
      <w:pPr>
        <w:pageBreakBefore w:val="0"/>
        <w:jc w:val="both"/>
        <w:rPr/>
      </w:pPr>
      <w:r w:rsidDel="00000000" w:rsidR="00000000" w:rsidRPr="00000000">
        <w:rPr>
          <w:rtl w:val="0"/>
        </w:rPr>
      </w:r>
    </w:p>
    <w:p w:rsidR="00000000" w:rsidDel="00000000" w:rsidP="00000000" w:rsidRDefault="00000000" w:rsidRPr="00000000" w14:paraId="000001B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BE">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C7">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6"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C8">
      <w:pPr>
        <w:jc w:val="center"/>
        <w:rPr/>
      </w:pPr>
      <w:r w:rsidDel="00000000" w:rsidR="00000000" w:rsidRPr="00000000">
        <w:rPr>
          <w:sz w:val="22"/>
          <w:szCs w:val="22"/>
          <w:rtl w:val="0"/>
        </w:rPr>
        <w:t xml:space="preserve">Figure 9. Regression of Five-Year GDP Growth over SOI (2013-2018)</w:t>
      </w:r>
      <w:r w:rsidDel="00000000" w:rsidR="00000000" w:rsidRPr="00000000">
        <w:rPr>
          <w:rtl w:val="0"/>
        </w:rPr>
      </w:r>
    </w:p>
    <w:p w:rsidR="00000000" w:rsidDel="00000000" w:rsidP="00000000" w:rsidRDefault="00000000" w:rsidRPr="00000000" w14:paraId="000001C9">
      <w:pPr>
        <w:pageBreakBefore w:val="0"/>
        <w:jc w:val="both"/>
        <w:rPr/>
      </w:pPr>
      <w:r w:rsidDel="00000000" w:rsidR="00000000" w:rsidRPr="00000000">
        <w:rPr>
          <w:rtl w:val="0"/>
        </w:rPr>
      </w:r>
    </w:p>
    <w:p w:rsidR="00000000" w:rsidDel="00000000" w:rsidP="00000000" w:rsidRDefault="00000000" w:rsidRPr="00000000" w14:paraId="000001CA">
      <w:pPr>
        <w:pageBreakBefore w:val="0"/>
        <w:jc w:val="both"/>
        <w:rPr>
          <w:b w:val="1"/>
          <w:bCs w:val="1"/>
        </w:rPr>
      </w:pPr>
      <w:r w:rsidDel="00000000" w:rsidR="00000000" w:rsidRPr="00000000">
        <w:rPr>
          <w:b w:val="1"/>
          <w:bCs w:val="1"/>
          <w:rtl w:val="0"/>
        </w:rPr>
        <w:t xml:space="preserve">5.2 SOI of Norway and Its Implications</w:t>
      </w:r>
    </w:p>
    <w:p w:rsidR="00000000" w:rsidDel="00000000" w:rsidP="00000000" w:rsidRDefault="00000000" w:rsidRPr="00000000" w14:paraId="000001CB">
      <w:pPr>
        <w:pageBreakBefore w:val="0"/>
        <w:jc w:val="both"/>
        <w:rPr/>
      </w:pPr>
      <w:r w:rsidDel="00000000" w:rsidR="00000000" w:rsidRPr="00000000">
        <w:rPr>
          <w:rtl w:val="0"/>
        </w:rPr>
        <w:t xml:space="preserve">Norway for instance, has a high level of structural optimality as compared with its developed peers. As the regression in Figure 7 suggests (the orange curve represents export increase and the blue curve stands for opportunity gain of the corresponding industry), Norway demonstrates an average level of correlation with the suggested developmental path, having an adjusted R-square of around 19.5%. Norway ranks in bottom quartile among all countries in terms of SOI and has made a low rate of economic progress below its developed peers from 2013 to 2018 with a 5-year GDP growth rate of 0.54%, which is consistent with the regression result in Figure 6. This is in contrast to other developed economies such as Japan, where there is low SOI of around -5.7% and a corresponding GDP growth of 9.05% from 2013 to 2018, making it a much slower developing economy during the period. In sum, Norway’s mixed economic progress from 2013 to 2018 can be at least partially explained by a development strategy that demonstrates a decent, but not perfect, level of matches with our suggested developmental path. In specific,Norway invested heavily in the Machinery and Construction industry, while it should have focused more on more complex industry groups such as Energy Drilling and Mining and Raw Manufacturing. That being said, it stayed fairly in line with our expectations in the wood products industry.</w:t>
      </w:r>
    </w:p>
    <w:p w:rsidR="00000000" w:rsidDel="00000000" w:rsidP="00000000" w:rsidRDefault="00000000" w:rsidRPr="00000000" w14:paraId="000001CC">
      <w:pPr>
        <w:pageBreakBefore w:val="0"/>
        <w:jc w:val="both"/>
        <w:rPr/>
      </w:pPr>
      <w:r w:rsidDel="00000000" w:rsidR="00000000" w:rsidRPr="00000000">
        <w:rPr>
          <w:rtl w:val="0"/>
        </w:rPr>
      </w:r>
    </w:p>
    <w:p w:rsidR="00000000" w:rsidDel="00000000" w:rsidP="00000000" w:rsidRDefault="00000000" w:rsidRPr="00000000" w14:paraId="000001CD">
      <w:pPr>
        <w:pageBreakBefore w:val="0"/>
        <w:jc w:val="both"/>
        <w:rPr/>
      </w:pPr>
      <w:r w:rsidDel="00000000" w:rsidR="00000000" w:rsidRPr="00000000">
        <w:rPr/>
        <w:drawing>
          <wp:inline distB="114300" distT="114300" distL="114300" distR="114300">
            <wp:extent cx="5731200" cy="2184400"/>
            <wp:effectExtent b="0" l="0" r="0" t="0"/>
            <wp:docPr id="14"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pPr>
      <w:r w:rsidDel="00000000" w:rsidR="00000000" w:rsidRPr="00000000">
        <w:rPr>
          <w:sz w:val="22"/>
          <w:szCs w:val="22"/>
          <w:rtl w:val="0"/>
        </w:rPr>
        <w:t xml:space="preserve">Figure 10a. SOI of Norway (2013-2018)</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For the 2019-2021 years, Norway has a strong presence in the Precious Stones and Animals and By-product industries, which both seem to be overdeveloped when considering their lower opportunity gain relative to RID. It also could consider Machinery and Construction, and Weapons to improve its growth. Norway has seen a growth in GDP over those three years with an average growth of 7.55%, compared to 0.54% for the average yearly growth for the five years prior.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rtl w:val="0"/>
        </w:rPr>
        <w:t xml:space="preserve">Lower than before, its adjusted R-squared value of 4.38% now indicates a low correlation between the GDP growth and the implemented development path. Progress is slow on a global scale during this period, but Norway demonstrates a greater ability to adjust to negative economic shocks by increasing GDP growth than it did between 2013 and 2018.</w:t>
      </w: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drawing>
          <wp:inline distB="114300" distT="114300" distL="114300" distR="114300">
            <wp:extent cx="5731200" cy="2298700"/>
            <wp:effectExtent b="0" l="0" r="0" t="0"/>
            <wp:docPr id="1"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center"/>
        <w:rPr>
          <w:b w:val="1"/>
          <w:bCs w:val="1"/>
        </w:rPr>
      </w:pPr>
      <w:r w:rsidDel="00000000" w:rsidR="00000000" w:rsidRPr="00000000">
        <w:rPr>
          <w:sz w:val="22"/>
          <w:szCs w:val="22"/>
          <w:rtl w:val="0"/>
        </w:rPr>
        <w:t xml:space="preserve">Figure 10b. SOI of Norway (2019-2021)</w:t>
      </w: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D8">
      <w:pPr>
        <w:pageBreakBefore w:val="0"/>
        <w:jc w:val="both"/>
        <w:rPr/>
      </w:pPr>
      <w:r w:rsidDel="00000000" w:rsidR="00000000" w:rsidRPr="00000000">
        <w:rPr>
          <w:rtl w:val="0"/>
        </w:rPr>
      </w:r>
    </w:p>
    <w:p w:rsidR="00000000" w:rsidDel="00000000" w:rsidP="00000000" w:rsidRDefault="00000000" w:rsidRPr="00000000" w14:paraId="000001D9">
      <w:pPr>
        <w:pageBreakBefore w:val="0"/>
        <w:jc w:val="both"/>
        <w:rPr/>
      </w:pPr>
      <w:r w:rsidDel="00000000" w:rsidR="00000000" w:rsidRPr="00000000">
        <w:rPr>
          <w:rtl w:val="0"/>
        </w:rPr>
        <w:t xml:space="preserve">In conclusion, Norway has demonstrated a moderate level of economic growth in terms of annual GDP increase during the period from 2013 to 2018, concurrent with a decrease in economic complexity as compared with other major developed economies. </w:t>
      </w:r>
      <w:r w:rsidDel="00000000" w:rsidR="00000000" w:rsidRPr="00000000">
        <w:rPr>
          <w:rtl w:val="0"/>
        </w:rPr>
        <w:t xml:space="preserve">For 2019-2021, the growth in GDP has increased alongside a large boost in ECI, in line with its comparable countries and higher than some of the leading economies in the world.</w:t>
      </w:r>
    </w:p>
    <w:p w:rsidR="00000000" w:rsidDel="00000000" w:rsidP="00000000" w:rsidRDefault="00000000" w:rsidRPr="00000000" w14:paraId="000001DA">
      <w:pPr>
        <w:pageBreakBefore w:val="0"/>
        <w:jc w:val="both"/>
        <w:rPr/>
      </w:pPr>
      <w:r w:rsidDel="00000000" w:rsidR="00000000" w:rsidRPr="00000000">
        <w:rPr>
          <w:rtl w:val="0"/>
        </w:rPr>
      </w:r>
    </w:p>
    <w:p w:rsidR="00000000" w:rsidDel="00000000" w:rsidP="00000000" w:rsidRDefault="00000000" w:rsidRPr="00000000" w14:paraId="000001DB">
      <w:pPr>
        <w:pageBreakBefore w:val="0"/>
        <w:jc w:val="both"/>
        <w:rPr/>
      </w:pPr>
      <w:r w:rsidDel="00000000" w:rsidR="00000000" w:rsidRPr="00000000">
        <w:rPr>
          <w:rtl w:val="0"/>
        </w:rPr>
        <w:t xml:space="preserve">We believe t</w:t>
      </w:r>
      <w:r w:rsidDel="00000000" w:rsidR="00000000" w:rsidRPr="00000000">
        <w:rPr>
          <w:rtl w:val="0"/>
        </w:rPr>
        <w:t xml:space="preserve">he lack of progress during the period can be partially explained through analysis of the economic and product complexity structure of Norway on the industry group level. The product classification system we adopt allows us to measure the realized industry development for various industry groups and to observe that Norway</w:t>
      </w:r>
      <w:r w:rsidDel="00000000" w:rsidR="00000000" w:rsidRPr="00000000">
        <w:rPr>
          <w:rtl w:val="0"/>
        </w:rPr>
        <w:t xml:space="preserve"> consistently relied on developing the Transportation from 2013-2018,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DC">
      <w:pPr>
        <w:pageBreakBefore w:val="0"/>
        <w:jc w:val="both"/>
        <w:rPr/>
      </w:pPr>
      <w:r w:rsidDel="00000000" w:rsidR="00000000" w:rsidRPr="00000000">
        <w:rPr>
          <w:rtl w:val="0"/>
        </w:rPr>
      </w:r>
    </w:p>
    <w:p w:rsidR="00000000" w:rsidDel="00000000" w:rsidP="00000000" w:rsidRDefault="00000000" w:rsidRPr="00000000" w14:paraId="000001DD">
      <w:pPr>
        <w:pageBreakBefore w:val="0"/>
        <w:jc w:val="both"/>
        <w:rPr/>
      </w:pPr>
      <w:r w:rsidDel="00000000" w:rsidR="00000000" w:rsidRPr="00000000">
        <w:rPr>
          <w:rtl w:val="0"/>
        </w:rPr>
        <w:t xml:space="preserve">Based on our analysis of the opportunity gain and a sensitivity analysis of major industry groups in 2013-2018, Norway can further its gains by prioritizing Machinery and Construction. We further note that Norway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Norway, however, still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t xml:space="preserve">During the second examined period from 2019 to 2021, Norway performed much stronger in terms of ECI than before and compared to other countries, particularly Finland. We infer that during the  COVID-19 period, Norway focused on developing Precious Stones and Energy, Drilling, and Mining which contributed to its growth in ECI. We also note that Norway has not increased its investment in the sectors identified earlier, such as Machinery and Construction, which can be attributed to the disruptions due to the pandemic. The ECI suggests that greater growth could have been achieved through Vegetables, Fruits, and Plants and that Norway is susceptible to changes in Chemicals and Daily Instruments. Despite growth in GDP and ECI, the adjusted R-squared value dropped to 4.38% in 2021 from 19.5% in 2018. We infer that Norway continued investing in current key sectors but can benefit from diversifying its allocation to other sensitive sectors mentioned above. With the revised focus, Norway has further potential to advance its economic growth to maintain its position among other countries to continue its ongoing economic expansion.</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E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EA">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E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C">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E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E">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E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0">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F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2">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F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4">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F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6">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F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8">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F9">
      <w:pPr>
        <w:pageBreakBefore w:val="0"/>
        <w:jc w:val="both"/>
        <w:rPr/>
      </w:pPr>
      <w:r w:rsidDel="00000000" w:rsidR="00000000" w:rsidRPr="00000000">
        <w:rPr>
          <w:rtl w:val="0"/>
        </w:rPr>
      </w:r>
    </w:p>
    <w:sectPr>
      <w:headerReference r:id="rId46" w:type="default"/>
      <w:footerReference r:id="rId47" w:type="default"/>
      <w:footerReference r:id="rId48" w:type="first"/>
      <w:footerReference r:id="rId4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gwtul7x8i3o6"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9" name="image4.png"/>
          <a:graphic>
            <a:graphicData uri="http://schemas.openxmlformats.org/drawingml/2006/picture">
              <pic:pic>
                <pic:nvPicPr>
                  <pic:cNvPr descr="horizontal line" id="0" name="image4.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41.png"/><Relationship Id="rId41" Type="http://schemas.openxmlformats.org/officeDocument/2006/relationships/image" Target="media/image24.png"/><Relationship Id="rId44" Type="http://schemas.openxmlformats.org/officeDocument/2006/relationships/image" Target="media/image6.png"/><Relationship Id="rId43" Type="http://schemas.openxmlformats.org/officeDocument/2006/relationships/image" Target="media/image29.png"/><Relationship Id="rId46" Type="http://schemas.openxmlformats.org/officeDocument/2006/relationships/header" Target="header1.xml"/><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footer" Target="footer3.xml"/><Relationship Id="rId47" Type="http://schemas.openxmlformats.org/officeDocument/2006/relationships/footer" Target="footer2.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30.png"/><Relationship Id="rId8" Type="http://schemas.openxmlformats.org/officeDocument/2006/relationships/image" Target="media/image34.png"/><Relationship Id="rId31" Type="http://schemas.openxmlformats.org/officeDocument/2006/relationships/image" Target="media/image14.jpg"/><Relationship Id="rId30" Type="http://schemas.openxmlformats.org/officeDocument/2006/relationships/image" Target="media/image2.jpg"/><Relationship Id="rId33" Type="http://schemas.openxmlformats.org/officeDocument/2006/relationships/image" Target="media/image12.png"/><Relationship Id="rId32" Type="http://schemas.openxmlformats.org/officeDocument/2006/relationships/image" Target="media/image27.jpg"/><Relationship Id="rId35" Type="http://schemas.openxmlformats.org/officeDocument/2006/relationships/image" Target="media/image10.png"/><Relationship Id="rId34" Type="http://schemas.openxmlformats.org/officeDocument/2006/relationships/image" Target="media/image1.png"/><Relationship Id="rId37" Type="http://schemas.openxmlformats.org/officeDocument/2006/relationships/image" Target="media/image19.png"/><Relationship Id="rId36" Type="http://schemas.openxmlformats.org/officeDocument/2006/relationships/image" Target="media/image35.png"/><Relationship Id="rId39" Type="http://schemas.openxmlformats.org/officeDocument/2006/relationships/image" Target="media/image33.png"/><Relationship Id="rId38" Type="http://schemas.openxmlformats.org/officeDocument/2006/relationships/image" Target="media/image26.png"/><Relationship Id="rId20" Type="http://schemas.openxmlformats.org/officeDocument/2006/relationships/image" Target="media/image8.png"/><Relationship Id="rId22" Type="http://schemas.openxmlformats.org/officeDocument/2006/relationships/image" Target="media/image16.png"/><Relationship Id="rId21"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11.png"/><Relationship Id="rId26" Type="http://schemas.openxmlformats.org/officeDocument/2006/relationships/image" Target="media/image20.png"/><Relationship Id="rId25" Type="http://schemas.openxmlformats.org/officeDocument/2006/relationships/image" Target="media/image37.png"/><Relationship Id="rId28" Type="http://schemas.openxmlformats.org/officeDocument/2006/relationships/image" Target="media/image5.png"/><Relationship Id="rId27" Type="http://schemas.openxmlformats.org/officeDocument/2006/relationships/image" Target="media/image31.png"/><Relationship Id="rId29" Type="http://schemas.openxmlformats.org/officeDocument/2006/relationships/image" Target="media/image17.png"/><Relationship Id="rId11" Type="http://schemas.openxmlformats.org/officeDocument/2006/relationships/image" Target="media/image38.png"/><Relationship Id="rId10" Type="http://schemas.openxmlformats.org/officeDocument/2006/relationships/image" Target="media/image3.png"/><Relationship Id="rId13" Type="http://schemas.openxmlformats.org/officeDocument/2006/relationships/image" Target="media/image25.png"/><Relationship Id="rId12" Type="http://schemas.openxmlformats.org/officeDocument/2006/relationships/image" Target="media/image36.png"/><Relationship Id="rId15" Type="http://schemas.openxmlformats.org/officeDocument/2006/relationships/image" Target="media/image13.png"/><Relationship Id="rId14" Type="http://schemas.openxmlformats.org/officeDocument/2006/relationships/image" Target="media/image40.png"/><Relationship Id="rId17" Type="http://schemas.openxmlformats.org/officeDocument/2006/relationships/image" Target="media/image21.png"/><Relationship Id="rId16"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