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10.png"/>
            <a:graphic>
              <a:graphicData uri="http://schemas.openxmlformats.org/drawingml/2006/picture">
                <pic:pic>
                  <pic:nvPicPr>
                    <pic:cNvPr descr="horizontal line" id="0" name="image10.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5"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Saudi Arabia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16"/>
          <w:szCs w:val="16"/>
        </w:rPr>
      </w:pPr>
      <w:r w:rsidDel="00000000" w:rsidR="00000000" w:rsidRPr="00000000">
        <w:rPr>
          <w:rFonts w:ascii="PT Sans Narrow" w:cs="PT Sans Narrow" w:eastAsia="PT Sans Narrow" w:hAnsi="PT Sans Narrow"/>
          <w:sz w:val="28"/>
          <w:szCs w:val="28"/>
          <w:rtl w:val="0"/>
        </w:rPr>
        <w:t xml:space="preserve">Alexandra Garcia, Kelly Mi, Margarita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rPr>
          <w:rFonts w:ascii="PT Sans Narrow" w:cs="PT Sans Narrow" w:eastAsia="PT Sans Narrow" w:hAnsi="PT Sans Narrow"/>
          <w:color w:val="008575"/>
          <w:sz w:val="32"/>
          <w:szCs w:val="32"/>
        </w:rPr>
      </w:pP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Saudi Arabia</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Saudi Arabia</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Saudi Arabia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Saudi Arabia</w:t>
      </w:r>
      <w:r w:rsidDel="00000000" w:rsidR="00000000" w:rsidRPr="00000000">
        <w:rPr>
          <w:rtl w:val="0"/>
        </w:rPr>
        <w:t xml:space="preserve"> demonstrated a low level of economic growth with an average annual GDP growth rate of 1.5% between 2013 and 2018 and 2.0% between 2019 and 2021, with a decreased economic complexity compared to other major emerging economies.</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w:t>
      </w:r>
      <w:r w:rsidDel="00000000" w:rsidR="00000000" w:rsidRPr="00000000">
        <w:rPr>
          <w:rtl w:val="0"/>
        </w:rPr>
        <w:t xml:space="preserve">lack of progress</w:t>
      </w:r>
      <w:r w:rsidDel="00000000" w:rsidR="00000000" w:rsidRPr="00000000">
        <w:rPr>
          <w:rtl w:val="0"/>
        </w:rPr>
        <w:t xml:space="preserve"> during the period, we believe, can be partially explained through the analysis of the economic and product complexity structure of </w:t>
      </w:r>
      <w:r w:rsidDel="00000000" w:rsidR="00000000" w:rsidRPr="00000000">
        <w:rPr>
          <w:rtl w:val="0"/>
        </w:rPr>
        <w:t xml:space="preserve">Saudi Arabia</w:t>
      </w:r>
      <w:r w:rsidDel="00000000" w:rsidR="00000000" w:rsidRPr="00000000">
        <w:rPr>
          <w:rtl w:val="0"/>
        </w:rPr>
        <w:t xml:space="preserve"> on the industry group level, as well as the stagnant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Saudi Arabia</w:t>
      </w:r>
      <w:r w:rsidDel="00000000" w:rsidR="00000000" w:rsidRPr="00000000">
        <w:rPr>
          <w:rtl w:val="0"/>
        </w:rPr>
        <w:t xml:space="preserve"> regressed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Saudi Arabia</w:t>
      </w:r>
      <w:r w:rsidDel="00000000" w:rsidR="00000000" w:rsidRPr="00000000">
        <w:rPr>
          <w:rtl w:val="0"/>
        </w:rPr>
        <w:t xml:space="preserve"> could have furthered its gains by prioritizing Services and Utilities and Raw Manufacturing in 2018. Three years later, in 2021, its focus should have shifted to the Precious Stones and Vegetables, Fruits, and Plants industries, which were also underdeveloped industries at the time. We further note that </w:t>
      </w:r>
      <w:r w:rsidDel="00000000" w:rsidR="00000000" w:rsidRPr="00000000">
        <w:rPr>
          <w:rtl w:val="0"/>
        </w:rPr>
        <w:t xml:space="preserve">Saudi Arabia</w:t>
      </w:r>
      <w:r w:rsidDel="00000000" w:rsidR="00000000" w:rsidRPr="00000000">
        <w:rPr>
          <w:rtl w:val="0"/>
        </w:rPr>
        <w:t xml:space="preserve"> has a slightly mismatched development strategy that indicates a moderate level (compared to other emerging countries) of structural optimality on the complexity level, having an adjusted R-square of around</w:t>
      </w:r>
      <w:r w:rsidDel="00000000" w:rsidR="00000000" w:rsidRPr="00000000">
        <w:rPr>
          <w:rtl w:val="0"/>
        </w:rPr>
        <w:t xml:space="preserve"> -5.9% </w:t>
      </w:r>
      <w:r w:rsidDel="00000000" w:rsidR="00000000" w:rsidRPr="00000000">
        <w:rPr>
          <w:rtl w:val="0"/>
        </w:rPr>
        <w:t xml:space="preserve">in 2018 and a much higher score of 21.4% in 2021, demonstrating improvement in development.</w:t>
      </w:r>
      <w:r w:rsidDel="00000000" w:rsidR="00000000" w:rsidRPr="00000000">
        <w:rPr>
          <w:rtl w:val="0"/>
        </w:rPr>
        <w:t xml:space="preserve"> </w:t>
      </w:r>
      <w:r w:rsidDel="00000000" w:rsidR="00000000" w:rsidRPr="00000000">
        <w:rPr>
          <w:rtl w:val="0"/>
        </w:rPr>
        <w:t xml:space="preserve">Since a significant positive correlation exists between five-year GDP growth between 2013 and 2018 and the structural optimality index of an economy as we define and calculate, </w:t>
      </w:r>
      <w:r w:rsidDel="00000000" w:rsidR="00000000" w:rsidRPr="00000000">
        <w:rPr>
          <w:rtl w:val="0"/>
        </w:rPr>
        <w:t xml:space="preserve">Saudi Arabia</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three years following showed a significant improvement in </w:t>
      </w:r>
      <w:r w:rsidDel="00000000" w:rsidR="00000000" w:rsidRPr="00000000">
        <w:rPr>
          <w:rtl w:val="0"/>
        </w:rPr>
        <w:t xml:space="preserve">Saudi Arabia</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Saudi Arabia</w:t>
      </w:r>
      <w:r w:rsidDel="00000000" w:rsidR="00000000" w:rsidRPr="00000000">
        <w:rPr>
          <w:rtl w:val="0"/>
        </w:rPr>
        <w:t xml:space="preserve"> went through during the period from 2019 to 2021, before and after the COVID pandemic, compared to its performance from 2013 to 2018, before and after the Vision 2030 economic diversification plan was announced. Specifically, we dive into the topic through a macroeconomic overview of </w:t>
      </w:r>
      <w:r w:rsidDel="00000000" w:rsidR="00000000" w:rsidRPr="00000000">
        <w:rPr>
          <w:rtl w:val="0"/>
        </w:rPr>
        <w:t xml:space="preserve">Saudi Arabia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Saudi Arabia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Saudi Arabia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Saudi Arabia</w:t>
      </w:r>
      <w:r w:rsidDel="00000000" w:rsidR="00000000" w:rsidRPr="00000000">
        <w:rPr>
          <w:rtl w:val="0"/>
        </w:rPr>
        <w:t xml:space="preserve"> and four of its peer countries (Colombia, Tunisia, China, and Mexico) from 2013 to 2018. Similar to the other countries, </w:t>
      </w:r>
      <w:r w:rsidDel="00000000" w:rsidR="00000000" w:rsidRPr="00000000">
        <w:rPr>
          <w:rtl w:val="0"/>
        </w:rPr>
        <w:t xml:space="preserve">Saudi Arabia </w:t>
      </w:r>
      <w:r w:rsidDel="00000000" w:rsidR="00000000" w:rsidRPr="00000000">
        <w:rPr>
          <w:rtl w:val="0"/>
        </w:rPr>
        <w:t xml:space="preserve">displayed an eventual upward trend over the period; however, its growth was less consistent than China’s growth. </w:t>
      </w:r>
      <w:r w:rsidDel="00000000" w:rsidR="00000000" w:rsidRPr="00000000">
        <w:rPr>
          <w:rtl w:val="0"/>
        </w:rPr>
        <w:t xml:space="preserve">Saudi Arabia</w:t>
      </w:r>
      <w:r w:rsidDel="00000000" w:rsidR="00000000" w:rsidRPr="00000000">
        <w:rPr>
          <w:rtl w:val="0"/>
        </w:rPr>
        <w:t xml:space="preserve">’s AAGR of 1.5% is similar to the AAGR of the other four leading emerging economies (</w:t>
      </w:r>
      <w:r w:rsidDel="00000000" w:rsidR="00000000" w:rsidRPr="00000000">
        <w:rPr>
          <w:rtl w:val="0"/>
        </w:rPr>
        <w:t xml:space="preserve">1.8</w:t>
      </w:r>
      <w:r w:rsidDel="00000000" w:rsidR="00000000" w:rsidRPr="00000000">
        <w:rPr>
          <w:rtl w:val="0"/>
        </w:rPr>
        <w:t xml:space="preserve">%) but significantly less than</w:t>
      </w:r>
      <w:r w:rsidDel="00000000" w:rsidR="00000000" w:rsidRPr="00000000">
        <w:rPr>
          <w:rtl w:val="0"/>
        </w:rPr>
        <w:t xml:space="preserve"> </w:t>
      </w:r>
      <w:r w:rsidDel="00000000" w:rsidR="00000000" w:rsidRPr="00000000">
        <w:rPr>
          <w:rtl w:val="0"/>
        </w:rPr>
        <w:t xml:space="preserve">China’s AAGR (</w:t>
      </w:r>
      <w:r w:rsidDel="00000000" w:rsidR="00000000" w:rsidRPr="00000000">
        <w:rPr>
          <w:rtl w:val="0"/>
        </w:rPr>
        <w:t xml:space="preserve">8.2</w:t>
      </w:r>
      <w:r w:rsidDel="00000000" w:rsidR="00000000" w:rsidRPr="00000000">
        <w:rPr>
          <w:rtl w:val="0"/>
        </w:rPr>
        <w:t xml:space="preserve">%).</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t xml:space="preserve">Figure 1b shows the GDP levels for </w:t>
      </w:r>
      <w:r w:rsidDel="00000000" w:rsidR="00000000" w:rsidRPr="00000000">
        <w:rPr>
          <w:rtl w:val="0"/>
        </w:rPr>
        <w:t xml:space="preserve">Saudi Arabia</w:t>
      </w:r>
      <w:r w:rsidDel="00000000" w:rsidR="00000000" w:rsidRPr="00000000">
        <w:rPr>
          <w:rtl w:val="0"/>
        </w:rPr>
        <w:t xml:space="preserve"> and its peer countries (Colombia, Tunisia, Mexico, and the United Arab Emirates) from 2019 to 2021. Similar to the other countries, </w:t>
      </w:r>
      <w:r w:rsidDel="00000000" w:rsidR="00000000" w:rsidRPr="00000000">
        <w:rPr>
          <w:rtl w:val="0"/>
        </w:rPr>
        <w:t xml:space="preserve">Saudi Arabia</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Saudi Arabia</w:t>
      </w:r>
      <w:r w:rsidDel="00000000" w:rsidR="00000000" w:rsidRPr="00000000">
        <w:rPr>
          <w:rtl w:val="0"/>
        </w:rPr>
        <w:t xml:space="preserve">’s average annual GDP growth rate (2.01%) is greater than the UAE’s rate (0.55%) and Mexico’s rate (1.53%) but less than Tunisia’s (3.98%). </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rPr>
          <w:i w:val="1"/>
          <w:iCs w:val="1"/>
          <w:color w:val="444499"/>
          <w:sz w:val="20"/>
          <w:szCs w:val="20"/>
        </w:rPr>
      </w:pPr>
      <w:r w:rsidDel="00000000" w:rsidR="00000000" w:rsidRPr="00000000">
        <w:rPr>
          <w:b w:val="1"/>
          <w:bCs w:val="1"/>
          <w:sz w:val="28"/>
          <w:szCs w:val="28"/>
        </w:rPr>
        <w:drawing>
          <wp:inline distB="114300" distT="114300" distL="114300" distR="114300">
            <wp:extent cx="2897833" cy="1928813"/>
            <wp:effectExtent b="12700" l="12700" r="12700" t="12700"/>
            <wp:docPr id="29"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2897833" cy="192881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66988" cy="1939502"/>
            <wp:effectExtent b="12700" l="12700" r="12700" t="1270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566988" cy="19395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7">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As shown, </w:t>
      </w:r>
      <w:r w:rsidDel="00000000" w:rsidR="00000000" w:rsidRPr="00000000">
        <w:rPr>
          <w:rtl w:val="0"/>
        </w:rPr>
        <w:t xml:space="preserve">Saudi Arabia</w:t>
      </w:r>
      <w:r w:rsidDel="00000000" w:rsidR="00000000" w:rsidRPr="00000000">
        <w:rPr>
          <w:rtl w:val="0"/>
        </w:rPr>
        <w:t xml:space="preserve"> exhibits a steady increase in production capability from 2013 to 2018, as measured by ECI. This is in direct contrast to countries such as Mexico, which demonstrates more variable performance in terms of the ECI index. </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Saudi Arabia</w:t>
      </w:r>
      <w:r w:rsidDel="00000000" w:rsidR="00000000" w:rsidRPr="00000000">
        <w:rPr>
          <w:rtl w:val="0"/>
        </w:rPr>
        <w:t xml:space="preserve"> exhibits a large decrease in production capability in 2021 to levels not seen prior, with disruptions due to the pandemic being one of the primary reasons. </w:t>
      </w:r>
      <w:r w:rsidDel="00000000" w:rsidR="00000000" w:rsidRPr="00000000">
        <w:rPr>
          <w:rtl w:val="0"/>
        </w:rPr>
        <w:t xml:space="preserve">Saudi Arabia</w:t>
      </w:r>
      <w:r w:rsidDel="00000000" w:rsidR="00000000" w:rsidRPr="00000000">
        <w:rPr>
          <w:rtl w:val="0"/>
        </w:rPr>
        <w:t xml:space="preserve"> has seen a 111% decrease in its ECI, which is more negative than Colombia’s increase (180%) and the UAE's increase (</w:t>
      </w:r>
      <w:r w:rsidDel="00000000" w:rsidR="00000000" w:rsidRPr="00000000">
        <w:rPr>
          <w:rtl w:val="0"/>
        </w:rPr>
        <w:t xml:space="preserve">207</w:t>
      </w:r>
      <w:r w:rsidDel="00000000" w:rsidR="00000000" w:rsidRPr="00000000">
        <w:rPr>
          <w:rtl w:val="0"/>
        </w:rPr>
        <w:t xml:space="preserve">%), but milder than Tunisia’s decrease (180%).</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left"/>
        <w:rPr/>
      </w:pPr>
      <w:r w:rsidDel="00000000" w:rsidR="00000000" w:rsidRPr="00000000">
        <w:rPr/>
        <w:drawing>
          <wp:inline distB="114300" distT="114300" distL="114300" distR="114300">
            <wp:extent cx="2862263" cy="1876893"/>
            <wp:effectExtent b="12700" l="12700" r="12700" t="12700"/>
            <wp:docPr id="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862263" cy="1876893"/>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62213" cy="1876407"/>
            <wp:effectExtent b="12700" l="12700" r="12700" t="1270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62213" cy="18764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F">
      <w:pPr>
        <w:pageBreakBefore w:val="0"/>
        <w:jc w:val="left"/>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Saudi Arabia</w:t>
      </w:r>
      <w:r w:rsidDel="00000000" w:rsidR="00000000" w:rsidRPr="00000000">
        <w:rPr>
          <w:rtl w:val="0"/>
        </w:rPr>
        <w:t xml:space="preserve">. In contrast </w:t>
      </w:r>
      <w:r w:rsidDel="00000000" w:rsidR="00000000" w:rsidRPr="00000000">
        <w:rPr>
          <w:rtl w:val="0"/>
        </w:rPr>
        <w:t xml:space="preserve">to the GDP slump and recovery from 2013 to 2018 during which the ECI increased, the slump and recovery in GDP from 2019 to 2021 was accompanied by a decrease in ECI.</w:t>
      </w:r>
      <w:r w:rsidDel="00000000" w:rsidR="00000000" w:rsidRPr="00000000">
        <w:rPr>
          <w:rtl w:val="0"/>
        </w:rPr>
        <w:t xml:space="preserve"> The results show that the economic growth experienced by </w:t>
      </w:r>
      <w:r w:rsidDel="00000000" w:rsidR="00000000" w:rsidRPr="00000000">
        <w:rPr>
          <w:rtl w:val="0"/>
        </w:rPr>
        <w:t xml:space="preserve">Saudi Arabia</w:t>
      </w:r>
      <w:r w:rsidDel="00000000" w:rsidR="00000000" w:rsidRPr="00000000">
        <w:rPr>
          <w:rtl w:val="0"/>
        </w:rPr>
        <w:t xml:space="preserve"> during the period from 2013 to 2018 is only partially consistent with the predictions by ECI and that </w:t>
      </w:r>
      <w:r w:rsidDel="00000000" w:rsidR="00000000" w:rsidRPr="00000000">
        <w:rPr>
          <w:rtl w:val="0"/>
        </w:rPr>
        <w:t xml:space="preserve">Saudi Arabia</w:t>
      </w:r>
      <w:r w:rsidDel="00000000" w:rsidR="00000000" w:rsidRPr="00000000">
        <w:rPr>
          <w:rtl w:val="0"/>
        </w:rPr>
        <w:t xml:space="preserve"> made weak progress towards effectively developing a competitive product space that helps to accumulate complicated knowledge and technology. </w:t>
      </w:r>
      <w:r w:rsidDel="00000000" w:rsidR="00000000" w:rsidRPr="00000000">
        <w:rPr>
          <w:rtl w:val="0"/>
        </w:rPr>
        <w:t xml:space="preserve">For the period 2019 to 2021, the ECI did not follow GDP trends, which may potentially be attributed to Saudi Arabia's exports being not closely aligned with its domestic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Saudi Arabia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drawing>
          <wp:inline distB="114300" distT="114300" distL="114300" distR="114300">
            <wp:extent cx="2816063" cy="1719937"/>
            <wp:effectExtent b="12700" l="12700" r="12700" t="12700"/>
            <wp:docPr id="2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816063" cy="1719937"/>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456089" cy="1719263"/>
            <wp:effectExtent b="12700" l="12700" r="12700" t="12700"/>
            <wp:docPr id="30"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456089" cy="1719263"/>
                    </a:xfrm>
                    <a:prstGeom prst="rect"/>
                    <a:ln w="12700">
                      <a:solidFill>
                        <a:srgbClr val="000000"/>
                      </a:solidFill>
                      <a:prstDash val="solid"/>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Saudi Arabia</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Saudi Arabia'</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Saudi Arabia</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Notably, the number of industries with positive RID has decreased from 11 to 7 from 2018 to 2021.</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00"/>
        <w:gridCol w:w="1560"/>
        <w:tblGridChange w:id="0">
          <w:tblGrid>
            <w:gridCol w:w="2880"/>
            <w:gridCol w:w="1500"/>
            <w:gridCol w:w="1560"/>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0"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-0.001</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-0.008</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-0.009</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0.012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0.013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-0.003</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-0.015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0.005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-0.041</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-0.001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-0.012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-0.019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0.026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0.023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0.011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0.016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0.001</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0.051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-0.006</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0.013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0.018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0.006</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0.018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0.017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-0.013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-0.070</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0.005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-0.002</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0.020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-0.008</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0.010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-0.020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-0.007</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0.018</w:t>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0.000</w:t>
            </w:r>
          </w:p>
        </w:tc>
      </w:tr>
    </w:tbl>
    <w:p w:rsidR="00000000" w:rsidDel="00000000" w:rsidP="00000000" w:rsidRDefault="00000000" w:rsidRPr="00000000" w14:paraId="000000C8">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Saudi Arabia</w:t>
      </w:r>
      <w:r w:rsidDel="00000000" w:rsidR="00000000" w:rsidRPr="00000000">
        <w:rPr>
          <w:rtl w:val="0"/>
        </w:rPr>
      </w:r>
    </w:p>
    <w:p w:rsidR="00000000" w:rsidDel="00000000" w:rsidP="00000000" w:rsidRDefault="00000000" w:rsidRPr="00000000" w14:paraId="000000C9">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A">
      <w:pPr>
        <w:jc w:val="both"/>
        <w:rPr/>
      </w:pPr>
      <w:r w:rsidDel="00000000" w:rsidR="00000000" w:rsidRPr="00000000">
        <w:rPr>
          <w:rtl w:val="0"/>
        </w:rPr>
        <w:t xml:space="preserve">Tables 4a-4b below summarize how the production strategy adopted by Saudi Arabia compares with selected leading economies in the world across different years, as measured in RID. Leading economies such as France, the United States and Germany gave a considerable level of attention to more advanced product groups such as Weapons and High-Complexity Products in 2018 and Services and Utilities, Precious Stones, and High-Complexity Products in 2021.</w:t>
      </w:r>
    </w:p>
    <w:p w:rsidR="00000000" w:rsidDel="00000000" w:rsidP="00000000" w:rsidRDefault="00000000" w:rsidRPr="00000000" w14:paraId="000000CB">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C">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D">
            <w:pPr>
              <w:jc w:val="both"/>
              <w:rPr/>
            </w:pPr>
            <w:r w:rsidDel="00000000" w:rsidR="00000000" w:rsidRPr="00000000">
              <w:rPr>
                <w:rtl w:val="0"/>
              </w:rPr>
              <w:t xml:space="preserve">France</w:t>
            </w:r>
          </w:p>
        </w:tc>
        <w:tc>
          <w:tcPr>
            <w:vAlign w:val="center"/>
          </w:tcPr>
          <w:p w:rsidR="00000000" w:rsidDel="00000000" w:rsidP="00000000" w:rsidRDefault="00000000" w:rsidRPr="00000000" w14:paraId="000000CE">
            <w:pPr>
              <w:jc w:val="both"/>
              <w:rPr/>
            </w:pPr>
            <w:r w:rsidDel="00000000" w:rsidR="00000000" w:rsidRPr="00000000">
              <w:rPr>
                <w:rtl w:val="0"/>
              </w:rPr>
              <w:t xml:space="preserve">the UK</w:t>
            </w:r>
          </w:p>
        </w:tc>
        <w:tc>
          <w:tcPr>
            <w:vAlign w:val="center"/>
          </w:tcPr>
          <w:p w:rsidR="00000000" w:rsidDel="00000000" w:rsidP="00000000" w:rsidRDefault="00000000" w:rsidRPr="00000000" w14:paraId="000000CF">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D0">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E4">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E5">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6">
            <w:pPr>
              <w:jc w:val="both"/>
              <w:rPr/>
            </w:pPr>
            <w:r w:rsidDel="00000000" w:rsidR="00000000" w:rsidRPr="00000000">
              <w:rPr>
                <w:rtl w:val="0"/>
              </w:rPr>
              <w:t xml:space="preserve">Ranking</w:t>
            </w:r>
          </w:p>
        </w:tc>
        <w:tc>
          <w:tcPr/>
          <w:p w:rsidR="00000000" w:rsidDel="00000000" w:rsidP="00000000" w:rsidRDefault="00000000" w:rsidRPr="00000000" w14:paraId="000000E7">
            <w:pPr>
              <w:jc w:val="both"/>
              <w:rPr/>
            </w:pPr>
            <w:r w:rsidDel="00000000" w:rsidR="00000000" w:rsidRPr="00000000">
              <w:rPr>
                <w:rtl w:val="0"/>
              </w:rPr>
              <w:t xml:space="preserve">France</w:t>
            </w:r>
          </w:p>
        </w:tc>
        <w:tc>
          <w:tcPr/>
          <w:p w:rsidR="00000000" w:rsidDel="00000000" w:rsidP="00000000" w:rsidRDefault="00000000" w:rsidRPr="00000000" w14:paraId="000000E8">
            <w:pPr>
              <w:jc w:val="both"/>
              <w:rPr/>
            </w:pPr>
            <w:r w:rsidDel="00000000" w:rsidR="00000000" w:rsidRPr="00000000">
              <w:rPr>
                <w:rtl w:val="0"/>
              </w:rPr>
              <w:t xml:space="preserve">the UK</w:t>
            </w:r>
          </w:p>
        </w:tc>
        <w:tc>
          <w:tcPr/>
          <w:p w:rsidR="00000000" w:rsidDel="00000000" w:rsidP="00000000" w:rsidRDefault="00000000" w:rsidRPr="00000000" w14:paraId="000000E9">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EA">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F2">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F6">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FA">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D">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FE">
      <w:pPr>
        <w:jc w:val="center"/>
        <w:rPr/>
      </w:pPr>
      <w:r w:rsidDel="00000000" w:rsidR="00000000" w:rsidRPr="00000000">
        <w:rPr>
          <w:sz w:val="22"/>
          <w:szCs w:val="22"/>
          <w:rtl w:val="0"/>
        </w:rPr>
        <w:t xml:space="preserve">Table 4b. RID Comparison across Leading Economies (2021)</w:t>
      </w:r>
      <w:r w:rsidDel="00000000" w:rsidR="00000000" w:rsidRPr="00000000">
        <w:rPr>
          <w:rtl w:val="0"/>
        </w:rPr>
      </w:r>
    </w:p>
    <w:p w:rsidR="00000000" w:rsidDel="00000000" w:rsidP="00000000" w:rsidRDefault="00000000" w:rsidRPr="00000000" w14:paraId="000000FF">
      <w:pPr>
        <w:jc w:val="center"/>
        <w:rPr>
          <w:sz w:val="22"/>
          <w:szCs w:val="22"/>
        </w:rPr>
      </w:pPr>
      <w:r w:rsidDel="00000000" w:rsidR="00000000" w:rsidRPr="00000000">
        <w:rPr>
          <w:rtl w:val="0"/>
        </w:rPr>
      </w:r>
    </w:p>
    <w:p w:rsidR="00000000" w:rsidDel="00000000" w:rsidP="00000000" w:rsidRDefault="00000000" w:rsidRPr="00000000" w14:paraId="00000100">
      <w:pPr>
        <w:jc w:val="both"/>
        <w:rPr>
          <w:sz w:val="22"/>
          <w:szCs w:val="22"/>
        </w:rPr>
      </w:pPr>
      <w:r w:rsidDel="00000000" w:rsidR="00000000" w:rsidRPr="00000000">
        <w:rPr>
          <w:rtl w:val="0"/>
        </w:rPr>
        <w:t xml:space="preserve">Tables 4c-4d further examine Saudi Arabia’s development strategy against those of emerging economies on a global scale. Reasonably, emerging economies such as China, South Korea, and Singapore, have devoted the majority of their efforts to intermediate industry groups, showing drastic shifts in strategies over the course of three years.</w:t>
      </w: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2">
            <w:pPr>
              <w:jc w:val="both"/>
              <w:rPr/>
            </w:pPr>
            <w:r w:rsidDel="00000000" w:rsidR="00000000" w:rsidRPr="00000000">
              <w:rPr>
                <w:rtl w:val="0"/>
              </w:rPr>
              <w:t xml:space="preserve">Ranking</w:t>
            </w:r>
          </w:p>
        </w:tc>
        <w:tc>
          <w:tcPr/>
          <w:p w:rsidR="00000000" w:rsidDel="00000000" w:rsidP="00000000" w:rsidRDefault="00000000" w:rsidRPr="00000000" w14:paraId="00000103">
            <w:pPr>
              <w:jc w:val="both"/>
              <w:rPr/>
            </w:pPr>
            <w:r w:rsidDel="00000000" w:rsidR="00000000" w:rsidRPr="00000000">
              <w:rPr>
                <w:rtl w:val="0"/>
              </w:rPr>
              <w:t xml:space="preserve">China</w:t>
            </w:r>
          </w:p>
        </w:tc>
        <w:tc>
          <w:tcPr/>
          <w:p w:rsidR="00000000" w:rsidDel="00000000" w:rsidP="00000000" w:rsidRDefault="00000000" w:rsidRPr="00000000" w14:paraId="00000104">
            <w:pPr>
              <w:jc w:val="both"/>
              <w:rPr/>
            </w:pPr>
            <w:r w:rsidDel="00000000" w:rsidR="00000000" w:rsidRPr="00000000">
              <w:rPr>
                <w:rtl w:val="0"/>
              </w:rPr>
              <w:t xml:space="preserve">South Korea</w:t>
            </w:r>
          </w:p>
        </w:tc>
        <w:tc>
          <w:tcPr/>
          <w:p w:rsidR="00000000" w:rsidDel="00000000" w:rsidP="00000000" w:rsidRDefault="00000000" w:rsidRPr="00000000" w14:paraId="00000105">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06">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0A">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0E">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12">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16">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1A">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C">
            <w:pPr>
              <w:jc w:val="both"/>
              <w:rPr/>
            </w:pPr>
            <w:r w:rsidDel="00000000" w:rsidR="00000000" w:rsidRPr="00000000">
              <w:rPr>
                <w:rtl w:val="0"/>
              </w:rPr>
              <w:t xml:space="preserve">Ranking</w:t>
            </w:r>
          </w:p>
        </w:tc>
        <w:tc>
          <w:tcPr/>
          <w:p w:rsidR="00000000" w:rsidDel="00000000" w:rsidP="00000000" w:rsidRDefault="00000000" w:rsidRPr="00000000" w14:paraId="0000011D">
            <w:pPr>
              <w:jc w:val="both"/>
              <w:rPr/>
            </w:pPr>
            <w:r w:rsidDel="00000000" w:rsidR="00000000" w:rsidRPr="00000000">
              <w:rPr>
                <w:rtl w:val="0"/>
              </w:rPr>
              <w:t xml:space="preserve">China</w:t>
            </w:r>
          </w:p>
        </w:tc>
        <w:tc>
          <w:tcPr/>
          <w:p w:rsidR="00000000" w:rsidDel="00000000" w:rsidP="00000000" w:rsidRDefault="00000000" w:rsidRPr="00000000" w14:paraId="0000011E">
            <w:pPr>
              <w:jc w:val="both"/>
              <w:rPr/>
            </w:pPr>
            <w:r w:rsidDel="00000000" w:rsidR="00000000" w:rsidRPr="00000000">
              <w:rPr>
                <w:rtl w:val="0"/>
              </w:rPr>
              <w:t xml:space="preserve">South Korea</w:t>
            </w:r>
          </w:p>
        </w:tc>
        <w:tc>
          <w:tcPr/>
          <w:p w:rsidR="00000000" w:rsidDel="00000000" w:rsidP="00000000" w:rsidRDefault="00000000" w:rsidRPr="00000000" w14:paraId="0000011F">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20">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1">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2">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3">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4">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5">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6">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7">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28">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9">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A">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B">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2C">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D">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E">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F">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30">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1">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2">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3">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34">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5">
      <w:pPr>
        <w:pageBreakBefore w:val="0"/>
        <w:jc w:val="center"/>
        <w:rPr>
          <w:sz w:val="22"/>
          <w:szCs w:val="22"/>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r>
    </w:p>
    <w:p w:rsidR="00000000" w:rsidDel="00000000" w:rsidP="00000000" w:rsidRDefault="00000000" w:rsidRPr="00000000" w14:paraId="0000013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8">
      <w:pPr>
        <w:pageBreakBefore w:val="0"/>
        <w:jc w:val="both"/>
        <w:rPr>
          <w:b w:val="1"/>
          <w:bCs w:val="1"/>
        </w:rPr>
      </w:pP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D">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jc w:val="center"/>
        <w:rPr>
          <w:sz w:val="22"/>
          <w:szCs w:val="22"/>
        </w:rPr>
      </w:pPr>
      <w:r w:rsidDel="00000000" w:rsidR="00000000" w:rsidRPr="00000000">
        <w:rPr/>
        <w:drawing>
          <wp:inline distB="114300" distT="114300" distL="114300" distR="114300">
            <wp:extent cx="5581650" cy="2847975"/>
            <wp:effectExtent b="0" l="0" r="0" t="0"/>
            <wp:docPr id="28" name="image23.jpg"/>
            <a:graphic>
              <a:graphicData uri="http://schemas.openxmlformats.org/drawingml/2006/picture">
                <pic:pic>
                  <pic:nvPicPr>
                    <pic:cNvPr id="0" name="image23.jpg"/>
                    <pic:cNvPicPr preferRelativeResize="0"/>
                  </pic:nvPicPr>
                  <pic:blipFill>
                    <a:blip r:embed="rId14"/>
                    <a:srcRect b="0" l="1347" r="0" t="0"/>
                    <a:stretch>
                      <a:fillRect/>
                    </a:stretch>
                  </pic:blipFill>
                  <pic:spPr>
                    <a:xfrm>
                      <a:off x="0" y="0"/>
                      <a:ext cx="5581650" cy="2847975"/>
                    </a:xfrm>
                    <a:prstGeom prst="rect"/>
                    <a:ln/>
                  </pic:spPr>
                </pic:pic>
              </a:graphicData>
            </a:graphic>
          </wp:inline>
        </w:drawing>
      </w: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40">
      <w:pPr>
        <w:jc w:val="center"/>
        <w:rPr/>
      </w:pPr>
      <w:r w:rsidDel="00000000" w:rsidR="00000000" w:rsidRPr="00000000">
        <w:rPr>
          <w:rtl w:val="0"/>
        </w:rPr>
      </w:r>
    </w:p>
    <w:p w:rsidR="00000000" w:rsidDel="00000000" w:rsidP="00000000" w:rsidRDefault="00000000" w:rsidRPr="00000000" w14:paraId="00000141">
      <w:pPr>
        <w:jc w:val="center"/>
        <w:rPr>
          <w:sz w:val="22"/>
          <w:szCs w:val="22"/>
        </w:rPr>
      </w:pPr>
      <w:r w:rsidDel="00000000" w:rsidR="00000000" w:rsidRPr="00000000">
        <w:rPr/>
        <w:drawing>
          <wp:inline distB="114300" distT="114300" distL="114300" distR="114300">
            <wp:extent cx="5731200" cy="3213100"/>
            <wp:effectExtent b="0" l="0" r="0" t="0"/>
            <wp:docPr id="26"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42">
      <w:pPr>
        <w:pageBreakBefore w:val="0"/>
        <w:jc w:val="center"/>
        <w:rPr/>
      </w:pPr>
      <w:r w:rsidDel="00000000" w:rsidR="00000000" w:rsidRPr="00000000">
        <w:rPr>
          <w:rtl w:val="0"/>
        </w:rPr>
      </w:r>
    </w:p>
    <w:p w:rsidR="00000000" w:rsidDel="00000000" w:rsidP="00000000" w:rsidRDefault="00000000" w:rsidRPr="00000000" w14:paraId="00000143">
      <w:pPr>
        <w:jc w:val="center"/>
        <w:rPr>
          <w:sz w:val="22"/>
          <w:szCs w:val="22"/>
        </w:rPr>
      </w:pPr>
      <w:r w:rsidDel="00000000" w:rsidR="00000000" w:rsidRPr="00000000">
        <w:rPr/>
        <w:drawing>
          <wp:inline distB="114300" distT="114300" distL="114300" distR="114300">
            <wp:extent cx="5731200" cy="3086100"/>
            <wp:effectExtent b="0" l="0" r="0" t="0"/>
            <wp:docPr id="25"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200" cy="3086100"/>
                    </a:xfrm>
                    <a:prstGeom prst="rect"/>
                    <a:ln/>
                  </pic:spPr>
                </pic:pic>
              </a:graphicData>
            </a:graphic>
          </wp:inline>
        </w:drawing>
      </w: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144">
      <w:pPr>
        <w:pageBreakBefore w:val="0"/>
        <w:jc w:val="center"/>
        <w:rPr/>
      </w:pPr>
      <w:r w:rsidDel="00000000" w:rsidR="00000000" w:rsidRPr="00000000">
        <w:rPr>
          <w:rtl w:val="0"/>
        </w:rPr>
      </w:r>
    </w:p>
    <w:p w:rsidR="00000000" w:rsidDel="00000000" w:rsidP="00000000" w:rsidRDefault="00000000" w:rsidRPr="00000000" w14:paraId="00000145">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Saudi Arabia</w:t>
      </w:r>
      <w:r w:rsidDel="00000000" w:rsidR="00000000" w:rsidRPr="00000000">
        <w:rPr>
          <w:rtl w:val="0"/>
        </w:rPr>
        <w:t xml:space="preserve"> compares with a selected group of</w:t>
      </w:r>
      <w:r w:rsidDel="00000000" w:rsidR="00000000" w:rsidRPr="00000000">
        <w:rPr>
          <w:rtl w:val="0"/>
        </w:rPr>
        <w:t xml:space="preserve"> comparable economies</w:t>
      </w:r>
      <w:r w:rsidDel="00000000" w:rsidR="00000000" w:rsidRPr="00000000">
        <w:rPr>
          <w:rtl w:val="0"/>
        </w:rPr>
        <w:t xml:space="preserve">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46">
      <w:pPr>
        <w:pageBreakBefore w:val="0"/>
        <w:jc w:val="both"/>
        <w:rPr/>
      </w:pPr>
      <w:r w:rsidDel="00000000" w:rsidR="00000000" w:rsidRPr="00000000">
        <w:rPr>
          <w:rtl w:val="0"/>
        </w:rPr>
      </w:r>
    </w:p>
    <w:p w:rsidR="00000000" w:rsidDel="00000000" w:rsidP="00000000" w:rsidRDefault="00000000" w:rsidRPr="00000000" w14:paraId="00000147">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comparable countries have moderate numbers of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daily instruments and chemical manufacturing industries. It can be concluded that </w:t>
      </w:r>
      <w:r w:rsidDel="00000000" w:rsidR="00000000" w:rsidRPr="00000000">
        <w:rPr>
          <w:rtl w:val="0"/>
        </w:rPr>
        <w:t xml:space="preserve">Saudi Arabia</w:t>
      </w:r>
      <w:r w:rsidDel="00000000" w:rsidR="00000000" w:rsidRPr="00000000">
        <w:rPr>
          <w:rtl w:val="0"/>
        </w:rPr>
        <w:t xml:space="preserve"> shares the characteristics of developing countries, with a balanced economic structure that leans towards intermediate-level industries.</w:t>
      </w:r>
    </w:p>
    <w:p w:rsidR="00000000" w:rsidDel="00000000" w:rsidP="00000000" w:rsidRDefault="00000000" w:rsidRPr="00000000" w14:paraId="00000148">
      <w:pPr>
        <w:pageBreakBefore w:val="0"/>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drawing>
          <wp:inline distB="114300" distT="114300" distL="114300" distR="114300">
            <wp:extent cx="5664605" cy="2290763"/>
            <wp:effectExtent b="0" l="0" r="0" t="0"/>
            <wp:docPr id="2" name="image18.jpg"/>
            <a:graphic>
              <a:graphicData uri="http://schemas.openxmlformats.org/drawingml/2006/picture">
                <pic:pic>
                  <pic:nvPicPr>
                    <pic:cNvPr id="0" name="image18.jpg"/>
                    <pic:cNvPicPr preferRelativeResize="0"/>
                  </pic:nvPicPr>
                  <pic:blipFill>
                    <a:blip r:embed="rId17"/>
                    <a:srcRect b="0" l="1827" r="0" t="0"/>
                    <a:stretch>
                      <a:fillRect/>
                    </a:stretch>
                  </pic:blipFill>
                  <pic:spPr>
                    <a:xfrm>
                      <a:off x="0" y="0"/>
                      <a:ext cx="566460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t xml:space="preserve">Table 6: SDV of Other Typical Countries 2013</w:t>
      </w:r>
      <w:r w:rsidDel="00000000" w:rsidR="00000000" w:rsidRPr="00000000">
        <w:rPr>
          <w:rtl w:val="0"/>
        </w:rPr>
      </w:r>
    </w:p>
    <w:p w:rsidR="00000000" w:rsidDel="00000000" w:rsidP="00000000" w:rsidRDefault="00000000" w:rsidRPr="00000000" w14:paraId="0000014C">
      <w:pPr>
        <w:pageBreakBefore w:val="0"/>
        <w:jc w:val="center"/>
        <w:rPr>
          <w:sz w:val="22"/>
          <w:szCs w:val="22"/>
        </w:rPr>
      </w:pPr>
      <w:r w:rsidDel="00000000" w:rsidR="00000000" w:rsidRPr="00000000">
        <w:rPr>
          <w:rtl w:val="0"/>
        </w:rPr>
      </w:r>
    </w:p>
    <w:p w:rsidR="00000000" w:rsidDel="00000000" w:rsidP="00000000" w:rsidRDefault="00000000" w:rsidRPr="00000000" w14:paraId="0000014D">
      <w:pPr>
        <w:pageBreakBefore w:val="0"/>
        <w:jc w:val="center"/>
        <w:rPr/>
      </w:pPr>
      <w:r w:rsidDel="00000000" w:rsidR="00000000" w:rsidRPr="00000000">
        <w:rPr>
          <w:rtl w:val="0"/>
        </w:rPr>
      </w:r>
    </w:p>
    <w:p w:rsidR="00000000" w:rsidDel="00000000" w:rsidP="00000000" w:rsidRDefault="00000000" w:rsidRPr="00000000" w14:paraId="0000014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50">
      <w:pPr>
        <w:pageBreakBefore w:val="0"/>
        <w:jc w:val="both"/>
        <w:rPr/>
      </w:pPr>
      <w:r w:rsidDel="00000000" w:rsidR="00000000" w:rsidRPr="00000000">
        <w:rPr>
          <w:rtl w:val="0"/>
        </w:rPr>
      </w:r>
    </w:p>
    <w:p w:rsidR="00000000" w:rsidDel="00000000" w:rsidP="00000000" w:rsidRDefault="00000000" w:rsidRPr="00000000" w14:paraId="0000015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jc w:val="center"/>
        <w:rPr/>
      </w:pPr>
      <w:r w:rsidDel="00000000" w:rsidR="00000000" w:rsidRPr="00000000">
        <w:rPr>
          <w:rtl w:val="0"/>
        </w:rPr>
      </w:r>
    </w:p>
    <w:p w:rsidR="00000000" w:rsidDel="00000000" w:rsidP="00000000" w:rsidRDefault="00000000" w:rsidRPr="00000000" w14:paraId="0000015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54">
      <w:pPr>
        <w:pageBreakBefore w:val="0"/>
        <w:jc w:val="both"/>
        <w:rPr/>
      </w:pPr>
      <w:r w:rsidDel="00000000" w:rsidR="00000000" w:rsidRPr="00000000">
        <w:rPr>
          <w:rtl w:val="0"/>
        </w:rPr>
        <w:t xml:space="preserve"> </w:t>
      </w:r>
    </w:p>
    <w:p w:rsidR="00000000" w:rsidDel="00000000" w:rsidP="00000000" w:rsidRDefault="00000000" w:rsidRPr="00000000" w14:paraId="0000015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56">
      <w:pPr>
        <w:pageBreakBefore w:val="0"/>
        <w:jc w:val="both"/>
        <w:rPr/>
      </w:pPr>
      <w:r w:rsidDel="00000000" w:rsidR="00000000" w:rsidRPr="00000000">
        <w:rPr>
          <w:rtl w:val="0"/>
        </w:rPr>
        <w:t xml:space="preserve"> </w:t>
      </w:r>
    </w:p>
    <w:p w:rsidR="00000000" w:rsidDel="00000000" w:rsidP="00000000" w:rsidRDefault="00000000" w:rsidRPr="00000000" w14:paraId="0000015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5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5C">
      <w:pPr>
        <w:pageBreakBefore w:val="0"/>
        <w:rPr/>
      </w:pPr>
      <w:r w:rsidDel="00000000" w:rsidR="00000000" w:rsidRPr="00000000">
        <w:rPr>
          <w:rtl w:val="0"/>
        </w:rPr>
        <w:t xml:space="preserve"> </w:t>
      </w:r>
    </w:p>
    <w:p w:rsidR="00000000" w:rsidDel="00000000" w:rsidP="00000000" w:rsidRDefault="00000000" w:rsidRPr="00000000" w14:paraId="0000015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6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63">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64">
      <w:pPr>
        <w:pageBreakBefore w:val="0"/>
        <w:jc w:val="both"/>
        <w:rPr/>
      </w:pPr>
      <w:r w:rsidDel="00000000" w:rsidR="00000000" w:rsidRPr="00000000">
        <w:rPr>
          <w:rtl w:val="0"/>
        </w:rPr>
      </w:r>
    </w:p>
    <w:tbl>
      <w:tblPr>
        <w:tblStyle w:val="Table9"/>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5">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6">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8B">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8C">
      <w:pPr>
        <w:pageBreakBefore w:val="0"/>
        <w:jc w:val="center"/>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Saudi Arabia</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Saudi Arabia</w:t>
      </w:r>
      <w:r w:rsidDel="00000000" w:rsidR="00000000" w:rsidRPr="00000000">
        <w:rPr>
          <w:rtl w:val="0"/>
        </w:rPr>
        <w:t xml:space="preserve"> actually have different increments. </w:t>
      </w:r>
    </w:p>
    <w:p w:rsidR="00000000" w:rsidDel="00000000" w:rsidP="00000000" w:rsidRDefault="00000000" w:rsidRPr="00000000" w14:paraId="0000018E">
      <w:pPr>
        <w:pageBreakBefore w:val="0"/>
        <w:jc w:val="both"/>
        <w:rPr/>
      </w:pPr>
      <w:r w:rsidDel="00000000" w:rsidR="00000000" w:rsidRPr="00000000">
        <w:rPr>
          <w:rtl w:val="0"/>
        </w:rPr>
        <w:t xml:space="preserve"> </w:t>
      </w:r>
    </w:p>
    <w:p w:rsidR="00000000" w:rsidDel="00000000" w:rsidP="00000000" w:rsidRDefault="00000000" w:rsidRPr="00000000" w14:paraId="0000018F">
      <w:pPr>
        <w:pageBreakBefore w:val="0"/>
        <w:jc w:val="both"/>
        <w:rPr/>
      </w:pPr>
      <w:r w:rsidDel="00000000" w:rsidR="00000000" w:rsidRPr="00000000">
        <w:rPr>
          <w:rtl w:val="0"/>
        </w:rPr>
        <w:t xml:space="preserve">For 2013, in the case of 5 percent export growth, Services and Utilities is one of the main components. With a budget of 10 percent export growth, Services and Utilities and Raw Manufacturing account for most of the portfolio. Overall, development trajectories follow a similar pattern, mainly consisting of manufacturing and services and utilities. Similar to other countries with emerging economies, Saudi Arabia has a moderately dense solution, which can be attributed to its developing economic structure that has room for further growth and expansion. A more detailed numerical representation of the portfolio is shown in Table 8a. </w:t>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jc w:val="both"/>
        <w:rPr>
          <w:b w:val="1"/>
          <w:bCs w:val="1"/>
          <w:sz w:val="28"/>
          <w:szCs w:val="28"/>
        </w:rPr>
      </w:pPr>
      <w:r w:rsidDel="00000000" w:rsidR="00000000" w:rsidRPr="00000000">
        <w:rPr>
          <w:b w:val="1"/>
          <w:bCs w:val="1"/>
          <w:sz w:val="28"/>
          <w:szCs w:val="28"/>
        </w:rPr>
        <w:drawing>
          <wp:inline distB="114300" distT="114300" distL="114300" distR="114300">
            <wp:extent cx="5731200" cy="2019300"/>
            <wp:effectExtent b="0" l="0" r="0" t="0"/>
            <wp:docPr id="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sz w:val="22"/>
          <w:szCs w:val="22"/>
        </w:rPr>
      </w:pPr>
      <w:r w:rsidDel="00000000" w:rsidR="00000000" w:rsidRPr="00000000">
        <w:rPr>
          <w:b w:val="1"/>
          <w:bCs w:val="1"/>
          <w:sz w:val="28"/>
          <w:szCs w:val="28"/>
        </w:rPr>
        <w:drawing>
          <wp:inline distB="114300" distT="114300" distL="114300" distR="114300">
            <wp:extent cx="5731200" cy="20193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019300"/>
                    </a:xfrm>
                    <a:prstGeom prst="rect"/>
                    <a:ln/>
                  </pic:spPr>
                </pic:pic>
              </a:graphicData>
            </a:graphic>
          </wp:inline>
        </w:drawing>
      </w: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Saudi Arabia</w:t>
      </w:r>
      <w:r w:rsidDel="00000000" w:rsidR="00000000" w:rsidRPr="00000000">
        <w:rPr>
          <w:sz w:val="22"/>
          <w:szCs w:val="22"/>
          <w:rtl w:val="0"/>
        </w:rPr>
        <w:t xml:space="preserve"> with Different Budgets (2013)</w:t>
      </w:r>
    </w:p>
    <w:p w:rsidR="00000000" w:rsidDel="00000000" w:rsidP="00000000" w:rsidRDefault="00000000" w:rsidRPr="00000000" w14:paraId="00000193">
      <w:pPr>
        <w:jc w:val="center"/>
        <w:rPr>
          <w:sz w:val="22"/>
          <w:szCs w:val="22"/>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b w:val="1"/>
          <w:bCs w:val="1"/>
          <w:sz w:val="28"/>
          <w:szCs w:val="28"/>
        </w:rPr>
        <w:drawing>
          <wp:inline distB="114300" distT="114300" distL="114300" distR="114300">
            <wp:extent cx="5719763" cy="2276475"/>
            <wp:effectExtent b="0" l="0" r="0" t="0"/>
            <wp:docPr id="23" name="image20.jpg"/>
            <a:graphic>
              <a:graphicData uri="http://schemas.openxmlformats.org/drawingml/2006/picture">
                <pic:pic>
                  <pic:nvPicPr>
                    <pic:cNvPr id="0" name="image20.jpg"/>
                    <pic:cNvPicPr preferRelativeResize="0"/>
                  </pic:nvPicPr>
                  <pic:blipFill>
                    <a:blip r:embed="rId22"/>
                    <a:srcRect b="0" l="0" r="0" t="0"/>
                    <a:stretch>
                      <a:fillRect/>
                    </a:stretch>
                  </pic:blipFill>
                  <pic:spPr>
                    <a:xfrm>
                      <a:off x="0" y="0"/>
                      <a:ext cx="571976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Saudi Arabia</w:t>
      </w:r>
      <w:r w:rsidDel="00000000" w:rsidR="00000000" w:rsidRPr="00000000">
        <w:rPr>
          <w:sz w:val="22"/>
          <w:szCs w:val="22"/>
          <w:rtl w:val="0"/>
        </w:rPr>
        <w:t xml:space="preserve"> (2013)</w:t>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t xml:space="preserve">For further suggestions on </w:t>
      </w:r>
      <w:r w:rsidDel="00000000" w:rsidR="00000000" w:rsidRPr="00000000">
        <w:rPr>
          <w:rtl w:val="0"/>
        </w:rPr>
        <w:t xml:space="preserve">Saudi Arabia</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Saudi Arabia</w:t>
      </w:r>
      <w:r w:rsidDel="00000000" w:rsidR="00000000" w:rsidRPr="00000000">
        <w:rPr>
          <w:rtl w:val="0"/>
        </w:rPr>
        <w:t xml:space="preserve"> in 2018. It is evident that Saudi Arabia's ECI follows a similar growth pattern to 2013 for various heuristic percentages of total export growth insofar as higher budgets result in greater ECIs. In the case of all export growth levels, Daily Instruments are a main component; therefore, for future strategy, Saudi Arabia should prioritize Daily Instruments first. A more detailed numerical representation of the portfolio is shown in Table 8b. </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jc w:val="both"/>
        <w:rPr>
          <w:b w:val="1"/>
          <w:bCs w:val="1"/>
          <w:sz w:val="28"/>
          <w:szCs w:val="28"/>
        </w:rPr>
      </w:pPr>
      <w:r w:rsidDel="00000000" w:rsidR="00000000" w:rsidRPr="00000000">
        <w:rPr>
          <w:b w:val="1"/>
          <w:bCs w:val="1"/>
          <w:sz w:val="28"/>
          <w:szCs w:val="28"/>
        </w:rPr>
        <w:drawing>
          <wp:inline distB="114300" distT="114300" distL="114300" distR="114300">
            <wp:extent cx="5731200" cy="2006600"/>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both"/>
        <w:rPr>
          <w:b w:val="1"/>
          <w:bCs w:val="1"/>
          <w:sz w:val="28"/>
          <w:szCs w:val="28"/>
        </w:rPr>
      </w:pPr>
      <w:r w:rsidDel="00000000" w:rsidR="00000000" w:rsidRPr="00000000">
        <w:rPr>
          <w:rtl w:val="0"/>
        </w:rPr>
      </w:r>
    </w:p>
    <w:p w:rsidR="00000000" w:rsidDel="00000000" w:rsidP="00000000" w:rsidRDefault="00000000" w:rsidRPr="00000000" w14:paraId="0000019B">
      <w:pPr>
        <w:jc w:val="both"/>
        <w:rPr>
          <w:b w:val="1"/>
          <w:bCs w:val="1"/>
          <w:sz w:val="28"/>
          <w:szCs w:val="28"/>
        </w:rPr>
      </w:pPr>
      <w:r w:rsidDel="00000000" w:rsidR="00000000" w:rsidRPr="00000000">
        <w:rPr>
          <w:b w:val="1"/>
          <w:bCs w:val="1"/>
          <w:sz w:val="28"/>
          <w:szCs w:val="28"/>
        </w:rPr>
        <w:drawing>
          <wp:inline distB="114300" distT="114300" distL="114300" distR="114300">
            <wp:extent cx="5731200" cy="2070100"/>
            <wp:effectExtent b="0" l="0" r="0" t="0"/>
            <wp:docPr id="2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b w:val="1"/>
          <w:bCs w:val="1"/>
          <w:sz w:val="28"/>
          <w:szCs w:val="28"/>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Saudi Arabia</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19D">
      <w:pPr>
        <w:jc w:val="both"/>
        <w:rPr>
          <w:b w:val="1"/>
          <w:bCs w:val="1"/>
          <w:sz w:val="28"/>
          <w:szCs w:val="28"/>
        </w:rPr>
      </w:pPr>
      <w:r w:rsidDel="00000000" w:rsidR="00000000" w:rsidRPr="00000000">
        <w:rPr>
          <w:rtl w:val="0"/>
        </w:rPr>
      </w:r>
    </w:p>
    <w:p w:rsidR="00000000" w:rsidDel="00000000" w:rsidP="00000000" w:rsidRDefault="00000000" w:rsidRPr="00000000" w14:paraId="0000019E">
      <w:pPr>
        <w:pageBreakBefore w:val="0"/>
        <w:jc w:val="center"/>
        <w:rPr>
          <w:sz w:val="22"/>
          <w:szCs w:val="22"/>
        </w:rPr>
      </w:pPr>
      <w:r w:rsidDel="00000000" w:rsidR="00000000" w:rsidRPr="00000000">
        <w:rPr>
          <w:b w:val="1"/>
          <w:bCs w:val="1"/>
          <w:sz w:val="28"/>
          <w:szCs w:val="28"/>
        </w:rPr>
        <w:drawing>
          <wp:inline distB="114300" distT="114300" distL="114300" distR="114300">
            <wp:extent cx="5731200" cy="1536700"/>
            <wp:effectExtent b="0" l="0" r="0" t="0"/>
            <wp:docPr id="21"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731200" cy="1536700"/>
                    </a:xfrm>
                    <a:prstGeom prst="rect"/>
                    <a:ln/>
                  </pic:spPr>
                </pic:pic>
              </a:graphicData>
            </a:graphic>
          </wp:inline>
        </w:drawing>
      </w:r>
      <w:r w:rsidDel="00000000" w:rsidR="00000000" w:rsidRPr="00000000">
        <w:rPr>
          <w:sz w:val="22"/>
          <w:szCs w:val="22"/>
          <w:rtl w:val="0"/>
        </w:rPr>
        <w:t xml:space="preserve">Table 8b. Portfolio of </w:t>
      </w:r>
      <w:r w:rsidDel="00000000" w:rsidR="00000000" w:rsidRPr="00000000">
        <w:rPr>
          <w:sz w:val="22"/>
          <w:szCs w:val="22"/>
          <w:rtl w:val="0"/>
        </w:rPr>
        <w:t xml:space="preserve">Saudi Arabia</w:t>
      </w:r>
      <w:r w:rsidDel="00000000" w:rsidR="00000000" w:rsidRPr="00000000">
        <w:rPr>
          <w:sz w:val="22"/>
          <w:szCs w:val="22"/>
          <w:rtl w:val="0"/>
        </w:rPr>
        <w:t xml:space="preserve"> (2018)</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Precious Stones, followed by Vegetables, Fruits, and Plants, Animals and By-products, and Services and Utilities for 10, 15, and 20 percent export growth respectively. These strategies are consistent with the suggested trajectories based on ECI. It is noteworthy that the proposed economic reaction after the pandemic involves significant investment in sectors with lower complexity. This can be construed as a requirement to strengthen the basic industries due to the disturbances in the global trade and supply chain. Furthermore, these indicators reflect the efforts to diversify Saudi Arabia's economy and move away from reliance on oil exports. By focusing on other sectors such as agriculture and services, Saudi Arabia can create a more sustainable and diverse economy for the future. A more detailed numerical representation of the portfolio for </w:t>
      </w:r>
      <w:r w:rsidDel="00000000" w:rsidR="00000000" w:rsidRPr="00000000">
        <w:rPr>
          <w:rtl w:val="0"/>
        </w:rPr>
        <w:t xml:space="preserve">Saudi Arabia</w:t>
      </w:r>
      <w:r w:rsidDel="00000000" w:rsidR="00000000" w:rsidRPr="00000000">
        <w:rPr>
          <w:rtl w:val="0"/>
        </w:rPr>
        <w:t xml:space="preserve"> is shown in Table 8c.</w:t>
      </w:r>
    </w:p>
    <w:p w:rsidR="00000000" w:rsidDel="00000000" w:rsidP="00000000" w:rsidRDefault="00000000" w:rsidRPr="00000000" w14:paraId="000001A1">
      <w:pPr>
        <w:pageBreakBefore w:val="0"/>
        <w:rPr>
          <w:sz w:val="22"/>
          <w:szCs w:val="22"/>
        </w:rPr>
      </w:pPr>
      <w:r w:rsidDel="00000000" w:rsidR="00000000" w:rsidRPr="00000000">
        <w:rPr/>
        <w:drawing>
          <wp:inline distB="114300" distT="114300" distL="114300" distR="114300">
            <wp:extent cx="5731200" cy="2057400"/>
            <wp:effectExtent b="0" l="0" r="0" t="0"/>
            <wp:docPr id="17"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center"/>
        <w:rPr>
          <w:sz w:val="22"/>
          <w:szCs w:val="22"/>
        </w:rPr>
      </w:pPr>
      <w:r w:rsidDel="00000000" w:rsidR="00000000" w:rsidRPr="00000000">
        <w:rPr>
          <w:sz w:val="22"/>
          <w:szCs w:val="22"/>
        </w:rPr>
        <w:drawing>
          <wp:inline distB="114300" distT="114300" distL="114300" distR="114300">
            <wp:extent cx="5731200" cy="2159000"/>
            <wp:effectExtent b="0" l="0" r="0" t="0"/>
            <wp:docPr id="1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Saudi Arabia</w:t>
      </w:r>
      <w:r w:rsidDel="00000000" w:rsidR="00000000" w:rsidRPr="00000000">
        <w:rPr>
          <w:sz w:val="22"/>
          <w:szCs w:val="22"/>
          <w:rtl w:val="0"/>
        </w:rPr>
        <w:t xml:space="preserve"> with Different Budgets (2021)</w:t>
      </w:r>
    </w:p>
    <w:p w:rsidR="00000000" w:rsidDel="00000000" w:rsidP="00000000" w:rsidRDefault="00000000" w:rsidRPr="00000000" w14:paraId="000001A4">
      <w:pPr>
        <w:jc w:val="left"/>
        <w:rPr>
          <w:sz w:val="22"/>
          <w:szCs w:val="22"/>
        </w:rPr>
      </w:pPr>
      <w:r w:rsidDel="00000000" w:rsidR="00000000" w:rsidRPr="00000000">
        <w:rPr>
          <w:rtl w:val="0"/>
        </w:rPr>
      </w:r>
    </w:p>
    <w:tbl>
      <w:tblPr>
        <w:tblStyle w:val="Table10"/>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A5">
            <w:pPr>
              <w:jc w:val="center"/>
              <w:rPr>
                <w:sz w:val="20"/>
                <w:szCs w:val="20"/>
              </w:rPr>
            </w:pPr>
            <w:r w:rsidDel="00000000" w:rsidR="00000000" w:rsidRPr="00000000">
              <w:rPr>
                <w:b w:val="1"/>
                <w:bCs w:val="1"/>
                <w:sz w:val="20"/>
                <w:szCs w:val="20"/>
                <w:rtl w:val="0"/>
              </w:rPr>
              <w:t xml:space="preserve">Saudi Arabia</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B">
            <w:pPr>
              <w:jc w:val="center"/>
              <w:rPr>
                <w:sz w:val="20"/>
                <w:szCs w:val="20"/>
              </w:rPr>
            </w:pPr>
            <w:r w:rsidDel="00000000" w:rsidR="00000000" w:rsidRPr="00000000">
              <w:rPr>
                <w:b w:val="1"/>
                <w:bCs w:val="1"/>
                <w:sz w:val="20"/>
                <w:szCs w:val="20"/>
                <w:rtl w:val="0"/>
              </w:rPr>
              <w:t xml:space="preserve">0.89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Animals and By-products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5">
            <w:pPr>
              <w:widowControl w:val="0"/>
              <w:spacing w:line="276" w:lineRule="auto"/>
              <w:jc w:val="center"/>
              <w:rPr>
                <w:sz w:val="20"/>
                <w:szCs w:val="20"/>
              </w:rPr>
            </w:pPr>
            <w:r w:rsidDel="00000000" w:rsidR="00000000" w:rsidRPr="00000000">
              <w:rPr>
                <w:sz w:val="20"/>
                <w:szCs w:val="20"/>
                <w:rtl w:val="0"/>
              </w:rPr>
              <w:t xml:space="preserve">4.60E+09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6">
            <w:pPr>
              <w:widowControl w:val="0"/>
              <w:spacing w:line="276" w:lineRule="auto"/>
              <w:jc w:val="center"/>
              <w:rPr>
                <w:sz w:val="20"/>
                <w:szCs w:val="20"/>
              </w:rPr>
            </w:pPr>
            <w:r w:rsidDel="00000000" w:rsidR="00000000" w:rsidRPr="00000000">
              <w:rPr>
                <w:sz w:val="20"/>
                <w:szCs w:val="20"/>
                <w:rtl w:val="0"/>
              </w:rPr>
              <w:t xml:space="preserve">1.38E+10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7">
            <w:pPr>
              <w:widowControl w:val="0"/>
              <w:spacing w:line="276" w:lineRule="auto"/>
              <w:jc w:val="center"/>
              <w:rPr>
                <w:sz w:val="18"/>
                <w:szCs w:val="18"/>
              </w:rPr>
            </w:pPr>
            <w:r w:rsidDel="00000000" w:rsidR="00000000" w:rsidRPr="00000000">
              <w:rPr>
                <w:sz w:val="18"/>
                <w:szCs w:val="18"/>
                <w:rtl w:val="0"/>
              </w:rPr>
              <w:t xml:space="preserve">1.23E+10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8">
            <w:pPr>
              <w:widowControl w:val="0"/>
              <w:spacing w:line="276" w:lineRule="auto"/>
              <w:jc w:val="center"/>
              <w:rPr>
                <w:sz w:val="18"/>
                <w:szCs w:val="18"/>
              </w:rPr>
            </w:pPr>
            <w:r w:rsidDel="00000000" w:rsidR="00000000" w:rsidRPr="00000000">
              <w:rPr>
                <w:sz w:val="18"/>
                <w:szCs w:val="18"/>
                <w:rtl w:val="0"/>
              </w:rPr>
              <w:t xml:space="preserve">1.33E+10</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BA">
            <w:pPr>
              <w:widowControl w:val="0"/>
              <w:spacing w:line="276" w:lineRule="auto"/>
              <w:jc w:val="center"/>
              <w:rPr>
                <w:sz w:val="20"/>
                <w:szCs w:val="20"/>
              </w:rPr>
            </w:pPr>
            <w:r w:rsidDel="00000000" w:rsidR="00000000" w:rsidRPr="00000000">
              <w:rPr>
                <w:sz w:val="20"/>
                <w:szCs w:val="20"/>
                <w:rtl w:val="0"/>
              </w:rPr>
              <w:t xml:space="preserve">5.11E+09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BB">
            <w:pPr>
              <w:widowControl w:val="0"/>
              <w:spacing w:line="276" w:lineRule="auto"/>
              <w:jc w:val="center"/>
              <w:rPr>
                <w:sz w:val="20"/>
                <w:szCs w:val="20"/>
              </w:rPr>
            </w:pPr>
            <w:r w:rsidDel="00000000" w:rsidR="00000000" w:rsidRPr="00000000">
              <w:rPr>
                <w:sz w:val="20"/>
                <w:szCs w:val="20"/>
                <w:rtl w:val="0"/>
              </w:rPr>
              <w:t xml:space="preserve">4.14E+10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BC">
            <w:pPr>
              <w:widowControl w:val="0"/>
              <w:spacing w:line="276" w:lineRule="auto"/>
              <w:jc w:val="center"/>
              <w:rPr>
                <w:sz w:val="18"/>
                <w:szCs w:val="18"/>
              </w:rPr>
            </w:pPr>
            <w:r w:rsidDel="00000000" w:rsidR="00000000" w:rsidRPr="00000000">
              <w:rPr>
                <w:sz w:val="18"/>
                <w:szCs w:val="18"/>
                <w:rtl w:val="0"/>
              </w:rPr>
              <w:t xml:space="preserve">3.98E+10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BD">
            <w:pPr>
              <w:widowControl w:val="0"/>
              <w:spacing w:line="276" w:lineRule="auto"/>
              <w:jc w:val="center"/>
              <w:rPr>
                <w:sz w:val="18"/>
                <w:szCs w:val="18"/>
              </w:rPr>
            </w:pPr>
            <w:r w:rsidDel="00000000" w:rsidR="00000000" w:rsidRPr="00000000">
              <w:rPr>
                <w:sz w:val="18"/>
                <w:szCs w:val="18"/>
                <w:rtl w:val="0"/>
              </w:rPr>
              <w:t xml:space="preserve">7.08E+10</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Food and Preparations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BF">
            <w:pPr>
              <w:widowControl w:val="0"/>
              <w:spacing w:line="276" w:lineRule="auto"/>
              <w:jc w:val="center"/>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0">
            <w:pPr>
              <w:widowControl w:val="0"/>
              <w:spacing w:line="276" w:lineRule="auto"/>
              <w:jc w:val="center"/>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1">
            <w:pPr>
              <w:widowControl w:val="0"/>
              <w:spacing w:line="276" w:lineRule="auto"/>
              <w:jc w:val="center"/>
              <w:rPr>
                <w:sz w:val="18"/>
                <w:szCs w:val="18"/>
              </w:rPr>
            </w:pPr>
            <w:r w:rsidDel="00000000" w:rsidR="00000000" w:rsidRPr="00000000">
              <w:rPr>
                <w:sz w:val="18"/>
                <w:szCs w:val="18"/>
                <w:rtl w:val="0"/>
              </w:rPr>
              <w:t xml:space="preserve">1.23E+10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2">
            <w:pPr>
              <w:widowControl w:val="0"/>
              <w:spacing w:line="276" w:lineRule="auto"/>
              <w:jc w:val="center"/>
              <w:rPr>
                <w:sz w:val="18"/>
                <w:szCs w:val="18"/>
              </w:rPr>
            </w:pPr>
            <w:r w:rsidDel="00000000" w:rsidR="00000000" w:rsidRPr="00000000">
              <w:rPr>
                <w:sz w:val="18"/>
                <w:szCs w:val="18"/>
                <w:rtl w:val="0"/>
              </w:rPr>
              <w:t xml:space="preserve">0.00E+00</w:t>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Transportation</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C4">
            <w:pPr>
              <w:widowControl w:val="0"/>
              <w:spacing w:line="276" w:lineRule="auto"/>
              <w:jc w:val="center"/>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C5">
            <w:pPr>
              <w:widowControl w:val="0"/>
              <w:spacing w:line="276" w:lineRule="auto"/>
              <w:jc w:val="center"/>
              <w:rPr>
                <w:sz w:val="20"/>
                <w:szCs w:val="20"/>
              </w:rPr>
            </w:pPr>
            <w:r w:rsidDel="00000000" w:rsidR="00000000" w:rsidRPr="00000000">
              <w:rPr>
                <w:sz w:val="20"/>
                <w:szCs w:val="20"/>
                <w:rtl w:val="0"/>
              </w:rPr>
              <w:t xml:space="preserve">2.76E+09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C6">
            <w:pPr>
              <w:widowControl w:val="0"/>
              <w:spacing w:line="276" w:lineRule="auto"/>
              <w:jc w:val="center"/>
              <w:rPr>
                <w:sz w:val="18"/>
                <w:szCs w:val="18"/>
              </w:rPr>
            </w:pPr>
            <w:r w:rsidDel="00000000" w:rsidR="00000000" w:rsidRPr="00000000">
              <w:rPr>
                <w:sz w:val="18"/>
                <w:szCs w:val="18"/>
                <w:rtl w:val="0"/>
              </w:rPr>
              <w:t xml:space="preserve">3.06E+09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C7">
            <w:pPr>
              <w:widowControl w:val="0"/>
              <w:spacing w:line="276" w:lineRule="auto"/>
              <w:jc w:val="center"/>
              <w:rPr>
                <w:sz w:val="18"/>
                <w:szCs w:val="18"/>
              </w:rPr>
            </w:pPr>
            <w:r w:rsidDel="00000000" w:rsidR="00000000" w:rsidRPr="00000000">
              <w:rPr>
                <w:sz w:val="18"/>
                <w:szCs w:val="18"/>
                <w:rtl w:val="0"/>
              </w:rPr>
              <w:t xml:space="preserve">1.33E+10</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Precious Stones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9">
            <w:pPr>
              <w:widowControl w:val="0"/>
              <w:spacing w:line="276" w:lineRule="auto"/>
              <w:jc w:val="center"/>
              <w:rPr>
                <w:sz w:val="20"/>
                <w:szCs w:val="20"/>
              </w:rPr>
            </w:pPr>
            <w:r w:rsidDel="00000000" w:rsidR="00000000" w:rsidRPr="00000000">
              <w:rPr>
                <w:sz w:val="20"/>
                <w:szCs w:val="20"/>
                <w:rtl w:val="0"/>
              </w:rPr>
              <w:t xml:space="preserve">5.62E+09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A">
            <w:pPr>
              <w:widowControl w:val="0"/>
              <w:spacing w:line="276" w:lineRule="auto"/>
              <w:jc w:val="center"/>
              <w:rPr>
                <w:sz w:val="20"/>
                <w:szCs w:val="20"/>
              </w:rPr>
            </w:pPr>
            <w:r w:rsidDel="00000000" w:rsidR="00000000" w:rsidRPr="00000000">
              <w:rPr>
                <w:sz w:val="20"/>
                <w:szCs w:val="20"/>
                <w:rtl w:val="0"/>
              </w:rPr>
              <w:t xml:space="preserve">2.48E+10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B">
            <w:pPr>
              <w:widowControl w:val="0"/>
              <w:spacing w:line="276" w:lineRule="auto"/>
              <w:jc w:val="center"/>
              <w:rPr>
                <w:sz w:val="18"/>
                <w:szCs w:val="18"/>
              </w:rPr>
            </w:pPr>
            <w:r w:rsidDel="00000000" w:rsidR="00000000" w:rsidRPr="00000000">
              <w:rPr>
                <w:sz w:val="18"/>
                <w:szCs w:val="18"/>
                <w:rtl w:val="0"/>
              </w:rPr>
              <w:t xml:space="preserve">2.15E+10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CC">
            <w:pPr>
              <w:widowControl w:val="0"/>
              <w:spacing w:line="276" w:lineRule="auto"/>
              <w:jc w:val="center"/>
              <w:rPr>
                <w:sz w:val="18"/>
                <w:szCs w:val="18"/>
              </w:rPr>
            </w:pPr>
            <w:r w:rsidDel="00000000" w:rsidR="00000000" w:rsidRPr="00000000">
              <w:rPr>
                <w:sz w:val="18"/>
                <w:szCs w:val="18"/>
                <w:rtl w:val="0"/>
              </w:rPr>
              <w:t xml:space="preserve"> 2.21E+10</w:t>
            </w:r>
          </w:p>
        </w:tc>
      </w:tr>
      <w:tr>
        <w:trPr>
          <w:cantSplit w:val="0"/>
          <w:tblHeader w:val="0"/>
        </w:trPr>
        <w:tc>
          <w:tcPr>
            <w:tcBorders>
              <w:left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CE">
            <w:pPr>
              <w:widowControl w:val="0"/>
              <w:spacing w:line="276" w:lineRule="auto"/>
              <w:jc w:val="center"/>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CF">
            <w:pPr>
              <w:widowControl w:val="0"/>
              <w:spacing w:line="276" w:lineRule="auto"/>
              <w:jc w:val="center"/>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D0">
            <w:pPr>
              <w:widowControl w:val="0"/>
              <w:spacing w:line="276" w:lineRule="auto"/>
              <w:jc w:val="center"/>
              <w:rPr>
                <w:sz w:val="20"/>
                <w:szCs w:val="20"/>
              </w:rPr>
            </w:pPr>
            <w:r w:rsidDel="00000000" w:rsidR="00000000" w:rsidRPr="00000000">
              <w:rPr>
                <w:sz w:val="20"/>
                <w:szCs w:val="20"/>
                <w:rtl w:val="0"/>
              </w:rPr>
              <w:t xml:space="preserve">3.06E+09</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D1">
            <w:pPr>
              <w:widowControl w:val="0"/>
              <w:spacing w:line="276" w:lineRule="auto"/>
              <w:jc w:val="center"/>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Services and Utilities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3">
            <w:pPr>
              <w:widowControl w:val="0"/>
              <w:spacing w:line="276" w:lineRule="auto"/>
              <w:jc w:val="center"/>
              <w:rPr>
                <w:sz w:val="20"/>
                <w:szCs w:val="20"/>
              </w:rPr>
            </w:pPr>
            <w:r w:rsidDel="00000000" w:rsidR="00000000" w:rsidRPr="00000000">
              <w:rPr>
                <w:sz w:val="20"/>
                <w:szCs w:val="20"/>
                <w:rtl w:val="0"/>
              </w:rPr>
              <w:t xml:space="preserve">0.00E+00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4">
            <w:pPr>
              <w:widowControl w:val="0"/>
              <w:spacing w:line="276" w:lineRule="auto"/>
              <w:jc w:val="center"/>
              <w:rPr>
                <w:sz w:val="20"/>
                <w:szCs w:val="20"/>
              </w:rPr>
            </w:pPr>
            <w:r w:rsidDel="00000000" w:rsidR="00000000" w:rsidRPr="00000000">
              <w:rPr>
                <w:sz w:val="20"/>
                <w:szCs w:val="20"/>
                <w:rtl w:val="0"/>
              </w:rPr>
              <w:t xml:space="preserve">0.00E+00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5">
            <w:pPr>
              <w:widowControl w:val="0"/>
              <w:spacing w:line="276" w:lineRule="auto"/>
              <w:jc w:val="center"/>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D6">
            <w:pPr>
              <w:widowControl w:val="0"/>
              <w:spacing w:line="276" w:lineRule="auto"/>
              <w:jc w:val="center"/>
              <w:rPr>
                <w:sz w:val="20"/>
                <w:szCs w:val="20"/>
              </w:rPr>
            </w:pPr>
            <w:r w:rsidDel="00000000" w:rsidR="00000000" w:rsidRPr="00000000">
              <w:rPr>
                <w:sz w:val="20"/>
                <w:szCs w:val="20"/>
                <w:rtl w:val="0"/>
              </w:rPr>
              <w:t xml:space="preserve">1.33E+10</w:t>
            </w:r>
          </w:p>
        </w:tc>
      </w:tr>
      <w:tr>
        <w:trPr>
          <w:cantSplit w:val="0"/>
          <w:trHeight w:val="255" w:hRule="atLeast"/>
          <w:tblHeader w:val="0"/>
        </w:trPr>
        <w:tc>
          <w:tcPr>
            <w:tcBorders>
              <w:left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D8">
            <w:pPr>
              <w:widowControl w:val="0"/>
              <w:spacing w:line="276" w:lineRule="auto"/>
              <w:jc w:val="center"/>
              <w:rPr>
                <w:b w:val="1"/>
                <w:bCs w:val="1"/>
                <w:sz w:val="20"/>
                <w:szCs w:val="20"/>
              </w:rPr>
            </w:pPr>
            <w:r w:rsidDel="00000000" w:rsidR="00000000" w:rsidRPr="00000000">
              <w:rPr>
                <w:b w:val="1"/>
                <w:bCs w:val="1"/>
                <w:sz w:val="20"/>
                <w:szCs w:val="20"/>
                <w:rtl w:val="0"/>
              </w:rPr>
              <w:t xml:space="preserve">0.367</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D9">
            <w:pPr>
              <w:widowControl w:val="0"/>
              <w:spacing w:line="276" w:lineRule="auto"/>
              <w:jc w:val="center"/>
              <w:rPr>
                <w:b w:val="1"/>
                <w:bCs w:val="1"/>
                <w:sz w:val="20"/>
                <w:szCs w:val="20"/>
              </w:rPr>
            </w:pPr>
            <w:r w:rsidDel="00000000" w:rsidR="00000000" w:rsidRPr="00000000">
              <w:rPr>
                <w:b w:val="1"/>
                <w:bCs w:val="1"/>
                <w:sz w:val="20"/>
                <w:szCs w:val="20"/>
                <w:rtl w:val="0"/>
              </w:rPr>
              <w:t xml:space="preserve">0.694</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DA">
            <w:pPr>
              <w:widowControl w:val="0"/>
              <w:spacing w:line="276" w:lineRule="auto"/>
              <w:jc w:val="center"/>
              <w:rPr>
                <w:b w:val="1"/>
                <w:bCs w:val="1"/>
                <w:sz w:val="20"/>
                <w:szCs w:val="20"/>
              </w:rPr>
            </w:pPr>
            <w:r w:rsidDel="00000000" w:rsidR="00000000" w:rsidRPr="00000000">
              <w:rPr>
                <w:b w:val="1"/>
                <w:bCs w:val="1"/>
                <w:sz w:val="20"/>
                <w:szCs w:val="20"/>
                <w:rtl w:val="0"/>
              </w:rPr>
              <w:t xml:space="preserve">1.15</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DB">
            <w:pPr>
              <w:widowControl w:val="0"/>
              <w:spacing w:line="276" w:lineRule="auto"/>
              <w:jc w:val="center"/>
              <w:rPr>
                <w:b w:val="1"/>
                <w:bCs w:val="1"/>
                <w:sz w:val="20"/>
                <w:szCs w:val="20"/>
              </w:rPr>
            </w:pPr>
            <w:r w:rsidDel="00000000" w:rsidR="00000000" w:rsidRPr="00000000">
              <w:rPr>
                <w:b w:val="1"/>
                <w:bCs w:val="1"/>
                <w:sz w:val="20"/>
                <w:szCs w:val="20"/>
                <w:rtl w:val="0"/>
              </w:rPr>
              <w:t xml:space="preserve">0.704</w:t>
            </w:r>
          </w:p>
        </w:tc>
      </w:tr>
    </w:tbl>
    <w:p w:rsidR="00000000" w:rsidDel="00000000" w:rsidP="00000000" w:rsidRDefault="00000000" w:rsidRPr="00000000" w14:paraId="000001DC">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Saudi Arabia</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1DD">
      <w:pPr>
        <w:pageBreakBefore w:val="0"/>
        <w:spacing w:after="240" w:before="24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DE">
      <w:pPr>
        <w:pageBreakBefore w:val="0"/>
        <w:spacing w:after="240" w:before="24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Saudi Arabia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DF">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E0">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E1">
      <w:pPr>
        <w:jc w:val="both"/>
        <w:rPr>
          <w:b w:val="1"/>
          <w:bCs w:val="1"/>
        </w:rPr>
      </w:pPr>
      <w:r w:rsidDel="00000000" w:rsidR="00000000" w:rsidRPr="00000000">
        <w:rPr>
          <w:b w:val="1"/>
          <w:bCs w:val="1"/>
        </w:rPr>
        <w:drawing>
          <wp:inline distB="114300" distT="114300" distL="114300" distR="114300">
            <wp:extent cx="5310188" cy="2519630"/>
            <wp:effectExtent b="0" l="0" r="0" t="0"/>
            <wp:docPr id="10" name="image7.jpg"/>
            <a:graphic>
              <a:graphicData uri="http://schemas.openxmlformats.org/drawingml/2006/picture">
                <pic:pic>
                  <pic:nvPicPr>
                    <pic:cNvPr id="0" name="image7.jpg"/>
                    <pic:cNvPicPr preferRelativeResize="0"/>
                  </pic:nvPicPr>
                  <pic:blipFill>
                    <a:blip r:embed="rId28"/>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E3">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E4">
      <w:pPr>
        <w:pageBreakBefore w:val="0"/>
        <w:spacing w:after="240" w:before="24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1E5">
      <w:pPr>
        <w:pageBreakBefore w:val="0"/>
        <w:spacing w:after="240" w:before="240" w:line="276" w:lineRule="auto"/>
        <w:rPr/>
      </w:pPr>
      <w:r w:rsidDel="00000000" w:rsidR="00000000" w:rsidRPr="00000000">
        <w:rPr>
          <w:rtl w:val="0"/>
        </w:rPr>
        <w:t xml:space="preserve">The Contingency Plan aims to present a set of solutions concerning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1E6">
      <w:pPr>
        <w:pageBreakBefore w:val="0"/>
        <w:spacing w:line="276" w:lineRule="auto"/>
        <w:rPr/>
      </w:pPr>
      <w:r w:rsidDel="00000000" w:rsidR="00000000" w:rsidRPr="00000000">
        <w:rPr>
          <w:rtl w:val="0"/>
        </w:rPr>
      </w:r>
    </w:p>
    <w:tbl>
      <w:tblPr>
        <w:tblStyle w:val="Table11"/>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F">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3">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33">
      <w:pPr>
        <w:jc w:val="center"/>
        <w:rPr>
          <w:b w:val="1"/>
          <w:bCs w:val="1"/>
          <w:sz w:val="28"/>
          <w:szCs w:val="28"/>
        </w:rPr>
      </w:pPr>
      <w:r w:rsidDel="00000000" w:rsidR="00000000" w:rsidRPr="00000000">
        <w:rPr>
          <w:sz w:val="22"/>
          <w:szCs w:val="22"/>
          <w:rtl w:val="0"/>
        </w:rPr>
        <w:t xml:space="preserve">Table 10. Sample Contingency Strategy (2019)</w:t>
      </w:r>
      <w:r w:rsidDel="00000000" w:rsidR="00000000" w:rsidRPr="00000000">
        <w:rPr>
          <w:rtl w:val="0"/>
        </w:rPr>
      </w:r>
    </w:p>
    <w:p w:rsidR="00000000" w:rsidDel="00000000" w:rsidP="00000000" w:rsidRDefault="00000000" w:rsidRPr="00000000" w14:paraId="0000023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35">
      <w:pPr>
        <w:spacing w:after="240" w:before="240" w:line="276" w:lineRule="auto"/>
        <w:rPr>
          <w:b w:val="1"/>
          <w:bCs w:val="1"/>
          <w:sz w:val="28"/>
          <w:szCs w:val="28"/>
        </w:rPr>
      </w:pPr>
      <w:r w:rsidDel="00000000" w:rsidR="00000000" w:rsidRPr="00000000">
        <w:rPr>
          <w:b w:val="1"/>
          <w:bCs w:val="1"/>
          <w:rtl w:val="0"/>
        </w:rPr>
        <w:t xml:space="preserve">SDV Sensitivity</w:t>
      </w:r>
      <w:r w:rsidDel="00000000" w:rsidR="00000000" w:rsidRPr="00000000">
        <w:rPr>
          <w:rtl w:val="0"/>
        </w:rPr>
      </w:r>
    </w:p>
    <w:p w:rsidR="00000000" w:rsidDel="00000000" w:rsidP="00000000" w:rsidRDefault="00000000" w:rsidRPr="00000000" w14:paraId="00000236">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3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38">
      <w:pPr>
        <w:pageBreakBefore w:val="0"/>
        <w:jc w:val="both"/>
        <w:rPr/>
      </w:pPr>
      <w:r w:rsidDel="00000000" w:rsidR="00000000" w:rsidRPr="00000000">
        <w:rPr>
          <w:rtl w:val="0"/>
        </w:rPr>
        <w:t xml:space="preserve">We examine </w:t>
      </w:r>
      <w:r w:rsidDel="00000000" w:rsidR="00000000" w:rsidRPr="00000000">
        <w:rPr>
          <w:rtl w:val="0"/>
        </w:rPr>
        <w:t xml:space="preserve">Saudi Arabia</w:t>
      </w:r>
      <w:r w:rsidDel="00000000" w:rsidR="00000000" w:rsidRPr="00000000">
        <w:rPr>
          <w:rtl w:val="0"/>
        </w:rPr>
        <w:t xml:space="preserve">'s ECI Decremental and Incremental Sensitivity Charts for 2021. An increase in Energy Drilling and Mining will lead to the highest change in ECI, followed by Chemical Manufacturing and Daily Instruments. The strong sensitivity effect of manipulating the Daily Instruments category remains consistent with previous years. For the negative shock cases, Chemicals becomes most impactful, a </w:t>
      </w:r>
      <w:r w:rsidDel="00000000" w:rsidR="00000000" w:rsidRPr="00000000">
        <w:rPr>
          <w:rtl w:val="0"/>
        </w:rPr>
        <w:t xml:space="preserve">new trend across the data emerging from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239">
      <w:pPr>
        <w:pageBreakBefore w:val="0"/>
        <w:jc w:val="both"/>
        <w:rPr/>
      </w:pPr>
      <w:r w:rsidDel="00000000" w:rsidR="00000000" w:rsidRPr="00000000">
        <w:rPr>
          <w:rtl w:val="0"/>
        </w:rPr>
      </w:r>
    </w:p>
    <w:p w:rsidR="00000000" w:rsidDel="00000000" w:rsidP="00000000" w:rsidRDefault="00000000" w:rsidRPr="00000000" w14:paraId="0000023A">
      <w:pPr>
        <w:pageBreakBefore w:val="0"/>
        <w:jc w:val="both"/>
        <w:rPr/>
      </w:pPr>
      <w:r w:rsidDel="00000000" w:rsidR="00000000" w:rsidRPr="00000000">
        <w:rPr/>
        <w:drawing>
          <wp:inline distB="114300" distT="114300" distL="114300" distR="114300">
            <wp:extent cx="5731200" cy="3416300"/>
            <wp:effectExtent b="0" l="0" r="0" t="0"/>
            <wp:docPr id="2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Saudi Arabia</w:t>
      </w:r>
      <w:r w:rsidDel="00000000" w:rsidR="00000000" w:rsidRPr="00000000">
        <w:rPr>
          <w:sz w:val="22"/>
          <w:szCs w:val="22"/>
          <w:rtl w:val="0"/>
        </w:rPr>
        <w:t xml:space="preserve"> (2021)</w:t>
      </w:r>
    </w:p>
    <w:p w:rsidR="00000000" w:rsidDel="00000000" w:rsidP="00000000" w:rsidRDefault="00000000" w:rsidRPr="00000000" w14:paraId="0000023C">
      <w:pPr>
        <w:jc w:val="center"/>
        <w:rPr>
          <w:sz w:val="22"/>
          <w:szCs w:val="22"/>
        </w:rPr>
      </w:pPr>
      <w:r w:rsidDel="00000000" w:rsidR="00000000" w:rsidRPr="00000000">
        <w:rPr>
          <w:sz w:val="22"/>
          <w:szCs w:val="22"/>
        </w:rPr>
        <w:drawing>
          <wp:inline distB="114300" distT="114300" distL="114300" distR="114300">
            <wp:extent cx="5731200" cy="3416300"/>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Saudi Arabia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23E">
      <w:pPr>
        <w:pageBreakBefore w:val="0"/>
        <w:jc w:val="both"/>
        <w:rPr/>
      </w:pPr>
      <w:r w:rsidDel="00000000" w:rsidR="00000000" w:rsidRPr="00000000">
        <w:rPr>
          <w:rtl w:val="0"/>
        </w:rPr>
      </w:r>
    </w:p>
    <w:p w:rsidR="00000000" w:rsidDel="00000000" w:rsidP="00000000" w:rsidRDefault="00000000" w:rsidRPr="00000000" w14:paraId="0000023F">
      <w:pPr>
        <w:pageBreakBefore w:val="0"/>
        <w:jc w:val="both"/>
        <w:rPr/>
      </w:pPr>
      <w:r w:rsidDel="00000000" w:rsidR="00000000" w:rsidRPr="00000000">
        <w:rPr>
          <w:rtl w:val="0"/>
        </w:rPr>
        <w:t xml:space="preserve">The ECI Sensitivity Charts for Saudi Arabia in 2018 are presented below. Notably, the positive chart indicates that increasing exports in any industry does not necessarily lead to gains in ECI. Moreover, we observe that an increase in the export of Services and Utilities is associated with a significant decrease in ECI. Therefore, in the best-case scenario, Saudi Arabia would not aim to expand this industry.</w:t>
      </w:r>
    </w:p>
    <w:p w:rsidR="00000000" w:rsidDel="00000000" w:rsidP="00000000" w:rsidRDefault="00000000" w:rsidRPr="00000000" w14:paraId="00000240">
      <w:pPr>
        <w:pageBreakBefore w:val="0"/>
        <w:jc w:val="both"/>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Next, we consider Saudi Arabia’s 2018 Negative Shock chart. We can see that decreasing exports in Services and Utilities seem to result in large ECI gains, while drawbacks in High-complexity Products lead to significant ECI losses. Saudi Arabia is fairly insensitive to the majority of the other industries. </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jc w:val="center"/>
        <w:rPr>
          <w:b w:val="1"/>
          <w:bCs w:val="1"/>
        </w:rPr>
      </w:pPr>
      <w:r w:rsidDel="00000000" w:rsidR="00000000" w:rsidRPr="00000000">
        <w:rPr>
          <w:b w:val="1"/>
          <w:bCs w:val="1"/>
          <w:sz w:val="28"/>
          <w:szCs w:val="28"/>
        </w:rPr>
        <w:drawing>
          <wp:inline distB="114300" distT="114300" distL="114300" distR="114300">
            <wp:extent cx="5376844" cy="2652713"/>
            <wp:effectExtent b="0" l="0" r="0" t="0"/>
            <wp:docPr id="31" name="image32.jpg"/>
            <a:graphic>
              <a:graphicData uri="http://schemas.openxmlformats.org/drawingml/2006/picture">
                <pic:pic>
                  <pic:nvPicPr>
                    <pic:cNvPr id="0" name="image32.jpg"/>
                    <pic:cNvPicPr preferRelativeResize="0"/>
                  </pic:nvPicPr>
                  <pic:blipFill>
                    <a:blip r:embed="rId31"/>
                    <a:srcRect b="1917" l="0" r="0" t="0"/>
                    <a:stretch>
                      <a:fillRect/>
                    </a:stretch>
                  </pic:blipFill>
                  <pic:spPr>
                    <a:xfrm>
                      <a:off x="0" y="0"/>
                      <a:ext cx="5376844"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Saudi Arabia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46">
      <w:pPr>
        <w:pageBreakBefore w:val="0"/>
        <w:jc w:val="both"/>
        <w:rPr>
          <w:b w:val="1"/>
          <w:bCs w:val="1"/>
        </w:rPr>
      </w:pPr>
      <w:r w:rsidDel="00000000" w:rsidR="00000000" w:rsidRPr="00000000">
        <w:rPr>
          <w:rtl w:val="0"/>
        </w:rPr>
      </w:r>
    </w:p>
    <w:p w:rsidR="00000000" w:rsidDel="00000000" w:rsidP="00000000" w:rsidRDefault="00000000" w:rsidRPr="00000000" w14:paraId="00000247">
      <w:pPr>
        <w:jc w:val="center"/>
        <w:rPr>
          <w:b w:val="1"/>
          <w:bCs w:val="1"/>
        </w:rPr>
      </w:pPr>
      <w:r w:rsidDel="00000000" w:rsidR="00000000" w:rsidRPr="00000000">
        <w:rPr>
          <w:b w:val="1"/>
          <w:bCs w:val="1"/>
          <w:sz w:val="28"/>
          <w:szCs w:val="28"/>
        </w:rPr>
        <w:drawing>
          <wp:inline distB="114300" distT="114300" distL="114300" distR="114300">
            <wp:extent cx="5440490" cy="2709863"/>
            <wp:effectExtent b="0" l="0" r="0" t="0"/>
            <wp:docPr id="13" name="image28.jpg"/>
            <a:graphic>
              <a:graphicData uri="http://schemas.openxmlformats.org/drawingml/2006/picture">
                <pic:pic>
                  <pic:nvPicPr>
                    <pic:cNvPr id="0" name="image28.jpg"/>
                    <pic:cNvPicPr preferRelativeResize="0"/>
                  </pic:nvPicPr>
                  <pic:blipFill>
                    <a:blip r:embed="rId32"/>
                    <a:srcRect b="0" l="0" r="0" t="0"/>
                    <a:stretch>
                      <a:fillRect/>
                    </a:stretch>
                  </pic:blipFill>
                  <pic:spPr>
                    <a:xfrm>
                      <a:off x="0" y="0"/>
                      <a:ext cx="5440490"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Saudi Arabia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49">
      <w:pPr>
        <w:pageBreakBefore w:val="0"/>
        <w:jc w:val="center"/>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Moving on to the 2013 ECI Sensitivity charts, we can observe that a positive shock to the export of any industry did not lead to an increase in ECI gains, similar to the 2018 case. However, in contrast to 2018, Saudi Arabia showed high sensitivity to the Energy and Drilling Industry, rather than Services and Utilities.</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b w:val="1"/>
          <w:bCs w:val="1"/>
        </w:rPr>
      </w:pPr>
      <w:r w:rsidDel="00000000" w:rsidR="00000000" w:rsidRPr="00000000">
        <w:rPr>
          <w:rtl w:val="0"/>
        </w:rPr>
        <w:t xml:space="preserve">In the 2013 negative shocking case, Saudi Arabia was less sensitive to Services and Utilities but highly sensitive to drawdowns in Raw Manufacturing and Chemicals. Even a small 10% drawdown in Raw Manufacturing could cause a significant decline in ECI, while Chemicals would need around a 50% drawdown to see the same effect.</w:t>
      </w:r>
      <w:r w:rsidDel="00000000" w:rsidR="00000000" w:rsidRPr="00000000">
        <w:rPr>
          <w:b w:val="1"/>
          <w:bCs w:val="1"/>
          <w:sz w:val="28"/>
          <w:szCs w:val="28"/>
        </w:rPr>
        <w:drawing>
          <wp:inline distB="114300" distT="114300" distL="114300" distR="114300">
            <wp:extent cx="5710238" cy="2903329"/>
            <wp:effectExtent b="0" l="0" r="0" t="0"/>
            <wp:docPr id="32" name="image27.jpg"/>
            <a:graphic>
              <a:graphicData uri="http://schemas.openxmlformats.org/drawingml/2006/picture">
                <pic:pic>
                  <pic:nvPicPr>
                    <pic:cNvPr id="0" name="image27.jpg"/>
                    <pic:cNvPicPr preferRelativeResize="0"/>
                  </pic:nvPicPr>
                  <pic:blipFill>
                    <a:blip r:embed="rId33"/>
                    <a:srcRect b="0" l="0" r="0" t="0"/>
                    <a:stretch>
                      <a:fillRect/>
                    </a:stretch>
                  </pic:blipFill>
                  <pic:spPr>
                    <a:xfrm>
                      <a:off x="0" y="0"/>
                      <a:ext cx="5710238" cy="2903329"/>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Saudi Arabia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4E">
      <w:pPr>
        <w:pageBreakBefore w:val="0"/>
        <w:jc w:val="center"/>
        <w:rPr/>
      </w:pPr>
      <w:r w:rsidDel="00000000" w:rsidR="00000000" w:rsidRPr="00000000">
        <w:rPr>
          <w:rtl w:val="0"/>
        </w:rPr>
      </w:r>
    </w:p>
    <w:p w:rsidR="00000000" w:rsidDel="00000000" w:rsidP="00000000" w:rsidRDefault="00000000" w:rsidRPr="00000000" w14:paraId="0000024F">
      <w:pPr>
        <w:jc w:val="center"/>
        <w:rPr>
          <w:b w:val="1"/>
          <w:bCs w:val="1"/>
        </w:rPr>
      </w:pPr>
      <w:r w:rsidDel="00000000" w:rsidR="00000000" w:rsidRPr="00000000">
        <w:rPr>
          <w:b w:val="1"/>
          <w:bCs w:val="1"/>
          <w:sz w:val="28"/>
          <w:szCs w:val="28"/>
        </w:rPr>
        <w:drawing>
          <wp:inline distB="114300" distT="114300" distL="114300" distR="114300">
            <wp:extent cx="5730713" cy="2936231"/>
            <wp:effectExtent b="0" l="0" r="0" t="0"/>
            <wp:docPr id="7" name="image16.jpg"/>
            <a:graphic>
              <a:graphicData uri="http://schemas.openxmlformats.org/drawingml/2006/picture">
                <pic:pic>
                  <pic:nvPicPr>
                    <pic:cNvPr id="0" name="image16.jpg"/>
                    <pic:cNvPicPr preferRelativeResize="0"/>
                  </pic:nvPicPr>
                  <pic:blipFill>
                    <a:blip r:embed="rId34"/>
                    <a:srcRect b="0" l="0" r="0" t="0"/>
                    <a:stretch>
                      <a:fillRect/>
                    </a:stretch>
                  </pic:blipFill>
                  <pic:spPr>
                    <a:xfrm>
                      <a:off x="0" y="0"/>
                      <a:ext cx="5730713" cy="2936231"/>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Saudi Arabia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51">
      <w:pPr>
        <w:pageBreakBefore w:val="0"/>
        <w:jc w:val="both"/>
        <w:rPr/>
      </w:pPr>
      <w:r w:rsidDel="00000000" w:rsidR="00000000" w:rsidRPr="00000000">
        <w:rPr>
          <w:rtl w:val="0"/>
        </w:rPr>
      </w:r>
    </w:p>
    <w:p w:rsidR="00000000" w:rsidDel="00000000" w:rsidP="00000000" w:rsidRDefault="00000000" w:rsidRPr="00000000" w14:paraId="00000252">
      <w:pPr>
        <w:pageBreakBefore w:val="0"/>
        <w:jc w:val="both"/>
        <w:rPr/>
      </w:pPr>
      <w:r w:rsidDel="00000000" w:rsidR="00000000" w:rsidRPr="00000000">
        <w:rPr>
          <w:rtl w:val="0"/>
        </w:rPr>
      </w:r>
    </w:p>
    <w:p w:rsidR="00000000" w:rsidDel="00000000" w:rsidP="00000000" w:rsidRDefault="00000000" w:rsidRPr="00000000" w14:paraId="00000253">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5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55">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Saudi Arabia</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56">
      <w:pPr>
        <w:pageBreakBefore w:val="0"/>
        <w:jc w:val="center"/>
        <w:rPr>
          <w:b w:val="1"/>
          <w:bCs w:val="1"/>
          <w:sz w:val="28"/>
          <w:szCs w:val="28"/>
        </w:rPr>
      </w:pPr>
      <w:r w:rsidDel="00000000" w:rsidR="00000000" w:rsidRPr="00000000">
        <w:rPr>
          <w:rtl w:val="0"/>
        </w:rPr>
      </w:r>
    </w:p>
    <w:tbl>
      <w:tblPr>
        <w:tblStyle w:val="Table12"/>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95"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highlight w:val="white"/>
                <w:rtl w:val="0"/>
              </w:rPr>
              <w:t xml:space="preserve">High-complexity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Chemicals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highlight w:val="white"/>
                <w:rtl w:val="0"/>
              </w:rPr>
              <w:t xml:space="preserve">High-complexity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highlight w:val="white"/>
                <w:rtl w:val="0"/>
              </w:rPr>
              <w:t xml:space="preserve">High-complexity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highlight w:val="white"/>
                <w:rtl w:val="0"/>
              </w:rPr>
              <w:t xml:space="preserve">High-complexity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highlight w:val="white"/>
                <w:rtl w:val="0"/>
              </w:rPr>
              <w:t xml:space="preserve">High-complexity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highlight w:val="white"/>
                <w:rtl w:val="0"/>
              </w:rPr>
              <w:t xml:space="preserve">High-complexity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highlight w:val="white"/>
                <w:rtl w:val="0"/>
              </w:rPr>
              <w:t xml:space="preserve">High-complexity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Services and Utilities</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Transportation</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highlight w:val="white"/>
                <w:rtl w:val="0"/>
              </w:rPr>
              <w:t xml:space="preserve">High-complexity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2A3">
      <w:pPr>
        <w:pageBreakBefore w:val="0"/>
        <w:jc w:val="center"/>
        <w:rPr>
          <w:sz w:val="22"/>
          <w:szCs w:val="22"/>
        </w:rPr>
      </w:pPr>
      <w:r w:rsidDel="00000000" w:rsidR="00000000" w:rsidRPr="00000000">
        <w:rPr>
          <w:sz w:val="22"/>
          <w:szCs w:val="22"/>
          <w:rtl w:val="0"/>
        </w:rPr>
        <w:t xml:space="preserve">Table 11. </w:t>
      </w:r>
      <w:r w:rsidDel="00000000" w:rsidR="00000000" w:rsidRPr="00000000">
        <w:rPr>
          <w:sz w:val="22"/>
          <w:szCs w:val="22"/>
          <w:rtl w:val="0"/>
        </w:rPr>
        <w:t xml:space="preserve">Saudi Arabia</w:t>
      </w:r>
      <w:r w:rsidDel="00000000" w:rsidR="00000000" w:rsidRPr="00000000">
        <w:rPr>
          <w:sz w:val="22"/>
          <w:szCs w:val="22"/>
          <w:rtl w:val="0"/>
        </w:rPr>
        <w:t xml:space="preserve">’s Contingency Strategy (2018)</w:t>
      </w:r>
    </w:p>
    <w:p w:rsidR="00000000" w:rsidDel="00000000" w:rsidP="00000000" w:rsidRDefault="00000000" w:rsidRPr="00000000" w14:paraId="000002A4">
      <w:pPr>
        <w:jc w:val="left"/>
        <w:rPr/>
      </w:pPr>
      <w:r w:rsidDel="00000000" w:rsidR="00000000" w:rsidRPr="00000000">
        <w:rPr>
          <w:rtl w:val="0"/>
        </w:rPr>
      </w:r>
    </w:p>
    <w:p w:rsidR="00000000" w:rsidDel="00000000" w:rsidP="00000000" w:rsidRDefault="00000000" w:rsidRPr="00000000" w14:paraId="000002A5">
      <w:pPr>
        <w:pageBreakBefore w:val="0"/>
        <w:jc w:val="center"/>
        <w:rPr>
          <w:sz w:val="28"/>
          <w:szCs w:val="28"/>
        </w:rPr>
      </w:pPr>
      <w:r w:rsidDel="00000000" w:rsidR="00000000" w:rsidRPr="00000000">
        <w:rPr>
          <w:rtl w:val="0"/>
        </w:rPr>
      </w:r>
    </w:p>
    <w:p w:rsidR="00000000" w:rsidDel="00000000" w:rsidP="00000000" w:rsidRDefault="00000000" w:rsidRPr="00000000" w14:paraId="000002A6">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A8">
      <w:pPr>
        <w:pageBreakBefore w:val="0"/>
        <w:jc w:val="both"/>
        <w:rPr>
          <w:b w:val="1"/>
          <w:bCs w:val="1"/>
        </w:rPr>
      </w:pPr>
      <w:r w:rsidDel="00000000" w:rsidR="00000000" w:rsidRPr="00000000">
        <w:rPr>
          <w:rtl w:val="0"/>
        </w:rPr>
      </w:r>
    </w:p>
    <w:p w:rsidR="00000000" w:rsidDel="00000000" w:rsidP="00000000" w:rsidRDefault="00000000" w:rsidRPr="00000000" w14:paraId="000002A9">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AA">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AB">
      <w:pPr>
        <w:pageBreakBefore w:val="0"/>
        <w:jc w:val="both"/>
        <w:rPr/>
      </w:pPr>
      <w:r w:rsidDel="00000000" w:rsidR="00000000" w:rsidRPr="00000000">
        <w:rPr>
          <w:rtl w:val="0"/>
        </w:rPr>
      </w:r>
    </w:p>
    <w:p w:rsidR="00000000" w:rsidDel="00000000" w:rsidP="00000000" w:rsidRDefault="00000000" w:rsidRPr="00000000" w14:paraId="000002AC">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2AD">
      <w:pPr>
        <w:pageBreakBefore w:val="0"/>
        <w:jc w:val="both"/>
        <w:rPr/>
      </w:pPr>
      <w:r w:rsidDel="00000000" w:rsidR="00000000" w:rsidRPr="00000000">
        <w:rPr>
          <w:rtl w:val="0"/>
        </w:rPr>
      </w:r>
    </w:p>
    <w:tbl>
      <w:tblPr>
        <w:tblStyle w:val="Table13"/>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2AE">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B0">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B1">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B2">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B3">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B4">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B5">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2B6">
      <w:pPr>
        <w:pageBreakBefore w:val="0"/>
        <w:jc w:val="left"/>
        <w:rPr/>
      </w:pPr>
      <w:r w:rsidDel="00000000" w:rsidR="00000000" w:rsidRPr="00000000">
        <w:rPr>
          <w:rtl w:val="0"/>
        </w:rPr>
      </w:r>
    </w:p>
    <w:p w:rsidR="00000000" w:rsidDel="00000000" w:rsidP="00000000" w:rsidRDefault="00000000" w:rsidRPr="00000000" w14:paraId="000002B7">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2B8">
      <w:pPr>
        <w:pageBreakBefore w:val="0"/>
        <w:jc w:val="both"/>
        <w:rPr/>
      </w:pPr>
      <w:r w:rsidDel="00000000" w:rsidR="00000000" w:rsidRPr="00000000">
        <w:rPr>
          <w:rtl w:val="0"/>
        </w:rPr>
      </w:r>
    </w:p>
    <w:p w:rsidR="00000000" w:rsidDel="00000000" w:rsidP="00000000" w:rsidRDefault="00000000" w:rsidRPr="00000000" w14:paraId="000002B9">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Saudi Arabia</w:t>
      </w:r>
      <w:r w:rsidDel="00000000" w:rsidR="00000000" w:rsidRPr="00000000">
        <w:rPr>
          <w:b w:val="1"/>
          <w:bCs w:val="1"/>
          <w:rtl w:val="0"/>
        </w:rPr>
        <w:t xml:space="preserve"> and Its Implications</w:t>
      </w:r>
    </w:p>
    <w:p w:rsidR="00000000" w:rsidDel="00000000" w:rsidP="00000000" w:rsidRDefault="00000000" w:rsidRPr="00000000" w14:paraId="000002BA">
      <w:pPr>
        <w:pageBreakBefore w:val="0"/>
        <w:jc w:val="both"/>
        <w:rPr/>
      </w:pPr>
      <w:r w:rsidDel="00000000" w:rsidR="00000000" w:rsidRPr="00000000">
        <w:rPr>
          <w:rtl w:val="0"/>
        </w:rPr>
        <w:t xml:space="preserve">Saudi Arabia</w:t>
      </w:r>
      <w:r w:rsidDel="00000000" w:rsidR="00000000" w:rsidRPr="00000000">
        <w:rPr>
          <w:rtl w:val="0"/>
        </w:rPr>
        <w:t xml:space="preserve">, for instance, has a low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Saudi Arabia</w:t>
      </w:r>
      <w:r w:rsidDel="00000000" w:rsidR="00000000" w:rsidRPr="00000000">
        <w:rPr>
          <w:rtl w:val="0"/>
        </w:rPr>
        <w:t xml:space="preserve"> demonstrates a low level of correlation with the suggested developmental path, having an adjusted R-square of around -5.9%. Saudi Arabia ranks in the 102th place among all countries in terms of SOI and has a 5-year GDP growth rate of 7.5% from 2013 to 2018, which is faster than the prediction by regression result in Figure 6 and thus may not be sustainable in the long run. This is in direct contrast to emerging economies such as Turkey, where there is high SOI of around 21.8% and corresponding GDP growth of 36.7% from 2013 to 2018, making it one of the fastest-developing economies during the period. In sum, </w:t>
      </w:r>
      <w:r w:rsidDel="00000000" w:rsidR="00000000" w:rsidRPr="00000000">
        <w:rPr>
          <w:rtl w:val="0"/>
        </w:rPr>
        <w:t xml:space="preserve">Saudi Arabia</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Saudi Arabia</w:t>
      </w:r>
      <w:r w:rsidDel="00000000" w:rsidR="00000000" w:rsidRPr="00000000">
        <w:rPr>
          <w:rtl w:val="0"/>
        </w:rPr>
        <w:t xml:space="preserve"> invested heavily in the Services and Utilities industry, while it invested little in most other industries.</w:t>
      </w:r>
    </w:p>
    <w:p w:rsidR="00000000" w:rsidDel="00000000" w:rsidP="00000000" w:rsidRDefault="00000000" w:rsidRPr="00000000" w14:paraId="000002BB">
      <w:pPr>
        <w:pageBreakBefore w:val="0"/>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drawing>
          <wp:inline distB="114300" distT="114300" distL="114300" distR="114300">
            <wp:extent cx="5731200" cy="2286000"/>
            <wp:effectExtent b="0" l="0" r="0" t="0"/>
            <wp:docPr id="11"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Saudi Arabia</w:t>
      </w:r>
      <w:r w:rsidDel="00000000" w:rsidR="00000000" w:rsidRPr="00000000">
        <w:rPr>
          <w:sz w:val="22"/>
          <w:szCs w:val="22"/>
          <w:rtl w:val="0"/>
        </w:rPr>
        <w:t xml:space="preserve"> (2013-2018)</w:t>
      </w:r>
    </w:p>
    <w:p w:rsidR="00000000" w:rsidDel="00000000" w:rsidP="00000000" w:rsidRDefault="00000000" w:rsidRPr="00000000" w14:paraId="000002BE">
      <w:pPr>
        <w:jc w:val="center"/>
        <w:rPr>
          <w:sz w:val="22"/>
          <w:szCs w:val="22"/>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For the 2019-2021 years, </w:t>
      </w:r>
      <w:r w:rsidDel="00000000" w:rsidR="00000000" w:rsidRPr="00000000">
        <w:rPr>
          <w:rtl w:val="0"/>
        </w:rPr>
        <w:t xml:space="preserve">Saudi Arabia</w:t>
      </w:r>
      <w:r w:rsidDel="00000000" w:rsidR="00000000" w:rsidRPr="00000000">
        <w:rPr>
          <w:rtl w:val="0"/>
        </w:rPr>
        <w:t xml:space="preserve"> has a strong presence in the Metals and Precious Stones industries, which </w:t>
      </w:r>
      <w:r w:rsidDel="00000000" w:rsidR="00000000" w:rsidRPr="00000000">
        <w:rPr>
          <w:rtl w:val="0"/>
        </w:rPr>
        <w:t xml:space="preserve">seem to be overdeveloped when considering their lower opportunity gain relative to RID</w:t>
      </w:r>
      <w:r w:rsidDel="00000000" w:rsidR="00000000" w:rsidRPr="00000000">
        <w:rPr>
          <w:rtl w:val="0"/>
        </w:rPr>
        <w:t xml:space="preserve">. It also could consider Energy Drilling and Mining to improve its growth. </w:t>
      </w:r>
      <w:r w:rsidDel="00000000" w:rsidR="00000000" w:rsidRPr="00000000">
        <w:rPr>
          <w:rtl w:val="0"/>
        </w:rPr>
        <w:t xml:space="preserve">Saudi Arabia</w:t>
      </w:r>
      <w:r w:rsidDel="00000000" w:rsidR="00000000" w:rsidRPr="00000000">
        <w:rPr>
          <w:rtl w:val="0"/>
        </w:rPr>
        <w:t xml:space="preserve"> has seen a growth in GDP over those three years of 3.7%, compared to 7.5% for the five years prior. </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Higher than before, its adjusted R-squared value of 21.4% now indicates a higher correlation between the GDP growth and the implemented development path. Progress is slow on a global scale during this period, but </w:t>
      </w:r>
      <w:r w:rsidDel="00000000" w:rsidR="00000000" w:rsidRPr="00000000">
        <w:rPr>
          <w:rtl w:val="0"/>
        </w:rPr>
        <w:t xml:space="preserve">Saudi Arabia</w:t>
      </w:r>
      <w:r w:rsidDel="00000000" w:rsidR="00000000" w:rsidRPr="00000000">
        <w:rPr>
          <w:rtl w:val="0"/>
        </w:rPr>
        <w:t xml:space="preserve"> demonstrates a moderately improved ability to adjust to negative economic shocks by improving SOI and increasing GDP growth than it did between 2013 and 2018.</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jc w:val="both"/>
        <w:rPr/>
      </w:pPr>
      <w:r w:rsidDel="00000000" w:rsidR="00000000" w:rsidRPr="00000000">
        <w:rPr/>
        <w:drawing>
          <wp:inline distB="114300" distT="114300" distL="114300" distR="114300">
            <wp:extent cx="5731200" cy="2298700"/>
            <wp:effectExtent b="0" l="0" r="0" t="0"/>
            <wp:docPr id="1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Saudi Arabia</w:t>
      </w:r>
      <w:r w:rsidDel="00000000" w:rsidR="00000000" w:rsidRPr="00000000">
        <w:rPr>
          <w:sz w:val="22"/>
          <w:szCs w:val="22"/>
          <w:rtl w:val="0"/>
        </w:rPr>
        <w:t xml:space="preserve"> (2019-2021)</w:t>
      </w:r>
    </w:p>
    <w:p w:rsidR="00000000" w:rsidDel="00000000" w:rsidP="00000000" w:rsidRDefault="00000000" w:rsidRPr="00000000" w14:paraId="000002C5">
      <w:pPr>
        <w:pageBreakBefore w:val="0"/>
        <w:jc w:val="both"/>
        <w:rPr>
          <w:b w:val="1"/>
          <w:bCs w:val="1"/>
        </w:rPr>
      </w:pPr>
      <w:r w:rsidDel="00000000" w:rsidR="00000000" w:rsidRPr="00000000">
        <w:rPr>
          <w:rtl w:val="0"/>
        </w:rPr>
      </w:r>
    </w:p>
    <w:p w:rsidR="00000000" w:rsidDel="00000000" w:rsidP="00000000" w:rsidRDefault="00000000" w:rsidRPr="00000000" w14:paraId="000002C6">
      <w:pPr>
        <w:pageBreakBefore w:val="0"/>
        <w:jc w:val="both"/>
        <w:rPr>
          <w:b w:val="1"/>
          <w:bCs w:val="1"/>
        </w:rPr>
      </w:pPr>
      <w:r w:rsidDel="00000000" w:rsidR="00000000" w:rsidRPr="00000000">
        <w:rPr>
          <w:rtl w:val="0"/>
        </w:rPr>
      </w:r>
    </w:p>
    <w:p w:rsidR="00000000" w:rsidDel="00000000" w:rsidP="00000000" w:rsidRDefault="00000000" w:rsidRPr="00000000" w14:paraId="000002C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C9">
      <w:pPr>
        <w:pageBreakBefore w:val="0"/>
        <w:jc w:val="both"/>
        <w:rPr/>
      </w:pPr>
      <w:r w:rsidDel="00000000" w:rsidR="00000000" w:rsidRPr="00000000">
        <w:rPr>
          <w:rtl w:val="0"/>
        </w:rPr>
      </w:r>
    </w:p>
    <w:p w:rsidR="00000000" w:rsidDel="00000000" w:rsidP="00000000" w:rsidRDefault="00000000" w:rsidRPr="00000000" w14:paraId="000002CA">
      <w:pPr>
        <w:pageBreakBefore w:val="0"/>
        <w:jc w:val="both"/>
        <w:rPr/>
      </w:pPr>
      <w:r w:rsidDel="00000000" w:rsidR="00000000" w:rsidRPr="00000000">
        <w:rPr>
          <w:rtl w:val="0"/>
        </w:rPr>
        <w:t xml:space="preserve">In conclusion, </w:t>
      </w:r>
      <w:r w:rsidDel="00000000" w:rsidR="00000000" w:rsidRPr="00000000">
        <w:rPr>
          <w:rtl w:val="0"/>
        </w:rPr>
        <w:t xml:space="preserve">Saudi Arabia</w:t>
      </w:r>
      <w:r w:rsidDel="00000000" w:rsidR="00000000" w:rsidRPr="00000000">
        <w:rPr>
          <w:rtl w:val="0"/>
        </w:rPr>
        <w:t xml:space="preserve"> has demonstrated a low level of economic growth in terms of annual GDP increase during the period from 2013 to 2018, concurrent with an increase in economic complexity as compared with other major developed economies. For 2019-2021, the growth in GDP has slowed alongside a decrease in ECI, contrasting</w:t>
      </w:r>
      <w:r w:rsidDel="00000000" w:rsidR="00000000" w:rsidRPr="00000000">
        <w:rPr>
          <w:rtl w:val="0"/>
        </w:rPr>
        <w:t xml:space="preserve"> with some of its comparable countries</w:t>
      </w:r>
      <w:r w:rsidDel="00000000" w:rsidR="00000000" w:rsidRPr="00000000">
        <w:rPr>
          <w:rtl w:val="0"/>
        </w:rPr>
        <w:t xml:space="preserve">.</w:t>
      </w:r>
    </w:p>
    <w:p w:rsidR="00000000" w:rsidDel="00000000" w:rsidP="00000000" w:rsidRDefault="00000000" w:rsidRPr="00000000" w14:paraId="000002CB">
      <w:pPr>
        <w:pageBreakBefore w:val="0"/>
        <w:jc w:val="both"/>
        <w:rPr/>
      </w:pPr>
      <w:r w:rsidDel="00000000" w:rsidR="00000000" w:rsidRPr="00000000">
        <w:rPr>
          <w:rtl w:val="0"/>
        </w:rPr>
      </w:r>
    </w:p>
    <w:p w:rsidR="00000000" w:rsidDel="00000000" w:rsidP="00000000" w:rsidRDefault="00000000" w:rsidRPr="00000000" w14:paraId="000002CC">
      <w:pPr>
        <w:pageBreakBefore w:val="0"/>
        <w:jc w:val="both"/>
        <w:rPr/>
      </w:pPr>
      <w:r w:rsidDel="00000000" w:rsidR="00000000" w:rsidRPr="00000000">
        <w:rPr>
          <w:rtl w:val="0"/>
        </w:rPr>
        <w:t xml:space="preserve">We believe that the lack of progress during the first period can be partially explained through the analysis of the economic and product complexity structure of </w:t>
      </w:r>
      <w:r w:rsidDel="00000000" w:rsidR="00000000" w:rsidRPr="00000000">
        <w:rPr>
          <w:rtl w:val="0"/>
        </w:rPr>
        <w:t xml:space="preserve">Saudi Arabia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Saudi Arabia</w:t>
      </w:r>
      <w:r w:rsidDel="00000000" w:rsidR="00000000" w:rsidRPr="00000000">
        <w:rPr>
          <w:rtl w:val="0"/>
        </w:rPr>
        <w:t xml:space="preserve"> regressed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2CD">
      <w:pPr>
        <w:pageBreakBefore w:val="0"/>
        <w:jc w:val="both"/>
        <w:rPr/>
      </w:pPr>
      <w:r w:rsidDel="00000000" w:rsidR="00000000" w:rsidRPr="00000000">
        <w:rPr>
          <w:rtl w:val="0"/>
        </w:rPr>
      </w:r>
    </w:p>
    <w:p w:rsidR="00000000" w:rsidDel="00000000" w:rsidP="00000000" w:rsidRDefault="00000000" w:rsidRPr="00000000" w14:paraId="000002CE">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Saudi Arabia</w:t>
      </w:r>
      <w:r w:rsidDel="00000000" w:rsidR="00000000" w:rsidRPr="00000000">
        <w:rPr>
          <w:rtl w:val="0"/>
        </w:rPr>
        <w:t xml:space="preserve"> can further its gains by prioritizing Services and Utilities and Raw Manufacturing. We further note that </w:t>
      </w:r>
      <w:r w:rsidDel="00000000" w:rsidR="00000000" w:rsidRPr="00000000">
        <w:rPr>
          <w:rtl w:val="0"/>
        </w:rPr>
        <w:t xml:space="preserve">Saudi Arabia</w:t>
      </w:r>
      <w:r w:rsidDel="00000000" w:rsidR="00000000" w:rsidRPr="00000000">
        <w:rPr>
          <w:rtl w:val="0"/>
        </w:rPr>
        <w:t xml:space="preserve"> has a </w:t>
      </w:r>
      <w:r w:rsidDel="00000000" w:rsidR="00000000" w:rsidRPr="00000000">
        <w:rPr>
          <w:rtl w:val="0"/>
        </w:rPr>
        <w:t xml:space="preserve">mismatched development strategy</w:t>
      </w:r>
      <w:r w:rsidDel="00000000" w:rsidR="00000000" w:rsidRPr="00000000">
        <w:rPr>
          <w:rtl w:val="0"/>
        </w:rPr>
        <w:t xml:space="preserve"> that indicates a low level (compared to other emerging countries) of structural optimality on the complexity level, having an adjusted R-square of around -5.9%. Since a negative </w:t>
      </w:r>
      <w:r w:rsidDel="00000000" w:rsidR="00000000" w:rsidRPr="00000000">
        <w:rPr>
          <w:rtl w:val="0"/>
        </w:rPr>
        <w:t xml:space="preserve">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Saudi Arabia</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CF">
      <w:pPr>
        <w:pageBreakBefore w:val="0"/>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t xml:space="preserve">During the second examined period from 2019 to 2021, </w:t>
      </w:r>
      <w:r w:rsidDel="00000000" w:rsidR="00000000" w:rsidRPr="00000000">
        <w:rPr>
          <w:rtl w:val="0"/>
        </w:rPr>
        <w:t xml:space="preserve">Saudi Arabia</w:t>
      </w:r>
      <w:r w:rsidDel="00000000" w:rsidR="00000000" w:rsidRPr="00000000">
        <w:rPr>
          <w:rtl w:val="0"/>
        </w:rPr>
        <w:t xml:space="preserve"> performed much similarly to before and compared to other countries, particularly Mexico. We infer that during the  COVID-19 period, Saudi Arabia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Saudi Arabia</w:t>
      </w:r>
      <w:r w:rsidDel="00000000" w:rsidR="00000000" w:rsidRPr="00000000">
        <w:rPr>
          <w:rtl w:val="0"/>
        </w:rPr>
        <w:t xml:space="preserve"> has increased its investment in the sectors identified earlier, leading to a strong boost from Metals and Precious Stones industries, leaving some room for strategic improvement. The ECI suggests that greater growth could have been achieved through Services and Utilities. The surprising growth also increased the adjusted R-squared value to 21.4% in 2021 from -5.9%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Saudi Arabia</w:t>
      </w:r>
      <w:r w:rsidDel="00000000" w:rsidR="00000000" w:rsidRPr="00000000">
        <w:rPr>
          <w:rtl w:val="0"/>
        </w:rPr>
        <w:t xml:space="preserve"> has further potential to advance its economic growth to maintain its position among other countries to continue its ongoing economic expansion.</w:t>
      </w:r>
    </w:p>
    <w:p w:rsidR="00000000" w:rsidDel="00000000" w:rsidP="00000000" w:rsidRDefault="00000000" w:rsidRPr="00000000" w14:paraId="000002D1">
      <w:pPr>
        <w:pageBreakBefore w:val="0"/>
        <w:jc w:val="both"/>
        <w:rPr/>
      </w:pPr>
      <w:r w:rsidDel="00000000" w:rsidR="00000000" w:rsidRPr="00000000">
        <w:rPr>
          <w:rtl w:val="0"/>
        </w:rPr>
      </w:r>
    </w:p>
    <w:p w:rsidR="00000000" w:rsidDel="00000000" w:rsidP="00000000" w:rsidRDefault="00000000" w:rsidRPr="00000000" w14:paraId="000002D2">
      <w:pPr>
        <w:pageBreakBefore w:val="0"/>
        <w:jc w:val="both"/>
        <w:rPr/>
      </w:pPr>
      <w:r w:rsidDel="00000000" w:rsidR="00000000" w:rsidRPr="00000000">
        <w:rPr>
          <w:rtl w:val="0"/>
        </w:rPr>
      </w:r>
    </w:p>
    <w:p w:rsidR="00000000" w:rsidDel="00000000" w:rsidP="00000000" w:rsidRDefault="00000000" w:rsidRPr="00000000" w14:paraId="000002D3">
      <w:pPr>
        <w:pageBreakBefore w:val="0"/>
        <w:jc w:val="both"/>
        <w:rPr/>
      </w:pPr>
      <w:r w:rsidDel="00000000" w:rsidR="00000000" w:rsidRPr="00000000">
        <w:rPr>
          <w:rtl w:val="0"/>
        </w:rPr>
      </w:r>
    </w:p>
    <w:p w:rsidR="00000000" w:rsidDel="00000000" w:rsidP="00000000" w:rsidRDefault="00000000" w:rsidRPr="00000000" w14:paraId="000002D4">
      <w:pPr>
        <w:pageBreakBefore w:val="0"/>
        <w:jc w:val="both"/>
        <w:rPr/>
      </w:pPr>
      <w:r w:rsidDel="00000000" w:rsidR="00000000" w:rsidRPr="00000000">
        <w:rPr>
          <w:rtl w:val="0"/>
        </w:rPr>
      </w:r>
    </w:p>
    <w:p w:rsidR="00000000" w:rsidDel="00000000" w:rsidP="00000000" w:rsidRDefault="00000000" w:rsidRPr="00000000" w14:paraId="000002D5">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6">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D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D8">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D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DA">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DB">
      <w:pPr>
        <w:pageBreakBefore w:val="0"/>
        <w:jc w:val="both"/>
        <w:rPr>
          <w:color w:val="000000"/>
          <w:highlight w:val="white"/>
        </w:rPr>
      </w:pPr>
      <w:r w:rsidDel="00000000" w:rsidR="00000000" w:rsidRPr="00000000">
        <w:rPr>
          <w:rtl w:val="0"/>
        </w:rPr>
      </w:r>
    </w:p>
    <w:p w:rsidR="00000000" w:rsidDel="00000000" w:rsidP="00000000" w:rsidRDefault="00000000" w:rsidRPr="00000000" w14:paraId="000002DC">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DD">
      <w:pPr>
        <w:pageBreakBefore w:val="0"/>
        <w:jc w:val="both"/>
        <w:rPr>
          <w:color w:val="000000"/>
          <w:highlight w:val="white"/>
        </w:rPr>
      </w:pPr>
      <w:r w:rsidDel="00000000" w:rsidR="00000000" w:rsidRPr="00000000">
        <w:rPr>
          <w:rtl w:val="0"/>
        </w:rPr>
      </w:r>
    </w:p>
    <w:p w:rsidR="00000000" w:rsidDel="00000000" w:rsidP="00000000" w:rsidRDefault="00000000" w:rsidRPr="00000000" w14:paraId="000002DE">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DF">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0">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E1">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2">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E3">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4">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E5">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6">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E7">
      <w:pPr>
        <w:pageBreakBefore w:val="0"/>
        <w:jc w:val="both"/>
        <w:rPr/>
      </w:pPr>
      <w:r w:rsidDel="00000000" w:rsidR="00000000" w:rsidRPr="00000000">
        <w:rPr>
          <w:rtl w:val="0"/>
        </w:rPr>
      </w:r>
    </w:p>
    <w:sectPr>
      <w:headerReference r:id="rId38" w:type="default"/>
      <w:footerReference r:id="rId39" w:type="default"/>
      <w:footerReference r:id="rId40" w:type="first"/>
      <w:footerReference r:id="rId41"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6.png"/><Relationship Id="rId41" Type="http://schemas.openxmlformats.org/officeDocument/2006/relationships/footer" Target="footer1.xml"/><Relationship Id="rId22" Type="http://schemas.openxmlformats.org/officeDocument/2006/relationships/image" Target="media/image20.jpg"/><Relationship Id="rId21" Type="http://schemas.openxmlformats.org/officeDocument/2006/relationships/image" Target="media/image9.png"/><Relationship Id="rId24" Type="http://schemas.openxmlformats.org/officeDocument/2006/relationships/image" Target="media/image2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9.png"/><Relationship Id="rId25" Type="http://schemas.openxmlformats.org/officeDocument/2006/relationships/image" Target="media/image17.jpg"/><Relationship Id="rId28" Type="http://schemas.openxmlformats.org/officeDocument/2006/relationships/image" Target="media/image7.jp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5.png"/><Relationship Id="rId7" Type="http://schemas.openxmlformats.org/officeDocument/2006/relationships/image" Target="media/image26.png"/><Relationship Id="rId8" Type="http://schemas.openxmlformats.org/officeDocument/2006/relationships/image" Target="media/image30.png"/><Relationship Id="rId31" Type="http://schemas.openxmlformats.org/officeDocument/2006/relationships/image" Target="media/image32.jpg"/><Relationship Id="rId30" Type="http://schemas.openxmlformats.org/officeDocument/2006/relationships/image" Target="media/image3.png"/><Relationship Id="rId11" Type="http://schemas.openxmlformats.org/officeDocument/2006/relationships/image" Target="media/image1.png"/><Relationship Id="rId33" Type="http://schemas.openxmlformats.org/officeDocument/2006/relationships/image" Target="media/image27.jpg"/><Relationship Id="rId10" Type="http://schemas.openxmlformats.org/officeDocument/2006/relationships/image" Target="media/image22.png"/><Relationship Id="rId32" Type="http://schemas.openxmlformats.org/officeDocument/2006/relationships/image" Target="media/image28.jpg"/><Relationship Id="rId13" Type="http://schemas.openxmlformats.org/officeDocument/2006/relationships/image" Target="media/image25.png"/><Relationship Id="rId35" Type="http://schemas.openxmlformats.org/officeDocument/2006/relationships/image" Target="media/image8.png"/><Relationship Id="rId12" Type="http://schemas.openxmlformats.org/officeDocument/2006/relationships/image" Target="media/image24.png"/><Relationship Id="rId34" Type="http://schemas.openxmlformats.org/officeDocument/2006/relationships/image" Target="media/image16.jpg"/><Relationship Id="rId15" Type="http://schemas.openxmlformats.org/officeDocument/2006/relationships/image" Target="media/image31.png"/><Relationship Id="rId37" Type="http://schemas.openxmlformats.org/officeDocument/2006/relationships/image" Target="media/image2.png"/><Relationship Id="rId14" Type="http://schemas.openxmlformats.org/officeDocument/2006/relationships/image" Target="media/image23.jpg"/><Relationship Id="rId36" Type="http://schemas.openxmlformats.org/officeDocument/2006/relationships/image" Target="media/image12.png"/><Relationship Id="rId17" Type="http://schemas.openxmlformats.org/officeDocument/2006/relationships/image" Target="media/image18.jpg"/><Relationship Id="rId39" Type="http://schemas.openxmlformats.org/officeDocument/2006/relationships/footer" Target="footer2.xml"/><Relationship Id="rId16" Type="http://schemas.openxmlformats.org/officeDocument/2006/relationships/image" Target="media/image29.png"/><Relationship Id="rId38" Type="http://schemas.openxmlformats.org/officeDocument/2006/relationships/header" Target="header1.xml"/><Relationship Id="rId19" Type="http://schemas.openxmlformats.org/officeDocument/2006/relationships/image" Target="media/image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