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23" name="image36.png"/>
            <a:graphic>
              <a:graphicData uri="http://schemas.openxmlformats.org/drawingml/2006/picture">
                <pic:pic>
                  <pic:nvPicPr>
                    <pic:cNvPr id="0" name="image36.png"/>
                    <pic:cNvPicPr preferRelativeResize="0"/>
                  </pic:nvPicPr>
                  <pic:blipFill>
                    <a:blip r:embed="rId6"/>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[Spain]</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tl w:val="0"/>
        </w:rPr>
      </w:r>
    </w:p>
    <w:p w:rsidR="00000000" w:rsidDel="00000000" w:rsidP="00000000" w:rsidRDefault="00000000" w:rsidRPr="00000000" w14:paraId="00000008">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9">
      <w:pPr>
        <w:rPr>
          <w:sz w:val="40"/>
          <w:szCs w:val="40"/>
        </w:rPr>
      </w:pPr>
      <w:r w:rsidDel="00000000" w:rsidR="00000000" w:rsidRPr="00000000">
        <w:rPr>
          <w:rFonts w:ascii="PT Sans Narrow" w:cs="PT Sans Narrow" w:eastAsia="PT Sans Narrow" w:hAnsi="PT Sans Narrow"/>
          <w:sz w:val="28"/>
          <w:szCs w:val="28"/>
          <w:rtl w:val="0"/>
        </w:rPr>
        <w:t xml:space="preserve">Alexandra Garcia, Kelly Mi, Margarita Demkina, Allison Lin, Helena Yang,  Jane Zhang, Daniel Xu, Ryo Shibata,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sz w:val="40"/>
          <w:szCs w:val="40"/>
          <w:rtl w:val="0"/>
        </w:rPr>
        <w:t xml:space="preserve">Optimal Industry Development Strategy for Spain</w:t>
      </w:r>
    </w:p>
    <w:p w:rsidR="00000000" w:rsidDel="00000000" w:rsidP="00000000" w:rsidRDefault="00000000" w:rsidRPr="00000000" w14:paraId="0000000B">
      <w:pPr>
        <w:pageBreakBefore w:val="0"/>
        <w:jc w:val="center"/>
        <w:rPr>
          <w:sz w:val="40"/>
          <w:szCs w:val="40"/>
        </w:rPr>
      </w:pPr>
      <w:r w:rsidDel="00000000" w:rsidR="00000000" w:rsidRPr="00000000">
        <w:rPr>
          <w:rtl w:val="0"/>
        </w:rPr>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D">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t xml:space="preserve">In this report, we aim to uncover the economic path Spain went through during the period from 2013 to 2021. Specifically, we dive into the topic through a macroeconomic overview of </w:t>
      </w:r>
      <w:r w:rsidDel="00000000" w:rsidR="00000000" w:rsidRPr="00000000">
        <w:rPr>
          <w:rtl w:val="0"/>
        </w:rPr>
        <w:t xml:space="preserve">Spain</w:t>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r w:rsidDel="00000000" w:rsidR="00000000" w:rsidRPr="00000000">
        <w:rPr>
          <w:rtl w:val="0"/>
        </w:rPr>
        <w:t xml:space="preserve">Spain</w:t>
      </w:r>
      <w:r w:rsidDel="00000000" w:rsidR="00000000" w:rsidRPr="00000000">
        <w:rPr>
          <w:rtl w:val="0"/>
        </w:rPr>
        <w:t xml:space="preserve"> demonstrated a low level of economic growth with an average annual GDP growth rate of 1.4% between 2013 and 2018 and 1.07% between 2019 and 2021, concurrent with a decrease in economic complexity as compared with other major developed economies. </w:t>
      </w:r>
    </w:p>
    <w:p w:rsidR="00000000" w:rsidDel="00000000" w:rsidP="00000000" w:rsidRDefault="00000000" w:rsidRPr="00000000" w14:paraId="0000000F">
      <w:pPr>
        <w:pageBreakBefore w:val="0"/>
        <w:jc w:val="both"/>
        <w:rPr/>
      </w:pP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t xml:space="preserve">The negative progress during the period, we believe, can be partially explained through the analysis of the economic and product complexity structure of </w:t>
      </w:r>
      <w:r w:rsidDel="00000000" w:rsidR="00000000" w:rsidRPr="00000000">
        <w:rPr>
          <w:rtl w:val="0"/>
        </w:rPr>
        <w:t xml:space="preserve">Spain</w:t>
      </w:r>
      <w:r w:rsidDel="00000000" w:rsidR="00000000" w:rsidRPr="00000000">
        <w:rPr>
          <w:rtl w:val="0"/>
        </w:rPr>
        <w:t xml:space="preserve"> on the industry group level, as well as the declining macro and microeconomic strategies. The product classification system we adopt allows us to measure the realized industry development for various industry groups and to observe that </w:t>
      </w:r>
      <w:r w:rsidDel="00000000" w:rsidR="00000000" w:rsidRPr="00000000">
        <w:rPr>
          <w:rtl w:val="0"/>
        </w:rPr>
        <w:t xml:space="preserve">Spain</w:t>
      </w:r>
      <w:r w:rsidDel="00000000" w:rsidR="00000000" w:rsidRPr="00000000">
        <w:rPr>
          <w:rtl w:val="0"/>
        </w:rPr>
        <w:t xml:space="preserve"> regressed in developing most of its industries during the period while its developed counterparts and economies around the globe also adopted complex and progressive paths with variable degrees of success.</w:t>
      </w:r>
    </w:p>
    <w:p w:rsidR="00000000" w:rsidDel="00000000" w:rsidP="00000000" w:rsidRDefault="00000000" w:rsidRPr="00000000" w14:paraId="00000011">
      <w:pPr>
        <w:pageBreakBefore w:val="0"/>
        <w:jc w:val="both"/>
        <w:rPr/>
      </w:pPr>
      <w:r w:rsidDel="00000000" w:rsidR="00000000" w:rsidRPr="00000000">
        <w:rPr>
          <w:rtl w:val="0"/>
        </w:rPr>
      </w:r>
    </w:p>
    <w:p w:rsidR="00000000" w:rsidDel="00000000" w:rsidP="00000000" w:rsidRDefault="00000000" w:rsidRPr="00000000" w14:paraId="00000012">
      <w:pPr>
        <w:pageBreakBefore w:val="0"/>
        <w:jc w:val="both"/>
        <w:rPr/>
      </w:pPr>
      <w:r w:rsidDel="00000000" w:rsidR="00000000" w:rsidRPr="00000000">
        <w:rPr>
          <w:rtl w:val="0"/>
        </w:rPr>
        <w:t xml:space="preserve">Based on our analysis of the opportunity gain and sensitivity analysis of major industry groups, Spain can further its gains by prioritizing High-complexity Products and Chemicals in 2018. Three years later, in 2021, its focus should shift to the Chemical Manufacturing and Raw Manufacturing industries, which are also one of the more developed industries at the time. We further note that </w:t>
      </w:r>
      <w:r w:rsidDel="00000000" w:rsidR="00000000" w:rsidRPr="00000000">
        <w:rPr>
          <w:rtl w:val="0"/>
        </w:rPr>
        <w:t xml:space="preserve">Spain</w:t>
      </w:r>
      <w:r w:rsidDel="00000000" w:rsidR="00000000" w:rsidRPr="00000000">
        <w:rPr>
          <w:rtl w:val="0"/>
        </w:rPr>
        <w:t xml:space="preserve"> has a slightly mismatched development strategy that indicates a low level (compared to other developed countries) of structural optimality on the complexity level, having an adjusted R-square of around</w:t>
      </w:r>
      <w:r w:rsidDel="00000000" w:rsidR="00000000" w:rsidRPr="00000000">
        <w:rPr>
          <w:rtl w:val="0"/>
        </w:rPr>
        <w:t xml:space="preserve"> 0.004% </w:t>
      </w:r>
      <w:r w:rsidDel="00000000" w:rsidR="00000000" w:rsidRPr="00000000">
        <w:rPr>
          <w:rtl w:val="0"/>
        </w:rPr>
        <w:t xml:space="preserve">in 2018 and a slightly higher score of 0.259% in 2021, demonstrating only a slight improvement in development.</w:t>
      </w:r>
      <w:r w:rsidDel="00000000" w:rsidR="00000000" w:rsidRPr="00000000">
        <w:rPr>
          <w:rtl w:val="0"/>
        </w:rPr>
        <w:t xml:space="preserve"> </w:t>
      </w:r>
      <w:r w:rsidDel="00000000" w:rsidR="00000000" w:rsidRPr="00000000">
        <w:rPr>
          <w:rtl w:val="0"/>
        </w:rPr>
        <w:t xml:space="preserve">Since a significant positive correlation exists between five-year GDP growth between 2013 and 2018 and the structural optimality index of an economy as we define and calculate, </w:t>
      </w:r>
      <w:r w:rsidDel="00000000" w:rsidR="00000000" w:rsidRPr="00000000">
        <w:rPr>
          <w:rtl w:val="0"/>
        </w:rPr>
        <w:t xml:space="preserve">Spain</w:t>
      </w:r>
      <w:r w:rsidDel="00000000" w:rsidR="00000000" w:rsidRPr="00000000">
        <w:rPr>
          <w:rtl w:val="0"/>
        </w:rPr>
        <w:t xml:space="preserve"> indeed has a</w:t>
      </w:r>
      <w:r w:rsidDel="00000000" w:rsidR="00000000" w:rsidRPr="00000000">
        <w:rPr>
          <w:rtl w:val="0"/>
        </w:rPr>
        <w:t xml:space="preserve"> suboptimal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pageBreakBefore w:val="0"/>
        <w:jc w:val="both"/>
        <w:rPr/>
      </w:pPr>
      <w:r w:rsidDel="00000000" w:rsidR="00000000" w:rsidRPr="00000000">
        <w:rPr>
          <w:rtl w:val="0"/>
        </w:rPr>
        <w:t xml:space="preserve">The three years following showed a significant improvement in </w:t>
      </w:r>
      <w:r w:rsidDel="00000000" w:rsidR="00000000" w:rsidRPr="00000000">
        <w:rPr>
          <w:rtl w:val="0"/>
        </w:rPr>
        <w:t xml:space="preserve">Spain</w:t>
      </w:r>
      <w:r w:rsidDel="00000000" w:rsidR="00000000" w:rsidRPr="00000000">
        <w:rPr>
          <w:rtl w:val="0"/>
        </w:rPr>
        <w:t xml:space="preserve">'s economic growth, boosting its position on the global scale. Its GDP recovered to above the pre-pandemic levels, and it saw a significant boost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7">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Spain</w:t>
      </w:r>
      <w:r w:rsidDel="00000000" w:rsidR="00000000" w:rsidRPr="00000000">
        <w:rPr>
          <w:rtl w:val="0"/>
        </w:rPr>
        <w:t xml:space="preserve"> went through during the period from 2019 to 2021, before and after the COVID pandemic, compared to its performance from 2013 to 2018, before and after the COVID pandemic. Specifically, we dive into the topic through a macroeconomic overview of </w:t>
      </w:r>
      <w:r w:rsidDel="00000000" w:rsidR="00000000" w:rsidRPr="00000000">
        <w:rPr>
          <w:rtl w:val="0"/>
        </w:rPr>
        <w:t xml:space="preserve">Spain</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Spain</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Spain</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9">
      <w:pPr>
        <w:pageBreakBefore w:val="0"/>
        <w:jc w:val="both"/>
        <w:rPr/>
      </w:pP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D">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E">
      <w:pPr>
        <w:pageBreakBefore w:val="0"/>
        <w:jc w:val="both"/>
        <w:rPr/>
      </w:pPr>
      <w:r w:rsidDel="00000000" w:rsidR="00000000" w:rsidRPr="00000000">
        <w:rPr>
          <w:rtl w:val="0"/>
        </w:rPr>
        <w:t xml:space="preserve">Figure 1a illustrates the time-series GDP results for </w:t>
      </w:r>
      <w:r w:rsidDel="00000000" w:rsidR="00000000" w:rsidRPr="00000000">
        <w:rPr>
          <w:rtl w:val="0"/>
        </w:rPr>
        <w:t xml:space="preserve">Spain</w:t>
      </w:r>
      <w:r w:rsidDel="00000000" w:rsidR="00000000" w:rsidRPr="00000000">
        <w:rPr>
          <w:rtl w:val="0"/>
        </w:rPr>
        <w:t xml:space="preserve"> and three of its peer countries (Germany, France, and Turkey) from 2013 to 2018. Similar to the other countries, </w:t>
      </w:r>
      <w:r w:rsidDel="00000000" w:rsidR="00000000" w:rsidRPr="00000000">
        <w:rPr>
          <w:rtl w:val="0"/>
        </w:rPr>
        <w:t xml:space="preserve">Spain </w:t>
      </w:r>
      <w:r w:rsidDel="00000000" w:rsidR="00000000" w:rsidRPr="00000000">
        <w:rPr>
          <w:rtl w:val="0"/>
        </w:rPr>
        <w:t xml:space="preserve">displayed an eventual upward trend over the period; however, its growth was </w:t>
      </w:r>
      <w:r w:rsidDel="00000000" w:rsidR="00000000" w:rsidRPr="00000000">
        <w:rPr>
          <w:rtl w:val="0"/>
        </w:rPr>
        <w:t xml:space="preserve">less</w:t>
      </w:r>
      <w:r w:rsidDel="00000000" w:rsidR="00000000" w:rsidRPr="00000000">
        <w:rPr>
          <w:rtl w:val="0"/>
        </w:rPr>
        <w:t xml:space="preserve"> consistent than both Germany and</w:t>
      </w:r>
      <w:r w:rsidDel="00000000" w:rsidR="00000000" w:rsidRPr="00000000">
        <w:rPr>
          <w:rtl w:val="0"/>
        </w:rPr>
        <w:t xml:space="preserve"> </w:t>
      </w:r>
      <w:r w:rsidDel="00000000" w:rsidR="00000000" w:rsidRPr="00000000">
        <w:rPr>
          <w:rtl w:val="0"/>
        </w:rPr>
        <w:t xml:space="preserve">France’s growth. This rate is slightly above the annual growth rate of the group of leading economies in Europe, which have a geometric average growth rate of 1% and an arithmetic average growth rate of 0.6%. The annual growth rate of 1.4% is particularly in sharp contrast to an annual growth rate of 8.2% for China, one of the world’s most important emerging economies and Spain’s competitor in many industries. The stagnated economic growth in Spain, we believe, can be reflected through consistent ECI and PCI, and can be further explained by a mismatched set of production strategies Spain adopted during the period, which we will expand at the later stage of the report.</w:t>
      </w:r>
    </w:p>
    <w:p w:rsidR="00000000" w:rsidDel="00000000" w:rsidP="00000000" w:rsidRDefault="00000000" w:rsidRPr="00000000" w14:paraId="0000001F">
      <w:pPr>
        <w:pageBreakBefore w:val="0"/>
        <w:jc w:val="both"/>
        <w:rPr/>
      </w:pPr>
      <w:r w:rsidDel="00000000" w:rsidR="00000000" w:rsidRPr="00000000">
        <w:rPr>
          <w:rtl w:val="0"/>
        </w:rPr>
      </w:r>
    </w:p>
    <w:p w:rsidR="00000000" w:rsidDel="00000000" w:rsidP="00000000" w:rsidRDefault="00000000" w:rsidRPr="00000000" w14:paraId="00000020">
      <w:pPr>
        <w:pageBreakBefore w:val="0"/>
        <w:jc w:val="both"/>
        <w:rPr/>
      </w:pPr>
      <w:r w:rsidDel="00000000" w:rsidR="00000000" w:rsidRPr="00000000">
        <w:rPr>
          <w:rtl w:val="0"/>
        </w:rPr>
        <w:t xml:space="preserve">Figure 1b shows the GDP levels for </w:t>
      </w:r>
      <w:r w:rsidDel="00000000" w:rsidR="00000000" w:rsidRPr="00000000">
        <w:rPr>
          <w:rtl w:val="0"/>
        </w:rPr>
        <w:t xml:space="preserve">Spain</w:t>
      </w:r>
      <w:r w:rsidDel="00000000" w:rsidR="00000000" w:rsidRPr="00000000">
        <w:rPr>
          <w:rtl w:val="0"/>
        </w:rPr>
        <w:t xml:space="preserve"> and its peer countries (Germany, France, and Italy) from 2019 to 2021. Similar to the other countries, </w:t>
      </w:r>
      <w:r w:rsidDel="00000000" w:rsidR="00000000" w:rsidRPr="00000000">
        <w:rPr>
          <w:rtl w:val="0"/>
        </w:rPr>
        <w:t xml:space="preserve">Spain</w:t>
      </w:r>
      <w:r w:rsidDel="00000000" w:rsidR="00000000" w:rsidRPr="00000000">
        <w:rPr>
          <w:rtl w:val="0"/>
        </w:rPr>
        <w:t xml:space="preserve"> displayed a drop in GDP from 2019 to 2020 because of the pandemic, with all GDPs rebounding in 2021. Over these three years, </w:t>
      </w:r>
      <w:r w:rsidDel="00000000" w:rsidR="00000000" w:rsidRPr="00000000">
        <w:rPr>
          <w:rtl w:val="0"/>
        </w:rPr>
        <w:t xml:space="preserve">Spain</w:t>
      </w:r>
      <w:r w:rsidDel="00000000" w:rsidR="00000000" w:rsidRPr="00000000">
        <w:rPr>
          <w:rtl w:val="0"/>
        </w:rPr>
        <w:t xml:space="preserve">’s average annual GDP growth rate (1.07%) is the smallest</w:t>
      </w:r>
      <w:r w:rsidDel="00000000" w:rsidR="00000000" w:rsidRPr="00000000">
        <w:rPr>
          <w:rtl w:val="0"/>
        </w:rPr>
        <w:t xml:space="preserve">,</w:t>
      </w:r>
      <w:r w:rsidDel="00000000" w:rsidR="00000000" w:rsidRPr="00000000">
        <w:rPr>
          <w:rtl w:val="0"/>
        </w:rPr>
        <w:t xml:space="preserve"> as it is less than Germany (2.91%), France (2.69%) and Italy’s rates (1.68%). It is notable that the GDP levels in </w:t>
      </w:r>
      <w:r w:rsidDel="00000000" w:rsidR="00000000" w:rsidRPr="00000000">
        <w:rPr>
          <w:rtl w:val="0"/>
        </w:rPr>
        <w:t xml:space="preserve">Spain</w:t>
      </w:r>
      <w:r w:rsidDel="00000000" w:rsidR="00000000" w:rsidRPr="00000000">
        <w:rPr>
          <w:rtl w:val="0"/>
        </w:rPr>
        <w:t xml:space="preserve"> and </w:t>
      </w:r>
      <w:r w:rsidDel="00000000" w:rsidR="00000000" w:rsidRPr="00000000">
        <w:rPr>
          <w:rtl w:val="0"/>
        </w:rPr>
        <w:t xml:space="preserve">[Country 1]</w:t>
      </w:r>
      <w:r w:rsidDel="00000000" w:rsidR="00000000" w:rsidRPr="00000000">
        <w:rPr>
          <w:rtl w:val="0"/>
        </w:rPr>
        <w:t xml:space="preserve"> almost evened out after 2018.</w:t>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rPr>
          <w:i w:val="1"/>
          <w:iCs w:val="1"/>
          <w:color w:val="444499"/>
          <w:sz w:val="20"/>
          <w:szCs w:val="20"/>
        </w:rPr>
      </w:pPr>
      <w:r w:rsidDel="00000000" w:rsidR="00000000" w:rsidRPr="00000000">
        <w:rPr/>
        <w:drawing>
          <wp:inline distB="114300" distT="114300" distL="114300" distR="114300">
            <wp:extent cx="3187700" cy="1753692"/>
            <wp:effectExtent b="0" l="0" r="0" t="0"/>
            <wp:docPr id="37"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3187700" cy="1753692"/>
                    </a:xfrm>
                    <a:prstGeom prst="rect"/>
                    <a:ln/>
                  </pic:spPr>
                </pic:pic>
              </a:graphicData>
            </a:graphic>
          </wp:inline>
        </w:drawing>
      </w:r>
      <w:r w:rsidDel="00000000" w:rsidR="00000000" w:rsidRPr="00000000">
        <w:rPr/>
        <w:drawing>
          <wp:inline distB="114300" distT="114300" distL="114300" distR="114300">
            <wp:extent cx="2282825" cy="1717081"/>
            <wp:effectExtent b="0" l="0" r="0" t="0"/>
            <wp:docPr id="1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282825" cy="171708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jc w:val="center"/>
        <w:rPr>
          <w:sz w:val="22"/>
          <w:szCs w:val="22"/>
        </w:rPr>
      </w:pPr>
      <w:r w:rsidDel="00000000" w:rsidR="00000000" w:rsidRPr="00000000">
        <w:rPr>
          <w:sz w:val="22"/>
          <w:szCs w:val="22"/>
          <w:rtl w:val="0"/>
        </w:rPr>
        <w:t xml:space="preserve">Figures 1a and 1b. GDP Comparison Among Peer Countries (left: 2013-2018; right: 2019-2021)</w:t>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left"/>
        <w:rPr/>
      </w:pPr>
      <w:r w:rsidDel="00000000" w:rsidR="00000000" w:rsidRPr="00000000">
        <w:rPr>
          <w:rtl w:val="0"/>
        </w:rPr>
      </w:r>
    </w:p>
    <w:p w:rsidR="00000000" w:rsidDel="00000000" w:rsidP="00000000" w:rsidRDefault="00000000" w:rsidRPr="00000000" w14:paraId="00000026">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7">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8">
      <w:pPr>
        <w:pageBreakBefore w:val="0"/>
        <w:jc w:val="both"/>
        <w:rPr/>
      </w:pPr>
      <w:r w:rsidDel="00000000" w:rsidR="00000000" w:rsidRPr="00000000">
        <w:rPr>
          <w:rtl w:val="0"/>
        </w:rPr>
      </w:r>
    </w:p>
    <w:p w:rsidR="00000000" w:rsidDel="00000000" w:rsidP="00000000" w:rsidRDefault="00000000" w:rsidRPr="00000000" w14:paraId="00000029">
      <w:pPr>
        <w:pageBreakBefore w:val="0"/>
        <w:jc w:val="both"/>
        <w:rPr/>
      </w:pPr>
      <w:r w:rsidDel="00000000" w:rsidR="00000000" w:rsidRPr="00000000">
        <w:rPr>
          <w:rtl w:val="0"/>
        </w:rPr>
        <w:t xml:space="preserve">The comparable countries </w:t>
      </w:r>
      <w:r w:rsidDel="00000000" w:rsidR="00000000" w:rsidRPr="00000000">
        <w:rPr>
          <w:rtl w:val="0"/>
        </w:rPr>
        <w:t xml:space="preserve">maintain a small change in ECI level between 2019 and 2020, with a sharp change between 2020 and 2021.</w:t>
      </w:r>
      <w:r w:rsidDel="00000000" w:rsidR="00000000" w:rsidRPr="00000000">
        <w:rPr>
          <w:rtl w:val="0"/>
        </w:rPr>
        <w:t xml:space="preserve"> </w:t>
      </w:r>
      <w:r w:rsidDel="00000000" w:rsidR="00000000" w:rsidRPr="00000000">
        <w:rPr>
          <w:rtl w:val="0"/>
        </w:rPr>
        <w:t xml:space="preserve">Spain’s overall decrease (-190.89%) is consistent, but slightly lower than that of Germany (-193.61%), and significantly more extreme than Italy (-184.16%), and France (-159.05%). Spain clearly shows weak economic fundamentals over the period, as it has the lowest GDP growth rate and highest ECI percent decreases compared to its peers.</w:t>
      </w:r>
    </w:p>
    <w:p w:rsidR="00000000" w:rsidDel="00000000" w:rsidP="00000000" w:rsidRDefault="00000000" w:rsidRPr="00000000" w14:paraId="0000002A">
      <w:pPr>
        <w:pageBreakBefore w:val="0"/>
        <w:jc w:val="both"/>
        <w:rPr/>
      </w:pPr>
      <w:r w:rsidDel="00000000" w:rsidR="00000000" w:rsidRPr="00000000">
        <w:rPr>
          <w:rtl w:val="0"/>
        </w:rPr>
      </w:r>
    </w:p>
    <w:p w:rsidR="00000000" w:rsidDel="00000000" w:rsidP="00000000" w:rsidRDefault="00000000" w:rsidRPr="00000000" w14:paraId="0000002B">
      <w:pPr>
        <w:pageBreakBefore w:val="0"/>
        <w:jc w:val="left"/>
        <w:rPr/>
      </w:pPr>
      <w:r w:rsidDel="00000000" w:rsidR="00000000" w:rsidRPr="00000000">
        <w:rPr/>
        <w:drawing>
          <wp:inline distB="114300" distT="114300" distL="114300" distR="114300">
            <wp:extent cx="2901950" cy="1856394"/>
            <wp:effectExtent b="0" l="0" r="0" t="0"/>
            <wp:docPr id="2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901950" cy="1856394"/>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425700" cy="1831822"/>
            <wp:effectExtent b="0" l="0" r="0" t="0"/>
            <wp:docPr id="27"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2425700" cy="183182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2019-2021) </w:t>
      </w:r>
      <w:r w:rsidDel="00000000" w:rsidR="00000000" w:rsidRPr="00000000">
        <w:rPr>
          <w:rtl w:val="0"/>
        </w:rPr>
        <w:t xml:space="preserve">                        </w:t>
      </w:r>
    </w:p>
    <w:p w:rsidR="00000000" w:rsidDel="00000000" w:rsidP="00000000" w:rsidRDefault="00000000" w:rsidRPr="00000000" w14:paraId="0000002D">
      <w:pPr>
        <w:pageBreakBefore w:val="0"/>
        <w:jc w:val="left"/>
        <w:rPr/>
      </w:pP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rtl w:val="0"/>
        </w:rPr>
        <w:t xml:space="preserve">Figures 3a and 3b offer a further comparison of GDP Growth and ECI over the time span from 2013 to 2021 for </w:t>
      </w:r>
      <w:r w:rsidDel="00000000" w:rsidR="00000000" w:rsidRPr="00000000">
        <w:rPr>
          <w:rtl w:val="0"/>
        </w:rPr>
        <w:t xml:space="preserve">Spain</w:t>
      </w:r>
      <w:r w:rsidDel="00000000" w:rsidR="00000000" w:rsidRPr="00000000">
        <w:rPr>
          <w:rtl w:val="0"/>
        </w:rPr>
        <w:t xml:space="preserve">. </w:t>
      </w:r>
      <w:r w:rsidDel="00000000" w:rsidR="00000000" w:rsidRPr="00000000">
        <w:rPr>
          <w:rtl w:val="0"/>
        </w:rPr>
        <w:t xml:space="preserve">Similar to the GDP drop and further increase from 2013 to 2018, the GDP growth during the period from 2019 to 2021 is accompanied by a similarly volatile increase in ECI.</w:t>
      </w:r>
      <w:r w:rsidDel="00000000" w:rsidR="00000000" w:rsidRPr="00000000">
        <w:rPr>
          <w:rtl w:val="0"/>
        </w:rPr>
        <w:t xml:space="preserve"> The stagnancy in GDP during the period from 2013 to 2018 is accompanied by a decrease in ECI, indicating the potential that the mild economic growth experienced by Spain during this period might be attributed to its degenerating ECI, or the ineffectiveness of the country in developing a competitive product space that helps to accumulate complicated knowledge and technology. </w:t>
      </w:r>
      <w:r w:rsidDel="00000000" w:rsidR="00000000" w:rsidRPr="00000000">
        <w:rPr>
          <w:rtl w:val="0"/>
        </w:rPr>
        <w:t xml:space="preserve">For the period 2019 to 2021, the ECI followed GDP trends, which can be interpreted as advancements in production.</w:t>
      </w:r>
      <w:r w:rsidDel="00000000" w:rsidR="00000000" w:rsidRPr="00000000">
        <w:rPr>
          <w:rtl w:val="0"/>
        </w:rPr>
        <w:t xml:space="preserve"> In order to provide a more concrete answer to why this has happened, we will dive into an analysis of </w:t>
      </w:r>
      <w:r w:rsidDel="00000000" w:rsidR="00000000" w:rsidRPr="00000000">
        <w:rPr>
          <w:rtl w:val="0"/>
        </w:rPr>
        <w:t xml:space="preserve">Spain</w:t>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2F">
      <w:pPr>
        <w:pageBreakBefore w:val="0"/>
        <w:jc w:val="both"/>
        <w:rPr/>
      </w:pPr>
      <w:r w:rsidDel="00000000" w:rsidR="00000000" w:rsidRPr="00000000">
        <w:rPr>
          <w:rtl w:val="0"/>
        </w:rPr>
      </w:r>
    </w:p>
    <w:p w:rsidR="00000000" w:rsidDel="00000000" w:rsidP="00000000" w:rsidRDefault="00000000" w:rsidRPr="00000000" w14:paraId="00000030">
      <w:pPr>
        <w:jc w:val="center"/>
        <w:rPr>
          <w:b w:val="0"/>
          <w:bCs w:val="0"/>
          <w:i w:val="1"/>
          <w:iCs w:val="1"/>
          <w:color w:val="444499"/>
          <w:sz w:val="20"/>
          <w:szCs w:val="20"/>
        </w:rPr>
      </w:pPr>
      <w:r w:rsidDel="00000000" w:rsidR="00000000" w:rsidRPr="00000000">
        <w:rPr/>
        <w:drawing>
          <wp:inline distB="114300" distT="114300" distL="114300" distR="114300">
            <wp:extent cx="2737034" cy="1804988"/>
            <wp:effectExtent b="0" l="0" r="0" t="0"/>
            <wp:docPr id="10"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2737034" cy="1804988"/>
                    </a:xfrm>
                    <a:prstGeom prst="rect"/>
                    <a:ln/>
                  </pic:spPr>
                </pic:pic>
              </a:graphicData>
            </a:graphic>
          </wp:inline>
        </w:drawing>
      </w:r>
      <w:r w:rsidDel="00000000" w:rsidR="00000000" w:rsidRPr="00000000">
        <w:rPr/>
        <w:drawing>
          <wp:inline distB="114300" distT="114300" distL="114300" distR="114300">
            <wp:extent cx="2719225" cy="1848299"/>
            <wp:effectExtent b="0" l="0" r="0" t="0"/>
            <wp:docPr id="16"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2719225" cy="1848299"/>
                    </a:xfrm>
                    <a:prstGeom prst="rect"/>
                    <a:ln/>
                  </pic:spPr>
                </pic:pic>
              </a:graphicData>
            </a:graphic>
          </wp:inline>
        </w:drawing>
      </w:r>
      <w:r w:rsidDel="00000000" w:rsidR="00000000" w:rsidRPr="00000000">
        <w:rPr>
          <w:sz w:val="22"/>
          <w:szCs w:val="22"/>
          <w:rtl w:val="0"/>
        </w:rPr>
        <w:t xml:space="preserve">Figures 3a and 3b. GDP Growth and ECI for</w:t>
      </w:r>
      <w:r w:rsidDel="00000000" w:rsidR="00000000" w:rsidRPr="00000000">
        <w:rPr>
          <w:sz w:val="22"/>
          <w:szCs w:val="22"/>
          <w:rtl w:val="0"/>
        </w:rPr>
        <w:t xml:space="preserve"> Spain</w:t>
      </w:r>
      <w:r w:rsidDel="00000000" w:rsidR="00000000" w:rsidRPr="00000000">
        <w:rPr>
          <w:sz w:val="22"/>
          <w:szCs w:val="22"/>
          <w:rtl w:val="0"/>
        </w:rPr>
        <w:t xml:space="preserve"> (left: 2013-2018; right: 2019-2021)</w:t>
      </w:r>
      <w:r w:rsidDel="00000000" w:rsidR="00000000" w:rsidRPr="00000000">
        <w:rPr>
          <w:rtl w:val="0"/>
        </w:rPr>
      </w:r>
    </w:p>
    <w:p w:rsidR="00000000" w:rsidDel="00000000" w:rsidP="00000000" w:rsidRDefault="00000000" w:rsidRPr="00000000" w14:paraId="00000031">
      <w:pPr>
        <w:pageBreakBefore w:val="0"/>
        <w:jc w:val="both"/>
        <w:rPr>
          <w:b w:val="1"/>
          <w:bCs w:val="1"/>
        </w:rPr>
      </w:pPr>
      <w:r w:rsidDel="00000000" w:rsidR="00000000" w:rsidRPr="00000000">
        <w:rPr>
          <w:rtl w:val="0"/>
        </w:rPr>
      </w:r>
    </w:p>
    <w:p w:rsidR="00000000" w:rsidDel="00000000" w:rsidP="00000000" w:rsidRDefault="00000000" w:rsidRPr="00000000" w14:paraId="00000032">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3">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5">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6">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7">
      <w:pPr>
        <w:pageBreakBefore w:val="0"/>
        <w:jc w:val="both"/>
        <w:rPr/>
      </w:pPr>
      <w:r w:rsidDel="00000000" w:rsidR="00000000" w:rsidRPr="00000000">
        <w:rPr>
          <w:rtl w:val="0"/>
        </w:rPr>
      </w:r>
    </w:p>
    <w:p w:rsidR="00000000" w:rsidDel="00000000" w:rsidP="00000000" w:rsidRDefault="00000000" w:rsidRPr="00000000" w14:paraId="00000038">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9">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A">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B">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A">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6">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0">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1">
      <w:pPr>
        <w:pageBreakBefore w:val="0"/>
        <w:jc w:val="both"/>
        <w:rPr/>
      </w:pPr>
      <w:r w:rsidDel="00000000" w:rsidR="00000000" w:rsidRPr="00000000">
        <w:rPr>
          <w:rtl w:val="0"/>
        </w:rPr>
      </w:r>
    </w:p>
    <w:p w:rsidR="00000000" w:rsidDel="00000000" w:rsidP="00000000" w:rsidRDefault="00000000" w:rsidRPr="00000000" w14:paraId="00000062">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3">
      <w:pPr>
        <w:pageBreakBefore w:val="0"/>
        <w:jc w:val="both"/>
        <w:rPr/>
      </w:pPr>
      <w:r w:rsidDel="00000000" w:rsidR="00000000" w:rsidRPr="00000000">
        <w:rPr>
          <w:rtl w:val="0"/>
        </w:rPr>
      </w:r>
    </w:p>
    <w:p w:rsidR="00000000" w:rsidDel="00000000" w:rsidP="00000000" w:rsidRDefault="00000000" w:rsidRPr="00000000" w14:paraId="00000064">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5">
            <w:pPr>
              <w:pageBreakBefore w:val="0"/>
              <w:jc w:val="center"/>
              <w:rPr/>
            </w:pPr>
            <w:r w:rsidDel="00000000" w:rsidR="00000000" w:rsidRPr="00000000">
              <w:rPr>
                <w:rtl w:val="0"/>
              </w:rPr>
            </w:r>
          </w:p>
        </w:tc>
        <w:tc>
          <w:tcPr/>
          <w:p w:rsidR="00000000" w:rsidDel="00000000" w:rsidP="00000000" w:rsidRDefault="00000000" w:rsidRPr="00000000" w14:paraId="00000066">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7">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A">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B">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C">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D">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E">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F">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0">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1">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3">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4">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5">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6">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7">
            <w:pPr>
              <w:pageBreakBefore w:val="0"/>
              <w:jc w:val="center"/>
              <w:rPr/>
            </w:pPr>
            <w:r w:rsidDel="00000000" w:rsidR="00000000" w:rsidRPr="00000000">
              <w:rPr>
                <w:rtl w:val="0"/>
              </w:rPr>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B">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C">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D">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0">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1">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5">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8">
      <w:pPr>
        <w:pageBreakBefore w:val="0"/>
        <w:jc w:val="center"/>
        <w:rPr>
          <w:sz w:val="22"/>
          <w:szCs w:val="22"/>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B">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Spain'</w:t>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Spain</w:t>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r w:rsidDel="00000000" w:rsidR="00000000" w:rsidRPr="00000000">
        <w:rPr>
          <w:rtl w:val="0"/>
        </w:rPr>
        <w:t xml:space="preserve">decreased</w:t>
      </w:r>
      <w:r w:rsidDel="00000000" w:rsidR="00000000" w:rsidRPr="00000000">
        <w:rPr>
          <w:rtl w:val="0"/>
        </w:rPr>
        <w:t xml:space="preserve"> from 18 to 12 from 2018 to 2021.</w:t>
      </w:r>
    </w:p>
    <w:p w:rsidR="00000000" w:rsidDel="00000000" w:rsidP="00000000" w:rsidRDefault="00000000" w:rsidRPr="00000000" w14:paraId="0000008C">
      <w:pPr>
        <w:pageBreakBefore w:val="0"/>
        <w:jc w:val="both"/>
        <w:rPr/>
      </w:pPr>
      <w:r w:rsidDel="00000000" w:rsidR="00000000" w:rsidRPr="00000000">
        <w:rPr>
          <w:rtl w:val="0"/>
        </w:rPr>
      </w:r>
    </w:p>
    <w:p w:rsidR="00000000" w:rsidDel="00000000" w:rsidP="00000000" w:rsidRDefault="00000000" w:rsidRPr="00000000" w14:paraId="0000008D">
      <w:pPr>
        <w:jc w:val="center"/>
        <w:rPr/>
      </w:pPr>
      <w:r w:rsidDel="00000000" w:rsidR="00000000" w:rsidRPr="00000000">
        <w:rPr/>
        <w:drawing>
          <wp:inline distB="114300" distT="114300" distL="114300" distR="114300">
            <wp:extent cx="1636550" cy="2799881"/>
            <wp:effectExtent b="0" l="0" r="0" t="0"/>
            <wp:docPr id="20" name="image10.png"/>
            <a:graphic>
              <a:graphicData uri="http://schemas.openxmlformats.org/drawingml/2006/picture">
                <pic:pic>
                  <pic:nvPicPr>
                    <pic:cNvPr id="0" name="image10.png"/>
                    <pic:cNvPicPr preferRelativeResize="0"/>
                  </pic:nvPicPr>
                  <pic:blipFill>
                    <a:blip r:embed="rId13"/>
                    <a:srcRect b="4516" l="0" r="0" t="3871"/>
                    <a:stretch>
                      <a:fillRect/>
                    </a:stretch>
                  </pic:blipFill>
                  <pic:spPr>
                    <a:xfrm>
                      <a:off x="0" y="0"/>
                      <a:ext cx="1636550" cy="2799881"/>
                    </a:xfrm>
                    <a:prstGeom prst="rect"/>
                    <a:ln/>
                  </pic:spPr>
                </pic:pic>
              </a:graphicData>
            </a:graphic>
          </wp:inline>
        </w:drawing>
      </w:r>
      <w:r w:rsidDel="00000000" w:rsidR="00000000" w:rsidRPr="00000000">
        <w:rPr/>
        <w:drawing>
          <wp:inline distB="114300" distT="114300" distL="114300" distR="114300">
            <wp:extent cx="1387312" cy="2742733"/>
            <wp:effectExtent b="0" l="0" r="0" t="0"/>
            <wp:docPr id="11"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1387312" cy="274273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left"/>
        <w:rPr/>
      </w:pPr>
      <w:r w:rsidDel="00000000" w:rsidR="00000000" w:rsidRPr="00000000">
        <w:rPr>
          <w:rtl w:val="0"/>
        </w:rPr>
      </w:r>
    </w:p>
    <w:p w:rsidR="00000000" w:rsidDel="00000000" w:rsidP="00000000" w:rsidRDefault="00000000" w:rsidRPr="00000000" w14:paraId="0000008F">
      <w:pPr>
        <w:pageBreakBefore w:val="0"/>
        <w:jc w:val="center"/>
        <w:rPr>
          <w:sz w:val="22"/>
          <w:szCs w:val="22"/>
        </w:rPr>
      </w:pPr>
      <w:r w:rsidDel="00000000" w:rsidR="00000000" w:rsidRPr="00000000">
        <w:rPr>
          <w:sz w:val="22"/>
          <w:szCs w:val="22"/>
          <w:rtl w:val="0"/>
        </w:rPr>
        <w:t xml:space="preserve">Table 3. Realized Industry Development (RID) of Spain (2018 on left, 2021 on right)</w:t>
      </w:r>
    </w:p>
    <w:p w:rsidR="00000000" w:rsidDel="00000000" w:rsidP="00000000" w:rsidRDefault="00000000" w:rsidRPr="00000000" w14:paraId="00000090">
      <w:pPr>
        <w:pageBreakBefore w:val="0"/>
        <w:jc w:val="center"/>
        <w:rPr>
          <w:sz w:val="22"/>
          <w:szCs w:val="22"/>
        </w:rPr>
      </w:pPr>
      <w:r w:rsidDel="00000000" w:rsidR="00000000" w:rsidRPr="00000000">
        <w:rPr>
          <w:rtl w:val="0"/>
        </w:rPr>
      </w:r>
    </w:p>
    <w:p w:rsidR="00000000" w:rsidDel="00000000" w:rsidP="00000000" w:rsidRDefault="00000000" w:rsidRPr="00000000" w14:paraId="00000091">
      <w:pPr>
        <w:pageBreakBefore w:val="0"/>
        <w:jc w:val="center"/>
        <w:rPr>
          <w:sz w:val="22"/>
          <w:szCs w:val="22"/>
        </w:rPr>
      </w:pPr>
      <w:r w:rsidDel="00000000" w:rsidR="00000000" w:rsidRPr="00000000">
        <w:rPr>
          <w:rtl w:val="0"/>
        </w:rPr>
      </w:r>
    </w:p>
    <w:p w:rsidR="00000000" w:rsidDel="00000000" w:rsidP="00000000" w:rsidRDefault="00000000" w:rsidRPr="00000000" w14:paraId="00000092">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3">
      <w:pPr>
        <w:jc w:val="both"/>
        <w:rPr/>
      </w:pPr>
      <w:r w:rsidDel="00000000" w:rsidR="00000000" w:rsidRPr="00000000">
        <w:rPr>
          <w:rtl w:val="0"/>
        </w:rPr>
        <w:t xml:space="preserve">Tables 4a-4b below summarize how the production strategy adopted by Spain compares with selected leading economies in the world across different years, as measured in RID. Leading economies such as France, the United States and Germany gave a considerable level of attention to more advanced product groups such as Weapons and High-Complexity Products in 2018 and Services and Utilities, Precious Stones, and High-Complexity Products in 2021.</w:t>
      </w:r>
    </w:p>
    <w:p w:rsidR="00000000" w:rsidDel="00000000" w:rsidP="00000000" w:rsidRDefault="00000000" w:rsidRPr="00000000" w14:paraId="00000094">
      <w:pPr>
        <w:jc w:val="both"/>
        <w:rPr/>
      </w:pPr>
      <w:r w:rsidDel="00000000" w:rsidR="00000000" w:rsidRPr="00000000">
        <w:rPr>
          <w:rtl w:val="0"/>
        </w:rPr>
      </w:r>
    </w:p>
    <w:tbl>
      <w:tblPr>
        <w:tblStyle w:val="Table4"/>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95">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96">
            <w:pPr>
              <w:jc w:val="both"/>
              <w:rPr/>
            </w:pPr>
            <w:r w:rsidDel="00000000" w:rsidR="00000000" w:rsidRPr="00000000">
              <w:rPr>
                <w:rtl w:val="0"/>
              </w:rPr>
              <w:t xml:space="preserve">France</w:t>
            </w:r>
          </w:p>
        </w:tc>
        <w:tc>
          <w:tcPr>
            <w:vAlign w:val="center"/>
          </w:tcPr>
          <w:p w:rsidR="00000000" w:rsidDel="00000000" w:rsidP="00000000" w:rsidRDefault="00000000" w:rsidRPr="00000000" w14:paraId="00000097">
            <w:pPr>
              <w:jc w:val="both"/>
              <w:rPr/>
            </w:pPr>
            <w:r w:rsidDel="00000000" w:rsidR="00000000" w:rsidRPr="00000000">
              <w:rPr>
                <w:rtl w:val="0"/>
              </w:rPr>
              <w:t xml:space="preserve">the UK</w:t>
            </w:r>
          </w:p>
        </w:tc>
        <w:tc>
          <w:tcPr>
            <w:vAlign w:val="center"/>
          </w:tcPr>
          <w:p w:rsidR="00000000" w:rsidDel="00000000" w:rsidP="00000000" w:rsidRDefault="00000000" w:rsidRPr="00000000" w14:paraId="00000098">
            <w:pPr>
              <w:jc w:val="both"/>
              <w:rPr/>
            </w:pPr>
            <w:r w:rsidDel="00000000" w:rsidR="00000000" w:rsidRPr="00000000">
              <w:rPr>
                <w:rtl w:val="0"/>
              </w:rPr>
              <w:t xml:space="preserve">Germany</w:t>
            </w:r>
          </w:p>
        </w:tc>
      </w:tr>
      <w:tr>
        <w:trPr>
          <w:cantSplit w:val="0"/>
          <w:tblHeader w:val="0"/>
        </w:trPr>
        <w:tc>
          <w:tcPr>
            <w:vAlign w:val="center"/>
          </w:tcPr>
          <w:p w:rsidR="00000000" w:rsidDel="00000000" w:rsidP="00000000" w:rsidRDefault="00000000" w:rsidRPr="00000000" w14:paraId="00000099">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9A">
            <w:pPr>
              <w:jc w:val="both"/>
              <w:rPr>
                <w:sz w:val="20"/>
                <w:szCs w:val="20"/>
              </w:rPr>
            </w:pPr>
            <w:r w:rsidDel="00000000" w:rsidR="00000000" w:rsidRPr="00000000">
              <w:rPr>
                <w:sz w:val="20"/>
                <w:szCs w:val="20"/>
                <w:rtl w:val="0"/>
              </w:rPr>
              <w:t xml:space="preserve">High-complexity Products</w:t>
            </w:r>
          </w:p>
        </w:tc>
        <w:tc>
          <w:tcPr>
            <w:vAlign w:val="center"/>
          </w:tcPr>
          <w:p w:rsidR="00000000" w:rsidDel="00000000" w:rsidP="00000000" w:rsidRDefault="00000000" w:rsidRPr="00000000" w14:paraId="0000009B">
            <w:pPr>
              <w:jc w:val="both"/>
              <w:rPr>
                <w:sz w:val="20"/>
                <w:szCs w:val="20"/>
              </w:rPr>
            </w:pPr>
            <w:r w:rsidDel="00000000" w:rsidR="00000000" w:rsidRPr="00000000">
              <w:rPr>
                <w:sz w:val="20"/>
                <w:szCs w:val="20"/>
                <w:rtl w:val="0"/>
              </w:rPr>
              <w:t xml:space="preserve">Services and Utilities</w:t>
            </w:r>
          </w:p>
        </w:tc>
        <w:tc>
          <w:tcPr>
            <w:vAlign w:val="center"/>
          </w:tcPr>
          <w:p w:rsidR="00000000" w:rsidDel="00000000" w:rsidP="00000000" w:rsidRDefault="00000000" w:rsidRPr="00000000" w14:paraId="0000009C">
            <w:pPr>
              <w:jc w:val="both"/>
              <w:rPr>
                <w:sz w:val="20"/>
                <w:szCs w:val="20"/>
              </w:rPr>
            </w:pPr>
            <w:r w:rsidDel="00000000" w:rsidR="00000000" w:rsidRPr="00000000">
              <w:rPr>
                <w:sz w:val="20"/>
                <w:szCs w:val="20"/>
                <w:rtl w:val="0"/>
              </w:rPr>
              <w:t xml:space="preserve">High-complexity Products</w:t>
            </w:r>
          </w:p>
        </w:tc>
      </w:tr>
      <w:tr>
        <w:trPr>
          <w:cantSplit w:val="0"/>
          <w:tblHeader w:val="0"/>
        </w:trPr>
        <w:tc>
          <w:tcPr>
            <w:vAlign w:val="center"/>
          </w:tcPr>
          <w:p w:rsidR="00000000" w:rsidDel="00000000" w:rsidP="00000000" w:rsidRDefault="00000000" w:rsidRPr="00000000" w14:paraId="0000009D">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9E">
            <w:pPr>
              <w:jc w:val="both"/>
              <w:rPr>
                <w:sz w:val="20"/>
                <w:szCs w:val="20"/>
              </w:rPr>
            </w:pPr>
            <w:r w:rsidDel="00000000" w:rsidR="00000000" w:rsidRPr="00000000">
              <w:rPr>
                <w:sz w:val="20"/>
                <w:szCs w:val="20"/>
                <w:rtl w:val="0"/>
              </w:rPr>
              <w:t xml:space="preserve">Chemical Manufacturing</w:t>
            </w:r>
          </w:p>
        </w:tc>
        <w:tc>
          <w:tcPr>
            <w:vAlign w:val="center"/>
          </w:tcPr>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Weapons</w:t>
            </w:r>
          </w:p>
        </w:tc>
        <w:tc>
          <w:tcPr>
            <w:vAlign w:val="center"/>
          </w:tcPr>
          <w:p w:rsidR="00000000" w:rsidDel="00000000" w:rsidP="00000000" w:rsidRDefault="00000000" w:rsidRPr="00000000" w14:paraId="000000A0">
            <w:pPr>
              <w:jc w:val="both"/>
              <w:rPr>
                <w:sz w:val="20"/>
                <w:szCs w:val="20"/>
              </w:rPr>
            </w:pPr>
            <w:r w:rsidDel="00000000" w:rsidR="00000000" w:rsidRPr="00000000">
              <w:rPr>
                <w:sz w:val="20"/>
                <w:szCs w:val="20"/>
                <w:rtl w:val="0"/>
              </w:rPr>
              <w:t xml:space="preserve">Transportation</w:t>
            </w:r>
          </w:p>
        </w:tc>
      </w:tr>
      <w:tr>
        <w:trPr>
          <w:cantSplit w:val="0"/>
          <w:tblHeader w:val="0"/>
        </w:trPr>
        <w:tc>
          <w:tcPr>
            <w:vAlign w:val="center"/>
          </w:tcPr>
          <w:p w:rsidR="00000000" w:rsidDel="00000000" w:rsidP="00000000" w:rsidRDefault="00000000" w:rsidRPr="00000000" w14:paraId="000000A1">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A2">
            <w:pPr>
              <w:jc w:val="both"/>
              <w:rPr>
                <w:sz w:val="20"/>
                <w:szCs w:val="20"/>
              </w:rPr>
            </w:pPr>
            <w:r w:rsidDel="00000000" w:rsidR="00000000" w:rsidRPr="00000000">
              <w:rPr>
                <w:sz w:val="20"/>
                <w:szCs w:val="20"/>
                <w:rtl w:val="0"/>
              </w:rPr>
              <w:t xml:space="preserve">Daily Instruments</w:t>
            </w:r>
          </w:p>
        </w:tc>
        <w:tc>
          <w:tcPr>
            <w:vAlign w:val="center"/>
          </w:tcPr>
          <w:p w:rsidR="00000000" w:rsidDel="00000000" w:rsidP="00000000" w:rsidRDefault="00000000" w:rsidRPr="00000000" w14:paraId="000000A3">
            <w:pPr>
              <w:jc w:val="both"/>
              <w:rPr>
                <w:sz w:val="20"/>
                <w:szCs w:val="20"/>
              </w:rPr>
            </w:pPr>
            <w:r w:rsidDel="00000000" w:rsidR="00000000" w:rsidRPr="00000000">
              <w:rPr>
                <w:sz w:val="20"/>
                <w:szCs w:val="20"/>
                <w:rtl w:val="0"/>
              </w:rPr>
              <w:t xml:space="preserve">Raw Manufacturing</w:t>
            </w:r>
          </w:p>
        </w:tc>
        <w:tc>
          <w:tcPr>
            <w:vAlign w:val="center"/>
          </w:tcPr>
          <w:p w:rsidR="00000000" w:rsidDel="00000000" w:rsidP="00000000" w:rsidRDefault="00000000" w:rsidRPr="00000000" w14:paraId="000000A4">
            <w:pPr>
              <w:jc w:val="both"/>
              <w:rPr>
                <w:sz w:val="20"/>
                <w:szCs w:val="20"/>
              </w:rPr>
            </w:pPr>
            <w:r w:rsidDel="00000000" w:rsidR="00000000" w:rsidRPr="00000000">
              <w:rPr>
                <w:sz w:val="20"/>
                <w:szCs w:val="20"/>
                <w:rtl w:val="0"/>
              </w:rPr>
              <w:t xml:space="preserve">Wood Products</w:t>
            </w:r>
          </w:p>
        </w:tc>
      </w:tr>
      <w:tr>
        <w:trPr>
          <w:cantSplit w:val="0"/>
          <w:tblHeader w:val="0"/>
        </w:trPr>
        <w:tc>
          <w:tcPr>
            <w:vAlign w:val="center"/>
          </w:tcPr>
          <w:p w:rsidR="00000000" w:rsidDel="00000000" w:rsidP="00000000" w:rsidRDefault="00000000" w:rsidRPr="00000000" w14:paraId="000000A5">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A6">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Precious Stones</w:t>
            </w:r>
          </w:p>
        </w:tc>
        <w:tc>
          <w:tcPr>
            <w:vAlign w:val="center"/>
          </w:tcPr>
          <w:p w:rsidR="00000000" w:rsidDel="00000000" w:rsidP="00000000" w:rsidRDefault="00000000" w:rsidRPr="00000000" w14:paraId="000000A8">
            <w:pPr>
              <w:jc w:val="both"/>
              <w:rPr>
                <w:sz w:val="20"/>
                <w:szCs w:val="20"/>
              </w:rPr>
            </w:pPr>
            <w:r w:rsidDel="00000000" w:rsidR="00000000" w:rsidRPr="00000000">
              <w:rPr>
                <w:sz w:val="20"/>
                <w:szCs w:val="20"/>
                <w:rtl w:val="0"/>
              </w:rPr>
              <w:t xml:space="preserve">Metals</w:t>
            </w:r>
          </w:p>
        </w:tc>
      </w:tr>
      <w:tr>
        <w:trPr>
          <w:cantSplit w:val="0"/>
          <w:tblHeader w:val="0"/>
        </w:trPr>
        <w:tc>
          <w:tcPr>
            <w:vAlign w:val="center"/>
          </w:tcPr>
          <w:p w:rsidR="00000000" w:rsidDel="00000000" w:rsidP="00000000" w:rsidRDefault="00000000" w:rsidRPr="00000000" w14:paraId="000000A9">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Food and Preparations</w:t>
            </w:r>
          </w:p>
        </w:tc>
        <w:tc>
          <w:tcPr>
            <w:vAlign w:val="center"/>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D">
      <w:pPr>
        <w:jc w:val="center"/>
        <w:rPr>
          <w:sz w:val="22"/>
          <w:szCs w:val="22"/>
        </w:rPr>
      </w:pPr>
      <w:r w:rsidDel="00000000" w:rsidR="00000000" w:rsidRPr="00000000">
        <w:rPr>
          <w:sz w:val="22"/>
          <w:szCs w:val="22"/>
          <w:rtl w:val="0"/>
        </w:rPr>
        <w:t xml:space="preserve">Table 4a. RID Comparison across Leading Economies (2018)</w:t>
      </w:r>
    </w:p>
    <w:p w:rsidR="00000000" w:rsidDel="00000000" w:rsidP="00000000" w:rsidRDefault="00000000" w:rsidRPr="00000000" w14:paraId="000000AE">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AF">
            <w:pPr>
              <w:jc w:val="both"/>
              <w:rPr/>
            </w:pPr>
            <w:r w:rsidDel="00000000" w:rsidR="00000000" w:rsidRPr="00000000">
              <w:rPr>
                <w:rtl w:val="0"/>
              </w:rPr>
              <w:t xml:space="preserve">Ranking</w:t>
            </w:r>
          </w:p>
        </w:tc>
        <w:tc>
          <w:tcPr/>
          <w:p w:rsidR="00000000" w:rsidDel="00000000" w:rsidP="00000000" w:rsidRDefault="00000000" w:rsidRPr="00000000" w14:paraId="000000B0">
            <w:pPr>
              <w:jc w:val="both"/>
              <w:rPr/>
            </w:pPr>
            <w:r w:rsidDel="00000000" w:rsidR="00000000" w:rsidRPr="00000000">
              <w:rPr>
                <w:rtl w:val="0"/>
              </w:rPr>
              <w:t xml:space="preserve">France</w:t>
            </w:r>
          </w:p>
        </w:tc>
        <w:tc>
          <w:tcPr/>
          <w:p w:rsidR="00000000" w:rsidDel="00000000" w:rsidP="00000000" w:rsidRDefault="00000000" w:rsidRPr="00000000" w14:paraId="000000B1">
            <w:pPr>
              <w:jc w:val="both"/>
              <w:rPr/>
            </w:pPr>
            <w:r w:rsidDel="00000000" w:rsidR="00000000" w:rsidRPr="00000000">
              <w:rPr>
                <w:rtl w:val="0"/>
              </w:rPr>
              <w:t xml:space="preserve">the UK</w:t>
            </w:r>
          </w:p>
        </w:tc>
        <w:tc>
          <w:tcPr/>
          <w:p w:rsidR="00000000" w:rsidDel="00000000" w:rsidP="00000000" w:rsidRDefault="00000000" w:rsidRPr="00000000" w14:paraId="000000B2">
            <w:pPr>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B3">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4">
            <w:pPr>
              <w:ind w:left="90" w:firstLine="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5">
            <w:pPr>
              <w:ind w:firstLine="90"/>
              <w:jc w:val="both"/>
              <w:rPr>
                <w:sz w:val="20"/>
                <w:szCs w:val="20"/>
              </w:rPr>
            </w:pPr>
            <w:r w:rsidDel="00000000" w:rsidR="00000000" w:rsidRPr="00000000">
              <w:rPr>
                <w:sz w:val="20"/>
                <w:szCs w:val="20"/>
                <w:rtl w:val="0"/>
              </w:rPr>
              <w:t xml:space="preserve">Precious Stones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6">
            <w:pPr>
              <w:ind w:left="90" w:firstLine="0"/>
              <w:jc w:val="both"/>
              <w:rPr>
                <w:sz w:val="20"/>
                <w:szCs w:val="20"/>
              </w:rPr>
            </w:pPr>
            <w:r w:rsidDel="00000000" w:rsidR="00000000" w:rsidRPr="00000000">
              <w:rPr>
                <w:sz w:val="20"/>
                <w:szCs w:val="20"/>
                <w:rtl w:val="0"/>
              </w:rPr>
              <w:t xml:space="preserve">Daily Instruments</w:t>
            </w:r>
          </w:p>
        </w:tc>
      </w:tr>
      <w:tr>
        <w:trPr>
          <w:cantSplit w:val="0"/>
          <w:tblHeader w:val="0"/>
        </w:trPr>
        <w:tc>
          <w:tcPr>
            <w:shd w:fill="ffffff" w:val="clear"/>
          </w:tcPr>
          <w:p w:rsidR="00000000" w:rsidDel="00000000" w:rsidP="00000000" w:rsidRDefault="00000000" w:rsidRPr="00000000" w14:paraId="000000B7">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8">
            <w:pPr>
              <w:ind w:left="90" w:firstLine="0"/>
              <w:jc w:val="both"/>
              <w:rPr>
                <w:sz w:val="20"/>
                <w:szCs w:val="20"/>
              </w:rPr>
            </w:pPr>
            <w:r w:rsidDel="00000000" w:rsidR="00000000" w:rsidRPr="00000000">
              <w:rPr>
                <w:sz w:val="20"/>
                <w:szCs w:val="20"/>
                <w:rtl w:val="0"/>
              </w:rPr>
              <w:t xml:space="preserve">Precious Stones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9">
            <w:pPr>
              <w:ind w:firstLine="90"/>
              <w:jc w:val="both"/>
              <w:rPr>
                <w:sz w:val="20"/>
                <w:szCs w:val="20"/>
              </w:rPr>
            </w:pPr>
            <w:r w:rsidDel="00000000" w:rsidR="00000000" w:rsidRPr="00000000">
              <w:rPr>
                <w:sz w:val="20"/>
                <w:szCs w:val="20"/>
                <w:rtl w:val="0"/>
              </w:rPr>
              <w:t xml:space="preserve">High-complexity Products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A">
            <w:pPr>
              <w:ind w:left="90" w:firstLine="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B">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C">
            <w:pPr>
              <w:ind w:left="90" w:firstLine="0"/>
              <w:jc w:val="both"/>
              <w:rPr>
                <w:sz w:val="20"/>
                <w:szCs w:val="20"/>
              </w:rPr>
            </w:pPr>
            <w:r w:rsidDel="00000000" w:rsidR="00000000" w:rsidRPr="00000000">
              <w:rPr>
                <w:sz w:val="20"/>
                <w:szCs w:val="20"/>
                <w:rtl w:val="0"/>
              </w:rPr>
              <w:t xml:space="preserve">High-complexity Products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D">
            <w:pPr>
              <w:ind w:firstLine="9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E">
            <w:pPr>
              <w:ind w:left="90" w:firstLine="0"/>
              <w:jc w:val="both"/>
              <w:rPr>
                <w:sz w:val="20"/>
                <w:szCs w:val="20"/>
              </w:rPr>
            </w:pPr>
            <w:r w:rsidDel="00000000" w:rsidR="00000000" w:rsidRPr="00000000">
              <w:rPr>
                <w:sz w:val="20"/>
                <w:szCs w:val="20"/>
                <w:rtl w:val="0"/>
              </w:rPr>
              <w:t xml:space="preserve">Chemicals</w:t>
            </w:r>
          </w:p>
        </w:tc>
      </w:tr>
      <w:tr>
        <w:trPr>
          <w:cantSplit w:val="0"/>
          <w:tblHeader w:val="0"/>
        </w:trPr>
        <w:tc>
          <w:tcPr/>
          <w:p w:rsidR="00000000" w:rsidDel="00000000" w:rsidP="00000000" w:rsidRDefault="00000000" w:rsidRPr="00000000" w14:paraId="000000BF">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0">
            <w:pPr>
              <w:ind w:left="90" w:firstLine="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1">
            <w:pPr>
              <w:ind w:firstLine="9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2">
            <w:pPr>
              <w:ind w:left="90" w:firstLine="0"/>
              <w:jc w:val="both"/>
              <w:rPr>
                <w:sz w:val="20"/>
                <w:szCs w:val="20"/>
              </w:rPr>
            </w:pPr>
            <w:r w:rsidDel="00000000" w:rsidR="00000000" w:rsidRPr="00000000">
              <w:rPr>
                <w:sz w:val="20"/>
                <w:szCs w:val="20"/>
                <w:rtl w:val="0"/>
              </w:rPr>
              <w:t xml:space="preserve">Chemical Manufacturing</w:t>
            </w:r>
          </w:p>
        </w:tc>
      </w:tr>
      <w:tr>
        <w:trPr>
          <w:cantSplit w:val="0"/>
          <w:tblHeader w:val="0"/>
        </w:trPr>
        <w:tc>
          <w:tcPr/>
          <w:p w:rsidR="00000000" w:rsidDel="00000000" w:rsidP="00000000" w:rsidRDefault="00000000" w:rsidRPr="00000000" w14:paraId="000000C3">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4">
            <w:pPr>
              <w:ind w:left="90" w:firstLine="0"/>
              <w:jc w:val="both"/>
              <w:rPr>
                <w:sz w:val="20"/>
                <w:szCs w:val="20"/>
              </w:rPr>
            </w:pPr>
            <w:r w:rsidDel="00000000" w:rsidR="00000000" w:rsidRPr="00000000">
              <w:rPr>
                <w:sz w:val="20"/>
                <w:szCs w:val="20"/>
                <w:rtl w:val="0"/>
              </w:rPr>
              <w:t xml:space="preserve">Machinery and Construction</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5">
            <w:pPr>
              <w:ind w:firstLine="90"/>
              <w:jc w:val="both"/>
              <w:rPr>
                <w:sz w:val="20"/>
                <w:szCs w:val="20"/>
              </w:rPr>
            </w:pPr>
            <w:r w:rsidDel="00000000" w:rsidR="00000000" w:rsidRPr="00000000">
              <w:rPr>
                <w:sz w:val="20"/>
                <w:szCs w:val="20"/>
                <w:rtl w:val="0"/>
              </w:rPr>
              <w:t xml:space="preserve">Wood Products</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6">
            <w:pPr>
              <w:ind w:left="90" w:firstLine="0"/>
              <w:jc w:val="both"/>
              <w:rPr>
                <w:sz w:val="20"/>
                <w:szCs w:val="20"/>
              </w:rPr>
            </w:pPr>
            <w:r w:rsidDel="00000000" w:rsidR="00000000" w:rsidRPr="00000000">
              <w:rPr>
                <w:sz w:val="20"/>
                <w:szCs w:val="20"/>
                <w:rtl w:val="0"/>
              </w:rPr>
              <w:t xml:space="preserve">Clothing and Accessories</w:t>
            </w:r>
          </w:p>
        </w:tc>
      </w:tr>
    </w:tbl>
    <w:p w:rsidR="00000000" w:rsidDel="00000000" w:rsidP="00000000" w:rsidRDefault="00000000" w:rsidRPr="00000000" w14:paraId="000000C7">
      <w:pPr>
        <w:jc w:val="center"/>
        <w:rPr/>
      </w:pPr>
      <w:r w:rsidDel="00000000" w:rsidR="00000000" w:rsidRPr="00000000">
        <w:rPr>
          <w:sz w:val="22"/>
          <w:szCs w:val="22"/>
          <w:rtl w:val="0"/>
        </w:rPr>
        <w:t xml:space="preserve">Table 4b. RID Comparison across Leading Economies (2021)</w:t>
      </w:r>
      <w:r w:rsidDel="00000000" w:rsidR="00000000" w:rsidRPr="00000000">
        <w:rPr>
          <w:rtl w:val="0"/>
        </w:rPr>
      </w:r>
    </w:p>
    <w:p w:rsidR="00000000" w:rsidDel="00000000" w:rsidP="00000000" w:rsidRDefault="00000000" w:rsidRPr="00000000" w14:paraId="000000C8">
      <w:pPr>
        <w:jc w:val="center"/>
        <w:rPr>
          <w:sz w:val="22"/>
          <w:szCs w:val="22"/>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Tables 4c-4d further examine Spain’s development strategy against those of emerging economies on a global scale. Reasonably, emerging economies such as China, South Korea, and Singapore, have devoted the majority of their efforts to intermediate industry groups, showing drastic shifts in strategies over the course of three years.</w:t>
      </w:r>
    </w:p>
    <w:p w:rsidR="00000000" w:rsidDel="00000000" w:rsidP="00000000" w:rsidRDefault="00000000" w:rsidRPr="00000000" w14:paraId="000000CA">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0CB">
            <w:pPr>
              <w:jc w:val="both"/>
              <w:rPr/>
            </w:pPr>
            <w:r w:rsidDel="00000000" w:rsidR="00000000" w:rsidRPr="00000000">
              <w:rPr>
                <w:rtl w:val="0"/>
              </w:rPr>
              <w:t xml:space="preserve">Ranking</w:t>
            </w:r>
          </w:p>
        </w:tc>
        <w:tc>
          <w:tcPr/>
          <w:p w:rsidR="00000000" w:rsidDel="00000000" w:rsidP="00000000" w:rsidRDefault="00000000" w:rsidRPr="00000000" w14:paraId="000000CC">
            <w:pPr>
              <w:jc w:val="both"/>
              <w:rPr/>
            </w:pPr>
            <w:r w:rsidDel="00000000" w:rsidR="00000000" w:rsidRPr="00000000">
              <w:rPr>
                <w:rtl w:val="0"/>
              </w:rPr>
              <w:t xml:space="preserve">China</w:t>
            </w:r>
          </w:p>
        </w:tc>
        <w:tc>
          <w:tcPr/>
          <w:p w:rsidR="00000000" w:rsidDel="00000000" w:rsidP="00000000" w:rsidRDefault="00000000" w:rsidRPr="00000000" w14:paraId="000000CD">
            <w:pPr>
              <w:jc w:val="both"/>
              <w:rPr/>
            </w:pPr>
            <w:r w:rsidDel="00000000" w:rsidR="00000000" w:rsidRPr="00000000">
              <w:rPr>
                <w:rtl w:val="0"/>
              </w:rPr>
              <w:t xml:space="preserve">South Korea</w:t>
            </w:r>
          </w:p>
        </w:tc>
        <w:tc>
          <w:tcPr/>
          <w:p w:rsidR="00000000" w:rsidDel="00000000" w:rsidP="00000000" w:rsidRDefault="00000000" w:rsidRPr="00000000" w14:paraId="000000CE">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CF">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0D3">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D6">
            <w:pPr>
              <w:jc w:val="both"/>
              <w:rPr>
                <w:sz w:val="20"/>
                <w:szCs w:val="20"/>
              </w:rPr>
            </w:pPr>
            <w:r w:rsidDel="00000000" w:rsidR="00000000" w:rsidRPr="00000000">
              <w:rPr>
                <w:sz w:val="20"/>
                <w:szCs w:val="2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Precious Stones</w:t>
            </w:r>
          </w:p>
        </w:tc>
      </w:tr>
      <w:tr>
        <w:trPr>
          <w:cantSplit w:val="0"/>
          <w:trHeight w:val="60" w:hRule="atLeast"/>
          <w:tblHeader w:val="0"/>
        </w:trPr>
        <w:tc>
          <w:tcPr/>
          <w:p w:rsidR="00000000" w:rsidDel="00000000" w:rsidP="00000000" w:rsidRDefault="00000000" w:rsidRPr="00000000" w14:paraId="000000DB">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Daily Instruments</w:t>
            </w:r>
          </w:p>
        </w:tc>
      </w:tr>
      <w:tr>
        <w:trPr>
          <w:cantSplit w:val="0"/>
          <w:trHeight w:val="225" w:hRule="atLeast"/>
          <w:tblHeader w:val="0"/>
        </w:trPr>
        <w:tc>
          <w:tcPr/>
          <w:p w:rsidR="00000000" w:rsidDel="00000000" w:rsidP="00000000" w:rsidRDefault="00000000" w:rsidRPr="00000000" w14:paraId="000000DF">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E2">
            <w:pPr>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E3">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0E5">
            <w:pPr>
              <w:jc w:val="both"/>
              <w:rPr/>
            </w:pPr>
            <w:r w:rsidDel="00000000" w:rsidR="00000000" w:rsidRPr="00000000">
              <w:rPr>
                <w:rtl w:val="0"/>
              </w:rPr>
              <w:t xml:space="preserve">Ranking</w:t>
            </w:r>
          </w:p>
        </w:tc>
        <w:tc>
          <w:tcPr/>
          <w:p w:rsidR="00000000" w:rsidDel="00000000" w:rsidP="00000000" w:rsidRDefault="00000000" w:rsidRPr="00000000" w14:paraId="000000E6">
            <w:pPr>
              <w:jc w:val="both"/>
              <w:rPr/>
            </w:pPr>
            <w:r w:rsidDel="00000000" w:rsidR="00000000" w:rsidRPr="00000000">
              <w:rPr>
                <w:rtl w:val="0"/>
              </w:rPr>
              <w:t xml:space="preserve">China</w:t>
            </w:r>
          </w:p>
        </w:tc>
        <w:tc>
          <w:tcPr/>
          <w:p w:rsidR="00000000" w:rsidDel="00000000" w:rsidP="00000000" w:rsidRDefault="00000000" w:rsidRPr="00000000" w14:paraId="000000E7">
            <w:pPr>
              <w:jc w:val="both"/>
              <w:rPr/>
            </w:pPr>
            <w:r w:rsidDel="00000000" w:rsidR="00000000" w:rsidRPr="00000000">
              <w:rPr>
                <w:rtl w:val="0"/>
              </w:rPr>
              <w:t xml:space="preserve">South Korea</w:t>
            </w:r>
          </w:p>
        </w:tc>
        <w:tc>
          <w:tcPr/>
          <w:p w:rsidR="00000000" w:rsidDel="00000000" w:rsidP="00000000" w:rsidRDefault="00000000" w:rsidRPr="00000000" w14:paraId="000000E8">
            <w:pPr>
              <w:jc w:val="both"/>
              <w:rPr/>
            </w:pPr>
            <w:r w:rsidDel="00000000" w:rsidR="00000000" w:rsidRPr="00000000">
              <w:rPr>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0E9">
            <w:pPr>
              <w:jc w:val="both"/>
              <w:rPr>
                <w:b w:val="0"/>
                <w:bCs w:val="0"/>
                <w:sz w:val="20"/>
                <w:szCs w:val="20"/>
              </w:rPr>
            </w:pPr>
            <w:r w:rsidDel="00000000" w:rsidR="00000000" w:rsidRPr="00000000">
              <w:rPr>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EA">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EB">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EC">
            <w:pPr>
              <w:ind w:left="90" w:right="-165" w:firstLine="0"/>
              <w:jc w:val="both"/>
              <w:rPr>
                <w:sz w:val="20"/>
                <w:szCs w:val="20"/>
              </w:rPr>
            </w:pPr>
            <w:r w:rsidDel="00000000" w:rsidR="00000000" w:rsidRPr="00000000">
              <w:rPr>
                <w:sz w:val="20"/>
                <w:szCs w:val="20"/>
                <w:rtl w:val="0"/>
              </w:rPr>
              <w:t xml:space="preserve">Weapons</w:t>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0ED">
            <w:pPr>
              <w:jc w:val="both"/>
              <w:rPr>
                <w:b w:val="0"/>
                <w:bCs w:val="0"/>
                <w:sz w:val="20"/>
                <w:szCs w:val="20"/>
              </w:rPr>
            </w:pPr>
            <w:r w:rsidDel="00000000" w:rsidR="00000000" w:rsidRPr="00000000">
              <w:rPr>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0EE">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0EF">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0F0">
            <w:pPr>
              <w:ind w:left="90" w:right="-165" w:firstLine="0"/>
              <w:jc w:val="both"/>
              <w:rPr>
                <w:sz w:val="20"/>
                <w:szCs w:val="20"/>
              </w:rPr>
            </w:pPr>
            <w:r w:rsidDel="00000000" w:rsidR="00000000" w:rsidRPr="00000000">
              <w:rPr>
                <w:sz w:val="20"/>
                <w:szCs w:val="20"/>
                <w:rtl w:val="0"/>
              </w:rPr>
              <w:t xml:space="preserve">Energy Drilling and Mining</w:t>
            </w:r>
          </w:p>
        </w:tc>
      </w:tr>
      <w:tr>
        <w:trPr>
          <w:cantSplit w:val="0"/>
          <w:tblHeader w:val="0"/>
        </w:trPr>
        <w:tc>
          <w:tcPr>
            <w:tcMar>
              <w:left w:w="0.0" w:type="dxa"/>
              <w:right w:w="0.0" w:type="dxa"/>
            </w:tcMar>
            <w:vAlign w:val="center"/>
          </w:tcPr>
          <w:p w:rsidR="00000000" w:rsidDel="00000000" w:rsidP="00000000" w:rsidRDefault="00000000" w:rsidRPr="00000000" w14:paraId="000000F1">
            <w:pPr>
              <w:jc w:val="both"/>
              <w:rPr>
                <w:b w:val="0"/>
                <w:bCs w:val="0"/>
                <w:sz w:val="20"/>
                <w:szCs w:val="20"/>
              </w:rPr>
            </w:pPr>
            <w:r w:rsidDel="00000000" w:rsidR="00000000" w:rsidRPr="00000000">
              <w:rPr>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2">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3">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F4">
            <w:pPr>
              <w:ind w:left="90" w:right="-165" w:firstLine="0"/>
              <w:jc w:val="both"/>
              <w:rPr>
                <w:sz w:val="20"/>
                <w:szCs w:val="20"/>
              </w:rPr>
            </w:pPr>
            <w:r w:rsidDel="00000000" w:rsidR="00000000" w:rsidRPr="00000000">
              <w:rPr>
                <w:sz w:val="20"/>
                <w:szCs w:val="20"/>
                <w:rtl w:val="0"/>
              </w:rPr>
              <w:t xml:space="preserve">Transportation</w:t>
            </w:r>
          </w:p>
        </w:tc>
      </w:tr>
      <w:tr>
        <w:trPr>
          <w:cantSplit w:val="0"/>
          <w:tblHeader w:val="0"/>
        </w:trPr>
        <w:tc>
          <w:tcPr>
            <w:tcMar>
              <w:left w:w="0.0" w:type="dxa"/>
              <w:right w:w="0.0" w:type="dxa"/>
            </w:tcMar>
            <w:vAlign w:val="center"/>
          </w:tcPr>
          <w:p w:rsidR="00000000" w:rsidDel="00000000" w:rsidP="00000000" w:rsidRDefault="00000000" w:rsidRPr="00000000" w14:paraId="000000F5">
            <w:pPr>
              <w:jc w:val="both"/>
              <w:rPr>
                <w:b w:val="0"/>
                <w:bCs w:val="0"/>
                <w:sz w:val="20"/>
                <w:szCs w:val="20"/>
              </w:rPr>
            </w:pPr>
            <w:r w:rsidDel="00000000" w:rsidR="00000000" w:rsidRPr="00000000">
              <w:rPr>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0F6">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0F7">
            <w:pPr>
              <w:ind w:left="90" w:right="-165" w:firstLine="0"/>
              <w:jc w:val="both"/>
              <w:rPr>
                <w:sz w:val="20"/>
                <w:szCs w:val="20"/>
              </w:rPr>
            </w:pPr>
            <w:r w:rsidDel="00000000" w:rsidR="00000000" w:rsidRPr="00000000">
              <w:rPr>
                <w:sz w:val="20"/>
                <w:szCs w:val="20"/>
                <w:rtl w:val="0"/>
              </w:rPr>
              <w:t xml:space="preserve">Textile</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0F8">
            <w:pPr>
              <w:ind w:left="90" w:right="-165" w:firstLine="0"/>
              <w:jc w:val="both"/>
              <w:rPr>
                <w:sz w:val="20"/>
                <w:szCs w:val="20"/>
              </w:rPr>
            </w:pPr>
            <w:r w:rsidDel="00000000" w:rsidR="00000000" w:rsidRPr="00000000">
              <w:rPr>
                <w:sz w:val="20"/>
                <w:szCs w:val="20"/>
                <w:rtl w:val="0"/>
              </w:rPr>
              <w:t xml:space="preserve">Machinery and Construction</w:t>
            </w:r>
          </w:p>
        </w:tc>
      </w:tr>
      <w:tr>
        <w:trPr>
          <w:cantSplit w:val="0"/>
          <w:tblHeader w:val="0"/>
        </w:trPr>
        <w:tc>
          <w:tcPr>
            <w:tcMar>
              <w:left w:w="0.0" w:type="dxa"/>
              <w:right w:w="0.0" w:type="dxa"/>
            </w:tcMar>
            <w:vAlign w:val="center"/>
          </w:tcPr>
          <w:p w:rsidR="00000000" w:rsidDel="00000000" w:rsidP="00000000" w:rsidRDefault="00000000" w:rsidRPr="00000000" w14:paraId="000000F9">
            <w:pPr>
              <w:jc w:val="both"/>
              <w:rPr>
                <w:b w:val="0"/>
                <w:bCs w:val="0"/>
                <w:sz w:val="20"/>
                <w:szCs w:val="20"/>
              </w:rPr>
            </w:pPr>
            <w:r w:rsidDel="00000000" w:rsidR="00000000" w:rsidRPr="00000000">
              <w:rPr>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A">
            <w:pPr>
              <w:ind w:left="90" w:right="-165" w:firstLine="0"/>
              <w:jc w:val="both"/>
              <w:rPr>
                <w:sz w:val="20"/>
                <w:szCs w:val="20"/>
              </w:rPr>
            </w:pPr>
            <w:r w:rsidDel="00000000" w:rsidR="00000000" w:rsidRPr="00000000">
              <w:rPr>
                <w:sz w:val="20"/>
                <w:szCs w:val="20"/>
                <w:rtl w:val="0"/>
              </w:rPr>
              <w:t xml:space="preserve">Weapons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B">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FC">
            <w:pPr>
              <w:ind w:left="90" w:right="-165" w:firstLine="0"/>
              <w:jc w:val="both"/>
              <w:rPr>
                <w:sz w:val="20"/>
                <w:szCs w:val="20"/>
              </w:rPr>
            </w:pPr>
            <w:r w:rsidDel="00000000" w:rsidR="00000000" w:rsidRPr="00000000">
              <w:rPr>
                <w:sz w:val="20"/>
                <w:szCs w:val="20"/>
                <w:rtl w:val="0"/>
              </w:rPr>
              <w:t xml:space="preserve">High-complexity Products</w:t>
            </w:r>
          </w:p>
        </w:tc>
      </w:tr>
    </w:tbl>
    <w:p w:rsidR="00000000" w:rsidDel="00000000" w:rsidP="00000000" w:rsidRDefault="00000000" w:rsidRPr="00000000" w14:paraId="000000FD">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0FE">
      <w:pPr>
        <w:pageBreakBefore w:val="0"/>
        <w:jc w:val="center"/>
        <w:rPr>
          <w:sz w:val="22"/>
          <w:szCs w:val="22"/>
        </w:rPr>
      </w:pPr>
      <w:r w:rsidDel="00000000" w:rsidR="00000000" w:rsidRPr="00000000">
        <w:rPr>
          <w:rtl w:val="0"/>
        </w:rPr>
      </w:r>
    </w:p>
    <w:p w:rsidR="00000000" w:rsidDel="00000000" w:rsidP="00000000" w:rsidRDefault="00000000" w:rsidRPr="00000000" w14:paraId="000000FF">
      <w:pPr>
        <w:pageBreakBefore w:val="0"/>
        <w:jc w:val="both"/>
        <w:rPr/>
      </w:pPr>
      <w:r w:rsidDel="00000000" w:rsidR="00000000" w:rsidRPr="00000000">
        <w:rPr>
          <w:rtl w:val="0"/>
        </w:rPr>
      </w:r>
    </w:p>
    <w:p w:rsidR="00000000" w:rsidDel="00000000" w:rsidP="00000000" w:rsidRDefault="00000000" w:rsidRPr="00000000" w14:paraId="00000100">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01">
      <w:pPr>
        <w:pageBreakBefore w:val="0"/>
        <w:jc w:val="both"/>
        <w:rPr>
          <w:b w:val="1"/>
          <w:bCs w:val="1"/>
        </w:rPr>
      </w:pPr>
      <w:r w:rsidDel="00000000" w:rsidR="00000000" w:rsidRPr="00000000">
        <w:rPr>
          <w:rtl w:val="0"/>
        </w:rPr>
      </w:r>
    </w:p>
    <w:p w:rsidR="00000000" w:rsidDel="00000000" w:rsidP="00000000" w:rsidRDefault="00000000" w:rsidRPr="00000000" w14:paraId="00000102">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3">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04">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05">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06">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decrease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07">
      <w:pPr>
        <w:pageBreakBefore w:val="0"/>
        <w:jc w:val="both"/>
        <w:rPr/>
      </w:pPr>
      <w:r w:rsidDel="00000000" w:rsidR="00000000" w:rsidRPr="00000000">
        <w:rPr>
          <w:rtl w:val="0"/>
        </w:rPr>
      </w:r>
    </w:p>
    <w:p w:rsidR="00000000" w:rsidDel="00000000" w:rsidP="00000000" w:rsidRDefault="00000000" w:rsidRPr="00000000" w14:paraId="00000108">
      <w:pPr>
        <w:jc w:val="center"/>
        <w:rPr/>
      </w:pPr>
      <w:r w:rsidDel="00000000" w:rsidR="00000000" w:rsidRPr="00000000">
        <w:rPr>
          <w:rtl w:val="0"/>
        </w:rPr>
      </w:r>
    </w:p>
    <w:p w:rsidR="00000000" w:rsidDel="00000000" w:rsidP="00000000" w:rsidRDefault="00000000" w:rsidRPr="00000000" w14:paraId="00000109">
      <w:pPr>
        <w:jc w:val="center"/>
        <w:rPr>
          <w:sz w:val="22"/>
          <w:szCs w:val="22"/>
        </w:rPr>
      </w:pPr>
      <w:r w:rsidDel="00000000" w:rsidR="00000000" w:rsidRPr="00000000">
        <w:rPr/>
        <w:drawing>
          <wp:inline distB="114300" distT="114300" distL="114300" distR="114300">
            <wp:extent cx="5657850" cy="2867025"/>
            <wp:effectExtent b="0" l="0" r="0" t="0"/>
            <wp:docPr id="9"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5657850" cy="2867025"/>
                    </a:xfrm>
                    <a:prstGeom prst="rect"/>
                    <a:ln/>
                  </pic:spPr>
                </pic:pic>
              </a:graphicData>
            </a:graphic>
          </wp:inline>
        </w:drawing>
      </w:r>
      <w:r w:rsidDel="00000000" w:rsidR="00000000" w:rsidRPr="00000000">
        <w:rPr>
          <w:sz w:val="22"/>
          <w:szCs w:val="22"/>
          <w:rtl w:val="0"/>
        </w:rPr>
        <w:t xml:space="preserve">Table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13)</w:t>
      </w:r>
    </w:p>
    <w:p w:rsidR="00000000" w:rsidDel="00000000" w:rsidP="00000000" w:rsidRDefault="00000000" w:rsidRPr="00000000" w14:paraId="0000010A">
      <w:pPr>
        <w:jc w:val="center"/>
        <w:rPr/>
      </w:pPr>
      <w:r w:rsidDel="00000000" w:rsidR="00000000" w:rsidRPr="00000000">
        <w:rPr>
          <w:rtl w:val="0"/>
        </w:rPr>
      </w:r>
    </w:p>
    <w:p w:rsidR="00000000" w:rsidDel="00000000" w:rsidP="00000000" w:rsidRDefault="00000000" w:rsidRPr="00000000" w14:paraId="0000010B">
      <w:pPr>
        <w:jc w:val="center"/>
        <w:rPr/>
      </w:pPr>
      <w:r w:rsidDel="00000000" w:rsidR="00000000" w:rsidRPr="00000000">
        <w:rPr>
          <w:rtl w:val="0"/>
        </w:rPr>
      </w:r>
    </w:p>
    <w:p w:rsidR="00000000" w:rsidDel="00000000" w:rsidP="00000000" w:rsidRDefault="00000000" w:rsidRPr="00000000" w14:paraId="0000010C">
      <w:pPr>
        <w:jc w:val="center"/>
        <w:rPr>
          <w:sz w:val="22"/>
          <w:szCs w:val="22"/>
        </w:rPr>
      </w:pPr>
      <w:r w:rsidDel="00000000" w:rsidR="00000000" w:rsidRPr="00000000">
        <w:rPr/>
        <w:drawing>
          <wp:inline distB="114300" distT="114300" distL="114300" distR="114300">
            <wp:extent cx="5731200" cy="2971800"/>
            <wp:effectExtent b="0" l="0" r="0" t="0"/>
            <wp:docPr id="24" name="image25.jpg"/>
            <a:graphic>
              <a:graphicData uri="http://schemas.openxmlformats.org/drawingml/2006/picture">
                <pic:pic>
                  <pic:nvPicPr>
                    <pic:cNvPr id="0" name="image25.jpg"/>
                    <pic:cNvPicPr preferRelativeResize="0"/>
                  </pic:nvPicPr>
                  <pic:blipFill>
                    <a:blip r:embed="rId16"/>
                    <a:srcRect b="0" l="0" r="0" t="0"/>
                    <a:stretch>
                      <a:fillRect/>
                    </a:stretch>
                  </pic:blipFill>
                  <pic:spPr>
                    <a:xfrm>
                      <a:off x="0" y="0"/>
                      <a:ext cx="5731200" cy="2971800"/>
                    </a:xfrm>
                    <a:prstGeom prst="rect"/>
                    <a:ln/>
                  </pic:spPr>
                </pic:pic>
              </a:graphicData>
            </a:graphic>
          </wp:inline>
        </w:drawing>
      </w:r>
      <w:r w:rsidDel="00000000" w:rsidR="00000000" w:rsidRPr="00000000">
        <w:rPr>
          <w:sz w:val="22"/>
          <w:szCs w:val="22"/>
          <w:rtl w:val="0"/>
        </w:rPr>
        <w:t xml:space="preserve">Table 5b.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18)</w:t>
      </w:r>
    </w:p>
    <w:p w:rsidR="00000000" w:rsidDel="00000000" w:rsidP="00000000" w:rsidRDefault="00000000" w:rsidRPr="00000000" w14:paraId="0000010D">
      <w:pPr>
        <w:pageBreakBefore w:val="0"/>
        <w:jc w:val="center"/>
        <w:rPr/>
      </w:pPr>
      <w:r w:rsidDel="00000000" w:rsidR="00000000" w:rsidRPr="00000000">
        <w:rPr>
          <w:rtl w:val="0"/>
        </w:rPr>
      </w:r>
    </w:p>
    <w:p w:rsidR="00000000" w:rsidDel="00000000" w:rsidP="00000000" w:rsidRDefault="00000000" w:rsidRPr="00000000" w14:paraId="0000010E">
      <w:pPr>
        <w:jc w:val="center"/>
        <w:rPr>
          <w:sz w:val="22"/>
          <w:szCs w:val="22"/>
        </w:rPr>
      </w:pPr>
      <w:r w:rsidDel="00000000" w:rsidR="00000000" w:rsidRPr="00000000">
        <w:rPr/>
        <w:drawing>
          <wp:inline distB="114300" distT="114300" distL="114300" distR="114300">
            <wp:extent cx="5731200" cy="2527300"/>
            <wp:effectExtent b="0" l="0" r="0" t="0"/>
            <wp:docPr id="14"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731200" cy="2527300"/>
                    </a:xfrm>
                    <a:prstGeom prst="rect"/>
                    <a:ln/>
                  </pic:spPr>
                </pic:pic>
              </a:graphicData>
            </a:graphic>
          </wp:inline>
        </w:drawing>
      </w: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10F">
      <w:pPr>
        <w:pageBreakBefore w:val="0"/>
        <w:jc w:val="center"/>
        <w:rPr/>
      </w:pPr>
      <w:r w:rsidDel="00000000" w:rsidR="00000000" w:rsidRPr="00000000">
        <w:rPr>
          <w:rtl w:val="0"/>
        </w:rPr>
      </w:r>
    </w:p>
    <w:p w:rsidR="00000000" w:rsidDel="00000000" w:rsidP="00000000" w:rsidRDefault="00000000" w:rsidRPr="00000000" w14:paraId="00000110">
      <w:pPr>
        <w:pageBreakBefore w:val="0"/>
        <w:jc w:val="both"/>
        <w:rPr/>
      </w:pPr>
      <w:r w:rsidDel="00000000" w:rsidR="00000000" w:rsidRPr="00000000">
        <w:rPr>
          <w:rtl w:val="0"/>
        </w:rPr>
        <w:t xml:space="preserve">We define the ranking of opportunity gain for a country c, as the Suggested Development Vector (SDV) of c. Tables 5a-5c summarize how the SDV of </w:t>
      </w:r>
      <w:r w:rsidDel="00000000" w:rsidR="00000000" w:rsidRPr="00000000">
        <w:rPr>
          <w:rtl w:val="0"/>
        </w:rPr>
        <w:t xml:space="preserve">Spain</w:t>
      </w:r>
      <w:r w:rsidDel="00000000" w:rsidR="00000000" w:rsidRPr="00000000">
        <w:rPr>
          <w:rtl w:val="0"/>
        </w:rPr>
        <w:t xml:space="preserve"> compares with a selected group of</w:t>
      </w:r>
      <w:r w:rsidDel="00000000" w:rsidR="00000000" w:rsidRPr="00000000">
        <w:rPr>
          <w:rtl w:val="0"/>
        </w:rPr>
        <w:t xml:space="preserve"> comparable and leading economies</w:t>
      </w:r>
      <w:r w:rsidDel="00000000" w:rsidR="00000000" w:rsidRPr="00000000">
        <w:rPr>
          <w:rtl w:val="0"/>
        </w:rPr>
        <w:t xml:space="preserve"> in the world, with the industry groups ranked in decreasing order of significance. We focus on SDV results for 2018 because they give the most accurate snapshot of complexity for global comparison in the absence of the irregular effects of the COVID-19 pandemic observed in 2021. </w:t>
      </w:r>
    </w:p>
    <w:p w:rsidR="00000000" w:rsidDel="00000000" w:rsidP="00000000" w:rsidRDefault="00000000" w:rsidRPr="00000000" w14:paraId="00000111">
      <w:pPr>
        <w:pageBreakBefore w:val="0"/>
        <w:jc w:val="both"/>
        <w:rPr/>
      </w:pPr>
      <w:r w:rsidDel="00000000" w:rsidR="00000000" w:rsidRPr="00000000">
        <w:rPr>
          <w:rtl w:val="0"/>
        </w:rPr>
      </w:r>
    </w:p>
    <w:p w:rsidR="00000000" w:rsidDel="00000000" w:rsidP="00000000" w:rsidRDefault="00000000" w:rsidRPr="00000000" w14:paraId="00000112">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r w:rsidDel="00000000" w:rsidR="00000000" w:rsidRPr="00000000">
        <w:rPr>
          <w:rtl w:val="0"/>
        </w:rPr>
        <w:t xml:space="preserve">developing countries</w:t>
      </w:r>
      <w:r w:rsidDel="00000000" w:rsidR="00000000" w:rsidRPr="00000000">
        <w:rPr>
          <w:rtl w:val="0"/>
        </w:rPr>
        <w:t xml:space="preserve"> have nearly half of industries with positive opportunity gain and share common interests in Energy Drilling and Mining Precious industries. It can be concluded that </w:t>
      </w:r>
      <w:r w:rsidDel="00000000" w:rsidR="00000000" w:rsidRPr="00000000">
        <w:rPr>
          <w:rtl w:val="0"/>
        </w:rPr>
        <w:t xml:space="preserve">Spain</w:t>
      </w:r>
      <w:r w:rsidDel="00000000" w:rsidR="00000000" w:rsidRPr="00000000">
        <w:rPr>
          <w:rtl w:val="0"/>
        </w:rPr>
        <w:t xml:space="preserve"> shares the characteristics of developed countries, with a balanced economic structure that leans towards developed-level industries.</w:t>
      </w:r>
    </w:p>
    <w:p w:rsidR="00000000" w:rsidDel="00000000" w:rsidP="00000000" w:rsidRDefault="00000000" w:rsidRPr="00000000" w14:paraId="00000113">
      <w:pPr>
        <w:pageBreakBefore w:val="0"/>
        <w:jc w:val="both"/>
        <w:rPr/>
      </w:pPr>
      <w:r w:rsidDel="00000000" w:rsidR="00000000" w:rsidRPr="00000000">
        <w:rPr>
          <w:rtl w:val="0"/>
        </w:rPr>
      </w:r>
    </w:p>
    <w:p w:rsidR="00000000" w:rsidDel="00000000" w:rsidP="00000000" w:rsidRDefault="00000000" w:rsidRPr="00000000" w14:paraId="00000114">
      <w:pPr>
        <w:jc w:val="center"/>
        <w:rPr/>
      </w:pPr>
      <w:r w:rsidDel="00000000" w:rsidR="00000000" w:rsidRPr="00000000">
        <w:rPr/>
        <w:drawing>
          <wp:inline distB="114300" distT="114300" distL="114300" distR="114300">
            <wp:extent cx="5664605" cy="2290763"/>
            <wp:effectExtent b="0" l="0" r="0" t="0"/>
            <wp:docPr id="17" name="image12.jpg"/>
            <a:graphic>
              <a:graphicData uri="http://schemas.openxmlformats.org/drawingml/2006/picture">
                <pic:pic>
                  <pic:nvPicPr>
                    <pic:cNvPr id="0" name="image12.jpg"/>
                    <pic:cNvPicPr preferRelativeResize="0"/>
                  </pic:nvPicPr>
                  <pic:blipFill>
                    <a:blip r:embed="rId18"/>
                    <a:srcRect b="0" l="1827" r="0" t="0"/>
                    <a:stretch>
                      <a:fillRect/>
                    </a:stretch>
                  </pic:blipFill>
                  <pic:spPr>
                    <a:xfrm>
                      <a:off x="0" y="0"/>
                      <a:ext cx="5664605" cy="2290763"/>
                    </a:xfrm>
                    <a:prstGeom prst="rect"/>
                    <a:ln/>
                  </pic:spPr>
                </pic:pic>
              </a:graphicData>
            </a:graphic>
          </wp:inline>
        </w:drawing>
      </w:r>
      <w:r w:rsidDel="00000000" w:rsidR="00000000" w:rsidRPr="00000000">
        <w:rPr>
          <w:sz w:val="22"/>
          <w:szCs w:val="22"/>
          <w:rtl w:val="0"/>
        </w:rPr>
        <w:t xml:space="preserve">Table 6: SDV of Other Typical Countries 2013</w:t>
      </w:r>
      <w:r w:rsidDel="00000000" w:rsidR="00000000" w:rsidRPr="00000000">
        <w:rPr>
          <w:rtl w:val="0"/>
        </w:rPr>
      </w:r>
    </w:p>
    <w:p w:rsidR="00000000" w:rsidDel="00000000" w:rsidP="00000000" w:rsidRDefault="00000000" w:rsidRPr="00000000" w14:paraId="00000115">
      <w:pPr>
        <w:pageBreakBefore w:val="0"/>
        <w:jc w:val="center"/>
        <w:rPr>
          <w:sz w:val="22"/>
          <w:szCs w:val="22"/>
        </w:rPr>
      </w:pPr>
      <w:r w:rsidDel="00000000" w:rsidR="00000000" w:rsidRPr="00000000">
        <w:rPr>
          <w:rtl w:val="0"/>
        </w:rPr>
      </w:r>
    </w:p>
    <w:p w:rsidR="00000000" w:rsidDel="00000000" w:rsidP="00000000" w:rsidRDefault="00000000" w:rsidRPr="00000000" w14:paraId="00000116">
      <w:pPr>
        <w:pageBreakBefore w:val="0"/>
        <w:jc w:val="center"/>
        <w:rPr/>
      </w:pPr>
      <w:r w:rsidDel="00000000" w:rsidR="00000000" w:rsidRPr="00000000">
        <w:rPr>
          <w:rtl w:val="0"/>
        </w:rPr>
      </w:r>
    </w:p>
    <w:p w:rsidR="00000000" w:rsidDel="00000000" w:rsidP="00000000" w:rsidRDefault="00000000" w:rsidRPr="00000000" w14:paraId="00000117">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118">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19">
      <w:pPr>
        <w:pageBreakBefore w:val="0"/>
        <w:jc w:val="both"/>
        <w:rPr/>
      </w:pPr>
      <w:r w:rsidDel="00000000" w:rsidR="00000000" w:rsidRPr="00000000">
        <w:rPr>
          <w:rtl w:val="0"/>
        </w:rPr>
      </w:r>
    </w:p>
    <w:p w:rsidR="00000000" w:rsidDel="00000000" w:rsidP="00000000" w:rsidRDefault="00000000" w:rsidRPr="00000000" w14:paraId="0000011A">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2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ageBreakBefore w:val="0"/>
        <w:jc w:val="center"/>
        <w:rPr/>
      </w:pPr>
      <w:r w:rsidDel="00000000" w:rsidR="00000000" w:rsidRPr="00000000">
        <w:rPr>
          <w:rtl w:val="0"/>
        </w:rPr>
      </w:r>
    </w:p>
    <w:p w:rsidR="00000000" w:rsidDel="00000000" w:rsidP="00000000" w:rsidRDefault="00000000" w:rsidRPr="00000000" w14:paraId="0000011C">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11D">
      <w:pPr>
        <w:pageBreakBefore w:val="0"/>
        <w:jc w:val="both"/>
        <w:rPr/>
      </w:pPr>
      <w:r w:rsidDel="00000000" w:rsidR="00000000" w:rsidRPr="00000000">
        <w:rPr>
          <w:rtl w:val="0"/>
        </w:rPr>
        <w:t xml:space="preserve"> </w:t>
      </w:r>
    </w:p>
    <w:p w:rsidR="00000000" w:rsidDel="00000000" w:rsidP="00000000" w:rsidRDefault="00000000" w:rsidRPr="00000000" w14:paraId="0000011E">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1F">
      <w:pPr>
        <w:pageBreakBefore w:val="0"/>
        <w:jc w:val="both"/>
        <w:rPr/>
      </w:pPr>
      <w:r w:rsidDel="00000000" w:rsidR="00000000" w:rsidRPr="00000000">
        <w:rPr>
          <w:rtl w:val="0"/>
        </w:rPr>
        <w:t xml:space="preserve"> </w:t>
      </w:r>
    </w:p>
    <w:p w:rsidR="00000000" w:rsidDel="00000000" w:rsidP="00000000" w:rsidRDefault="00000000" w:rsidRPr="00000000" w14:paraId="00000120">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21">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26"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25">
      <w:pPr>
        <w:pageBreakBefore w:val="0"/>
        <w:rPr/>
      </w:pPr>
      <w:r w:rsidDel="00000000" w:rsidR="00000000" w:rsidRPr="00000000">
        <w:rPr>
          <w:rtl w:val="0"/>
        </w:rPr>
        <w:t xml:space="preserve"> </w:t>
      </w:r>
    </w:p>
    <w:p w:rsidR="00000000" w:rsidDel="00000000" w:rsidP="00000000" w:rsidRDefault="00000000" w:rsidRPr="00000000" w14:paraId="00000126">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29">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2C">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2D">
      <w:pPr>
        <w:pageBreakBefore w:val="0"/>
        <w:jc w:val="both"/>
        <w:rPr/>
      </w:pPr>
      <w:r w:rsidDel="00000000" w:rsidR="00000000" w:rsidRPr="00000000">
        <w:rPr>
          <w:rtl w:val="0"/>
        </w:rPr>
      </w:r>
    </w:p>
    <w:tbl>
      <w:tblPr>
        <w:tblStyle w:val="Table8"/>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E">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F">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54">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55">
      <w:pPr>
        <w:pageBreakBefore w:val="0"/>
        <w:jc w:val="center"/>
        <w:rPr/>
      </w:pPr>
      <w:r w:rsidDel="00000000" w:rsidR="00000000" w:rsidRPr="00000000">
        <w:rPr>
          <w:rtl w:val="0"/>
        </w:rPr>
      </w:r>
    </w:p>
    <w:p w:rsidR="00000000" w:rsidDel="00000000" w:rsidP="00000000" w:rsidRDefault="00000000" w:rsidRPr="00000000" w14:paraId="00000156">
      <w:pPr>
        <w:pageBreakBefore w:val="0"/>
        <w:jc w:val="both"/>
        <w:rPr/>
      </w:pPr>
      <w:r w:rsidDel="00000000" w:rsidR="00000000" w:rsidRPr="00000000">
        <w:rPr>
          <w:rtl w:val="0"/>
        </w:rPr>
        <w:t xml:space="preserve">Figures 4a-4b show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Spain</w:t>
      </w:r>
      <w:r w:rsidDel="00000000" w:rsidR="00000000" w:rsidRPr="00000000">
        <w:rPr>
          <w:rtl w:val="0"/>
        </w:rPr>
        <w:t xml:space="preserve"> in 2018 and 2021. We can see that for different percentages of heuristic total export growth, the ECIs of </w:t>
      </w:r>
      <w:r w:rsidDel="00000000" w:rsidR="00000000" w:rsidRPr="00000000">
        <w:rPr>
          <w:rtl w:val="0"/>
        </w:rPr>
        <w:t xml:space="preserve">Spain</w:t>
      </w:r>
      <w:r w:rsidDel="00000000" w:rsidR="00000000" w:rsidRPr="00000000">
        <w:rPr>
          <w:rtl w:val="0"/>
        </w:rPr>
        <w:t xml:space="preserve"> actually have different increments. </w:t>
      </w:r>
    </w:p>
    <w:p w:rsidR="00000000" w:rsidDel="00000000" w:rsidP="00000000" w:rsidRDefault="00000000" w:rsidRPr="00000000" w14:paraId="00000157">
      <w:pPr>
        <w:pageBreakBefore w:val="0"/>
        <w:jc w:val="both"/>
        <w:rPr/>
      </w:pPr>
      <w:r w:rsidDel="00000000" w:rsidR="00000000" w:rsidRPr="00000000">
        <w:rPr>
          <w:rtl w:val="0"/>
        </w:rPr>
        <w:t xml:space="preserve"> </w:t>
      </w:r>
    </w:p>
    <w:p w:rsidR="00000000" w:rsidDel="00000000" w:rsidP="00000000" w:rsidRDefault="00000000" w:rsidRPr="00000000" w14:paraId="00000158">
      <w:pPr>
        <w:pageBreakBefore w:val="0"/>
        <w:jc w:val="both"/>
        <w:rPr/>
      </w:pPr>
      <w:r w:rsidDel="00000000" w:rsidR="00000000" w:rsidRPr="00000000">
        <w:rPr>
          <w:rtl w:val="0"/>
        </w:rPr>
        <w:t xml:space="preserve">For further suggestions on </w:t>
      </w:r>
      <w:r w:rsidDel="00000000" w:rsidR="00000000" w:rsidRPr="00000000">
        <w:rPr>
          <w:rtl w:val="0"/>
        </w:rPr>
        <w:t xml:space="preserve">Spain</w:t>
      </w:r>
      <w:r w:rsidDel="00000000" w:rsidR="00000000" w:rsidRPr="00000000">
        <w:rPr>
          <w:rtl w:val="0"/>
        </w:rPr>
        <w:t xml:space="preserve">’s development in the future, we also offer the optimization result based on its export data in 2018. Below is the economic panel for </w:t>
      </w:r>
      <w:r w:rsidDel="00000000" w:rsidR="00000000" w:rsidRPr="00000000">
        <w:rPr>
          <w:rtl w:val="0"/>
        </w:rPr>
        <w:t xml:space="preserve">Spain</w:t>
      </w:r>
      <w:r w:rsidDel="00000000" w:rsidR="00000000" w:rsidRPr="00000000">
        <w:rPr>
          <w:rtl w:val="0"/>
        </w:rPr>
        <w:t xml:space="preserve"> in 2018. A more detailed numerical representation of the portfolio is shown in Table 8b. </w:t>
      </w:r>
    </w:p>
    <w:p w:rsidR="00000000" w:rsidDel="00000000" w:rsidP="00000000" w:rsidRDefault="00000000" w:rsidRPr="00000000" w14:paraId="00000159">
      <w:pPr>
        <w:pageBreakBefore w:val="0"/>
        <w:jc w:val="both"/>
        <w:rPr/>
      </w:pPr>
      <w:r w:rsidDel="00000000" w:rsidR="00000000" w:rsidRPr="00000000">
        <w:rPr>
          <w:b w:val="1"/>
          <w:bCs w:val="1"/>
        </w:rPr>
        <w:drawing>
          <wp:inline distB="114300" distT="114300" distL="114300" distR="114300">
            <wp:extent cx="5240655" cy="1784608"/>
            <wp:effectExtent b="0" l="0" r="0" t="0"/>
            <wp:docPr id="19"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240655" cy="1784608"/>
                    </a:xfrm>
                    <a:prstGeom prst="rect"/>
                    <a:ln/>
                  </pic:spPr>
                </pic:pic>
              </a:graphicData>
            </a:graphic>
          </wp:inline>
        </w:drawing>
      </w:r>
      <w:r w:rsidDel="00000000" w:rsidR="00000000" w:rsidRPr="00000000">
        <w:rPr/>
        <w:drawing>
          <wp:inline distB="114300" distT="114300" distL="114300" distR="114300">
            <wp:extent cx="5348288" cy="2037443"/>
            <wp:effectExtent b="0" l="0" r="0" t="0"/>
            <wp:docPr id="34"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348288" cy="2037443"/>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jc w:val="center"/>
        <w:rPr/>
      </w:pPr>
      <w:r w:rsidDel="00000000" w:rsidR="00000000" w:rsidRPr="00000000">
        <w:rPr>
          <w:sz w:val="22"/>
          <w:szCs w:val="22"/>
          <w:rtl w:val="0"/>
        </w:rPr>
        <w:t xml:space="preserve">Figure 4a. Greedy-Based ECI Improvement Results of </w:t>
      </w:r>
      <w:r w:rsidDel="00000000" w:rsidR="00000000" w:rsidRPr="00000000">
        <w:rPr>
          <w:sz w:val="22"/>
          <w:szCs w:val="22"/>
          <w:rtl w:val="0"/>
        </w:rPr>
        <w:t xml:space="preserve">Spain</w:t>
      </w:r>
      <w:r w:rsidDel="00000000" w:rsidR="00000000" w:rsidRPr="00000000">
        <w:rPr>
          <w:sz w:val="22"/>
          <w:szCs w:val="22"/>
          <w:rtl w:val="0"/>
        </w:rPr>
        <w:t xml:space="preserve"> with Different Budgets (2018)</w:t>
      </w:r>
      <w:r w:rsidDel="00000000" w:rsidR="00000000" w:rsidRPr="00000000">
        <w:rPr>
          <w:rtl w:val="0"/>
        </w:rPr>
      </w:r>
    </w:p>
    <w:p w:rsidR="00000000" w:rsidDel="00000000" w:rsidP="00000000" w:rsidRDefault="00000000" w:rsidRPr="00000000" w14:paraId="0000015B">
      <w:pPr>
        <w:jc w:val="center"/>
        <w:rPr/>
      </w:pPr>
      <w:r w:rsidDel="00000000" w:rsidR="00000000" w:rsidRPr="00000000">
        <w:rPr>
          <w:rtl w:val="0"/>
        </w:rPr>
      </w:r>
    </w:p>
    <w:p w:rsidR="00000000" w:rsidDel="00000000" w:rsidP="00000000" w:rsidRDefault="00000000" w:rsidRPr="00000000" w14:paraId="0000015C">
      <w:pPr>
        <w:pageBreakBefore w:val="0"/>
        <w:jc w:val="center"/>
        <w:rPr>
          <w:sz w:val="22"/>
          <w:szCs w:val="22"/>
        </w:rPr>
      </w:pPr>
      <w:r w:rsidDel="00000000" w:rsidR="00000000" w:rsidRPr="00000000">
        <w:rPr/>
        <w:drawing>
          <wp:inline distB="114300" distT="114300" distL="114300" distR="114300">
            <wp:extent cx="5731200" cy="1866900"/>
            <wp:effectExtent b="0" l="0" r="0" t="0"/>
            <wp:docPr id="33"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731200" cy="1866900"/>
                    </a:xfrm>
                    <a:prstGeom prst="rect"/>
                    <a:ln/>
                  </pic:spPr>
                </pic:pic>
              </a:graphicData>
            </a:graphic>
          </wp:inline>
        </w:drawing>
      </w:r>
      <w:r w:rsidDel="00000000" w:rsidR="00000000" w:rsidRPr="00000000">
        <w:rPr>
          <w:sz w:val="22"/>
          <w:szCs w:val="22"/>
          <w:rtl w:val="0"/>
        </w:rPr>
        <w:t xml:space="preserve">Table 8a. Portfolio of </w:t>
      </w:r>
      <w:r w:rsidDel="00000000" w:rsidR="00000000" w:rsidRPr="00000000">
        <w:rPr>
          <w:sz w:val="22"/>
          <w:szCs w:val="22"/>
          <w:rtl w:val="0"/>
        </w:rPr>
        <w:t xml:space="preserve">Spain</w:t>
      </w:r>
      <w:r w:rsidDel="00000000" w:rsidR="00000000" w:rsidRPr="00000000">
        <w:rPr>
          <w:sz w:val="22"/>
          <w:szCs w:val="22"/>
          <w:rtl w:val="0"/>
        </w:rPr>
        <w:t xml:space="preserve"> (2018)</w:t>
      </w:r>
    </w:p>
    <w:p w:rsidR="00000000" w:rsidDel="00000000" w:rsidP="00000000" w:rsidRDefault="00000000" w:rsidRPr="00000000" w14:paraId="0000015D">
      <w:pPr>
        <w:pageBreakBefore w:val="0"/>
        <w:rPr/>
      </w:pP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t xml:space="preserve">To compare with the performance in 2018, we also re-examine suggested strategies f</w:t>
      </w:r>
      <w:r w:rsidDel="00000000" w:rsidR="00000000" w:rsidRPr="00000000">
        <w:rPr>
          <w:rtl w:val="0"/>
        </w:rPr>
        <w:t xml:space="preserve">or 2021</w:t>
      </w:r>
      <w:r w:rsidDel="00000000" w:rsidR="00000000" w:rsidRPr="00000000">
        <w:rPr>
          <w:rtl w:val="0"/>
        </w:rPr>
        <w:t xml:space="preserve">. </w:t>
      </w:r>
      <w:r w:rsidDel="00000000" w:rsidR="00000000" w:rsidRPr="00000000">
        <w:rPr>
          <w:rtl w:val="0"/>
        </w:rPr>
        <w:t xml:space="preserve">For 2021, </w:t>
      </w:r>
      <w:r w:rsidDel="00000000" w:rsidR="00000000" w:rsidRPr="00000000">
        <w:rPr>
          <w:rtl w:val="0"/>
        </w:rPr>
        <w:t xml:space="preserve">a 5 percent increase in export would emphasize chemicals, followed by chemical manufacturing, textile, transportation, and daily instruments for 10, 15, and 20 percent export growth respectively. These strategies go in line with the suggested trajectories based on ECI. . A more detailed numerical representation of the portfolio for </w:t>
      </w:r>
      <w:r w:rsidDel="00000000" w:rsidR="00000000" w:rsidRPr="00000000">
        <w:rPr>
          <w:rtl w:val="0"/>
        </w:rPr>
        <w:t xml:space="preserve">Spain</w:t>
      </w:r>
      <w:r w:rsidDel="00000000" w:rsidR="00000000" w:rsidRPr="00000000">
        <w:rPr>
          <w:rtl w:val="0"/>
        </w:rPr>
        <w:t xml:space="preserve"> is shown in Table 8b.</w:t>
      </w:r>
    </w:p>
    <w:p w:rsidR="00000000" w:rsidDel="00000000" w:rsidP="00000000" w:rsidRDefault="00000000" w:rsidRPr="00000000" w14:paraId="0000015F">
      <w:pPr>
        <w:pageBreakBefore w:val="0"/>
        <w:rPr>
          <w:sz w:val="22"/>
          <w:szCs w:val="22"/>
        </w:rPr>
      </w:pPr>
      <w:r w:rsidDel="00000000" w:rsidR="00000000" w:rsidRPr="00000000">
        <w:rPr/>
        <w:drawing>
          <wp:inline distB="114300" distT="114300" distL="114300" distR="114300">
            <wp:extent cx="5731200" cy="2095500"/>
            <wp:effectExtent b="0" l="0" r="0" t="0"/>
            <wp:docPr id="12"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center"/>
        <w:rPr>
          <w:sz w:val="22"/>
          <w:szCs w:val="22"/>
        </w:rPr>
      </w:pPr>
      <w:r w:rsidDel="00000000" w:rsidR="00000000" w:rsidRPr="00000000">
        <w:rPr>
          <w:sz w:val="22"/>
          <w:szCs w:val="22"/>
        </w:rPr>
        <w:drawing>
          <wp:inline distB="114300" distT="114300" distL="114300" distR="114300">
            <wp:extent cx="5731200" cy="1778000"/>
            <wp:effectExtent b="0" l="0" r="0" t="0"/>
            <wp:docPr id="32"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jc w:val="center"/>
        <w:rPr>
          <w:sz w:val="22"/>
          <w:szCs w:val="22"/>
        </w:rPr>
      </w:pPr>
      <w:r w:rsidDel="00000000" w:rsidR="00000000" w:rsidRPr="00000000">
        <w:rPr>
          <w:sz w:val="22"/>
          <w:szCs w:val="22"/>
          <w:rtl w:val="0"/>
        </w:rPr>
        <w:t xml:space="preserve">Figure 4b. Greedy-Based ECI Improvement Results of </w:t>
      </w:r>
      <w:r w:rsidDel="00000000" w:rsidR="00000000" w:rsidRPr="00000000">
        <w:rPr>
          <w:sz w:val="22"/>
          <w:szCs w:val="22"/>
          <w:rtl w:val="0"/>
        </w:rPr>
        <w:t xml:space="preserve">Spain</w:t>
      </w:r>
      <w:r w:rsidDel="00000000" w:rsidR="00000000" w:rsidRPr="00000000">
        <w:rPr>
          <w:sz w:val="22"/>
          <w:szCs w:val="22"/>
          <w:rtl w:val="0"/>
        </w:rPr>
        <w:t xml:space="preserve"> with Different Budgets (2021)</w:t>
      </w:r>
    </w:p>
    <w:p w:rsidR="00000000" w:rsidDel="00000000" w:rsidP="00000000" w:rsidRDefault="00000000" w:rsidRPr="00000000" w14:paraId="00000162">
      <w:pPr>
        <w:jc w:val="left"/>
        <w:rPr>
          <w:sz w:val="22"/>
          <w:szCs w:val="22"/>
        </w:rPr>
      </w:pPr>
      <w:r w:rsidDel="00000000" w:rsidR="00000000" w:rsidRPr="00000000">
        <w:rPr>
          <w:rtl w:val="0"/>
        </w:rPr>
      </w:r>
    </w:p>
    <w:tbl>
      <w:tblPr>
        <w:tblStyle w:val="Table9"/>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63">
            <w:pPr>
              <w:jc w:val="center"/>
              <w:rPr>
                <w:sz w:val="20"/>
                <w:szCs w:val="20"/>
              </w:rPr>
            </w:pPr>
            <w:r w:rsidDel="00000000" w:rsidR="00000000" w:rsidRPr="00000000">
              <w:rPr>
                <w:b w:val="1"/>
                <w:bCs w:val="1"/>
                <w:sz w:val="20"/>
                <w:szCs w:val="20"/>
                <w:rtl w:val="0"/>
              </w:rPr>
              <w:t xml:space="preserve">Spain</w:t>
            </w:r>
            <w:r w:rsidDel="00000000" w:rsidR="00000000" w:rsidRPr="00000000">
              <w:rPr>
                <w:b w:val="1"/>
                <w:bCs w:val="1"/>
                <w:sz w:val="20"/>
                <w:szCs w:val="20"/>
                <w:rtl w:val="0"/>
              </w:rPr>
              <w:t xml:space="preserve"> (2021)</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69">
            <w:pPr>
              <w:jc w:val="center"/>
              <w:rPr>
                <w:sz w:val="20"/>
                <w:szCs w:val="20"/>
              </w:rPr>
            </w:pPr>
            <w:r w:rsidDel="00000000" w:rsidR="00000000" w:rsidRPr="00000000">
              <w:rPr>
                <w:b w:val="1"/>
                <w:bCs w:val="1"/>
                <w:sz w:val="20"/>
                <w:szCs w:val="20"/>
                <w:rtl w:val="0"/>
              </w:rPr>
              <w:t xml:space="preserve">0.36</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Energy Drilling and Mining </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75">
            <w:pPr>
              <w:widowControl w:val="0"/>
              <w:spacing w:line="276" w:lineRule="auto"/>
              <w:rPr>
                <w:sz w:val="18"/>
                <w:szCs w:val="18"/>
              </w:rPr>
            </w:pPr>
            <w:r w:rsidDel="00000000" w:rsidR="00000000" w:rsidRPr="00000000">
              <w:rPr>
                <w:sz w:val="20"/>
                <w:szCs w:val="20"/>
                <w:rtl w:val="0"/>
              </w:rPr>
              <w:t xml:space="preserve">58581939363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76">
            <w:pPr>
              <w:widowControl w:val="0"/>
              <w:spacing w:line="276" w:lineRule="auto"/>
              <w:rPr>
                <w:sz w:val="18"/>
                <w:szCs w:val="18"/>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Wood Products </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1038089922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7A">
            <w:pPr>
              <w:widowControl w:val="0"/>
              <w:spacing w:line="276" w:lineRule="auto"/>
              <w:rPr>
                <w:sz w:val="18"/>
                <w:szCs w:val="18"/>
              </w:rPr>
            </w:pPr>
            <w:r w:rsidDel="00000000" w:rsidR="00000000" w:rsidRPr="00000000">
              <w:rPr>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7B">
            <w:pPr>
              <w:widowControl w:val="0"/>
              <w:spacing w:line="276" w:lineRule="auto"/>
              <w:rPr>
                <w:sz w:val="18"/>
                <w:szCs w:val="18"/>
              </w:rPr>
            </w:pPr>
            <w:r w:rsidDel="00000000" w:rsidR="00000000" w:rsidRPr="00000000">
              <w:rPr>
                <w:sz w:val="20"/>
                <w:szCs w:val="20"/>
                <w:rtl w:val="0"/>
              </w:rPr>
              <w:t xml:space="preserve">26934224994</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Textile </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Arial" w:cs="Arial" w:eastAsia="Arial" w:hAnsi="Arial"/>
                <w:sz w:val="20"/>
                <w:szCs w:val="20"/>
                <w:rtl w:val="0"/>
              </w:rPr>
              <w:t xml:space="preserve">1.</w:t>
            </w:r>
            <w:r w:rsidDel="00000000" w:rsidR="00000000" w:rsidRPr="00000000">
              <w:rPr>
                <w:sz w:val="20"/>
                <w:szCs w:val="20"/>
                <w:rtl w:val="0"/>
              </w:rPr>
              <w:t xml:space="preserve">6609E</w:t>
            </w: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4.0121E+10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7F">
            <w:pPr>
              <w:widowControl w:val="0"/>
              <w:spacing w:line="276" w:lineRule="auto"/>
              <w:rPr>
                <w:sz w:val="18"/>
                <w:szCs w:val="18"/>
              </w:rPr>
            </w:pPr>
            <w:r w:rsidDel="00000000" w:rsidR="00000000" w:rsidRPr="00000000">
              <w:rPr>
                <w:sz w:val="20"/>
                <w:szCs w:val="20"/>
                <w:rtl w:val="0"/>
              </w:rPr>
              <w:t xml:space="preserve">14645484841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80">
            <w:pPr>
              <w:widowControl w:val="0"/>
              <w:spacing w:line="276" w:lineRule="auto"/>
              <w:rPr>
                <w:sz w:val="18"/>
                <w:szCs w:val="18"/>
              </w:rPr>
            </w:pPr>
            <w:r w:rsidDel="00000000" w:rsidR="00000000" w:rsidRPr="00000000">
              <w:rPr>
                <w:sz w:val="20"/>
                <w:szCs w:val="20"/>
                <w:rtl w:val="0"/>
              </w:rPr>
              <w:t xml:space="preserve">33667781243</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4">
            <w:pPr>
              <w:widowControl w:val="0"/>
              <w:spacing w:line="276" w:lineRule="auto"/>
              <w:rPr>
                <w:sz w:val="18"/>
                <w:szCs w:val="18"/>
              </w:rPr>
            </w:pPr>
            <w:r w:rsidDel="00000000" w:rsidR="00000000" w:rsidRPr="00000000">
              <w:rPr>
                <w:sz w:val="20"/>
                <w:szCs w:val="20"/>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85">
            <w:pPr>
              <w:widowControl w:val="0"/>
              <w:spacing w:line="276" w:lineRule="auto"/>
              <w:rPr>
                <w:sz w:val="18"/>
                <w:szCs w:val="18"/>
              </w:rPr>
            </w:pPr>
            <w:r w:rsidDel="00000000" w:rsidR="00000000" w:rsidRPr="00000000">
              <w:rPr>
                <w:sz w:val="20"/>
                <w:szCs w:val="20"/>
                <w:rtl w:val="0"/>
              </w:rPr>
              <w:t xml:space="preserve">20200668746</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Transportation</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2076179843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7294685936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89">
            <w:pPr>
              <w:widowControl w:val="0"/>
              <w:spacing w:line="276" w:lineRule="auto"/>
              <w:rPr>
                <w:sz w:val="18"/>
                <w:szCs w:val="18"/>
              </w:rPr>
            </w:pPr>
            <w:r w:rsidDel="00000000" w:rsidR="00000000" w:rsidRPr="00000000">
              <w:rPr>
                <w:sz w:val="20"/>
                <w:szCs w:val="20"/>
                <w:rtl w:val="0"/>
              </w:rPr>
              <w:t xml:space="preserve">9763656560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8A">
            <w:pPr>
              <w:widowControl w:val="0"/>
              <w:spacing w:line="276" w:lineRule="auto"/>
              <w:rPr>
                <w:sz w:val="18"/>
                <w:szCs w:val="18"/>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1.1419E+10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8D">
            <w:pPr>
              <w:widowControl w:val="0"/>
              <w:spacing w:line="276" w:lineRule="auto"/>
              <w:rPr>
                <w:b w:val="1"/>
                <w:bCs w:val="1"/>
                <w:sz w:val="20"/>
                <w:szCs w:val="20"/>
              </w:rPr>
            </w:pPr>
            <w:r w:rsidDel="00000000" w:rsidR="00000000" w:rsidRPr="00000000">
              <w:rPr>
                <w:b w:val="1"/>
                <w:bCs w:val="1"/>
                <w:sz w:val="20"/>
                <w:szCs w:val="20"/>
                <w:rtl w:val="0"/>
              </w:rPr>
              <w:t xml:space="preserve">6.2005E+10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8E">
            <w:pPr>
              <w:widowControl w:val="0"/>
              <w:spacing w:line="276" w:lineRule="auto"/>
              <w:rPr>
                <w:b w:val="1"/>
                <w:bCs w:val="1"/>
                <w:sz w:val="20"/>
                <w:szCs w:val="20"/>
              </w:rPr>
            </w:pPr>
            <w:r w:rsidDel="00000000" w:rsidR="00000000" w:rsidRPr="00000000">
              <w:rPr>
                <w:b w:val="1"/>
                <w:bCs w:val="1"/>
                <w:sz w:val="20"/>
                <w:szCs w:val="20"/>
                <w:rtl w:val="0"/>
              </w:rPr>
              <w:t xml:space="preserve">63463767643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ed" w:val="clear"/>
            <w:tcMar>
              <w:top w:w="20.0" w:type="dxa"/>
              <w:left w:w="20.0" w:type="dxa"/>
              <w:bottom w:w="100.0" w:type="dxa"/>
              <w:right w:w="20.0" w:type="dxa"/>
            </w:tcMar>
            <w:vAlign w:val="bottom"/>
          </w:tcPr>
          <w:p w:rsidR="00000000" w:rsidDel="00000000" w:rsidP="00000000" w:rsidRDefault="00000000" w:rsidRPr="00000000" w14:paraId="0000018F">
            <w:pPr>
              <w:widowControl w:val="0"/>
              <w:spacing w:line="276" w:lineRule="auto"/>
              <w:rPr>
                <w:b w:val="1"/>
                <w:bCs w:val="1"/>
                <w:sz w:val="20"/>
                <w:szCs w:val="20"/>
              </w:rPr>
            </w:pPr>
            <w:r w:rsidDel="00000000" w:rsidR="00000000" w:rsidRPr="00000000">
              <w:rPr>
                <w:b w:val="1"/>
                <w:bCs w:val="1"/>
                <w:sz w:val="20"/>
                <w:szCs w:val="20"/>
                <w:rtl w:val="0"/>
              </w:rPr>
              <w:t xml:space="preserve">16833890621</w:t>
            </w:r>
            <w:r w:rsidDel="00000000" w:rsidR="00000000" w:rsidRPr="00000000">
              <w:rPr>
                <w:rtl w:val="0"/>
              </w:rPr>
            </w:r>
          </w:p>
        </w:tc>
      </w:tr>
    </w:tbl>
    <w:p w:rsidR="00000000" w:rsidDel="00000000" w:rsidP="00000000" w:rsidRDefault="00000000" w:rsidRPr="00000000" w14:paraId="00000190">
      <w:pPr>
        <w:jc w:val="center"/>
        <w:rPr>
          <w:sz w:val="22"/>
          <w:szCs w:val="22"/>
        </w:rPr>
      </w:pPr>
      <w:r w:rsidDel="00000000" w:rsidR="00000000" w:rsidRPr="00000000">
        <w:rPr>
          <w:sz w:val="22"/>
          <w:szCs w:val="22"/>
          <w:rtl w:val="0"/>
        </w:rPr>
        <w:t xml:space="preserve">Table 8b. Portfolio of </w:t>
      </w:r>
      <w:r w:rsidDel="00000000" w:rsidR="00000000" w:rsidRPr="00000000">
        <w:rPr>
          <w:sz w:val="22"/>
          <w:szCs w:val="22"/>
          <w:rtl w:val="0"/>
        </w:rPr>
        <w:t xml:space="preserve">Spain</w:t>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191">
      <w:pPr>
        <w:pageBreakBefore w:val="0"/>
        <w:spacing w:after="240" w:before="24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192">
      <w:pPr>
        <w:pageBreakBefore w:val="0"/>
        <w:spacing w:after="240" w:before="240" w:line="276" w:lineRule="auto"/>
        <w:rPr/>
      </w:pPr>
      <w:r w:rsidDel="00000000" w:rsidR="00000000" w:rsidRPr="00000000">
        <w:rPr>
          <w:rtl w:val="0"/>
        </w:rPr>
        <w:t xml:space="preserve">In the following section, our broad aim is to understand how sensitive </w:t>
      </w:r>
      <w:r w:rsidDel="00000000" w:rsidR="00000000" w:rsidRPr="00000000">
        <w:rPr>
          <w:rtl w:val="0"/>
        </w:rPr>
        <w:t xml:space="preserve">Spain</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193">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194">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95">
      <w:pPr>
        <w:jc w:val="both"/>
        <w:rPr>
          <w:b w:val="1"/>
          <w:bCs w:val="1"/>
        </w:rPr>
      </w:pPr>
      <w:r w:rsidDel="00000000" w:rsidR="00000000" w:rsidRPr="00000000">
        <w:rPr>
          <w:b w:val="1"/>
          <w:bCs w:val="1"/>
        </w:rPr>
        <w:drawing>
          <wp:inline distB="114300" distT="114300" distL="114300" distR="114300">
            <wp:extent cx="5310188" cy="2519630"/>
            <wp:effectExtent b="0" l="0" r="0" t="0"/>
            <wp:docPr id="18" name="image2.jpg"/>
            <a:graphic>
              <a:graphicData uri="http://schemas.openxmlformats.org/drawingml/2006/picture">
                <pic:pic>
                  <pic:nvPicPr>
                    <pic:cNvPr id="0" name="image2.jpg"/>
                    <pic:cNvPicPr preferRelativeResize="0"/>
                  </pic:nvPicPr>
                  <pic:blipFill>
                    <a:blip r:embed="rId26"/>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197">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w:t>
      </w:r>
      <w:r w:rsidDel="00000000" w:rsidR="00000000" w:rsidRPr="00000000">
        <w:rPr>
          <w:rtl w:val="0"/>
        </w:rPr>
        <w:t xml:space="preserve">shocking</w:t>
      </w:r>
      <w:r w:rsidDel="00000000" w:rsidR="00000000" w:rsidRPr="00000000">
        <w:rPr>
          <w:rtl w:val="0"/>
        </w:rPr>
        <w:t xml:space="preserve">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98">
      <w:pPr>
        <w:pageBreakBefore w:val="0"/>
        <w:spacing w:after="240" w:before="240" w:line="27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9">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9A">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9B">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rsidR="00000000" w:rsidDel="00000000" w:rsidP="00000000" w:rsidRDefault="00000000" w:rsidRPr="00000000" w14:paraId="0000019C">
      <w:pPr>
        <w:pageBreakBefore w:val="0"/>
        <w:spacing w:line="276" w:lineRule="auto"/>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9D">
      <w:pPr>
        <w:pageBreakBefore w:val="0"/>
        <w:spacing w:line="276" w:lineRule="auto"/>
        <w:rPr/>
      </w:pPr>
      <w:r w:rsidDel="00000000" w:rsidR="00000000" w:rsidRPr="00000000">
        <w:rPr>
          <w:rtl w:val="0"/>
        </w:rPr>
      </w:r>
    </w:p>
    <w:p w:rsidR="00000000" w:rsidDel="00000000" w:rsidP="00000000" w:rsidRDefault="00000000" w:rsidRPr="00000000" w14:paraId="0000019E">
      <w:pPr>
        <w:pageBreakBefore w:val="0"/>
        <w:jc w:val="both"/>
        <w:rPr/>
      </w:pPr>
      <w:r w:rsidDel="00000000" w:rsidR="00000000" w:rsidRPr="00000000">
        <w:rPr/>
        <w:drawing>
          <wp:inline distB="114300" distT="114300" distL="114300" distR="114300">
            <wp:extent cx="5734050" cy="1739900"/>
            <wp:effectExtent b="0" l="0" r="0" t="0"/>
            <wp:docPr id="3" name="image3.jpg"/>
            <a:graphic>
              <a:graphicData uri="http://schemas.openxmlformats.org/drawingml/2006/picture">
                <pic:pic>
                  <pic:nvPicPr>
                    <pic:cNvPr id="0" name="image3.jpg"/>
                    <pic:cNvPicPr preferRelativeResize="0"/>
                  </pic:nvPicPr>
                  <pic:blipFill>
                    <a:blip r:embed="rId27"/>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jc w:val="center"/>
        <w:rPr>
          <w:b w:val="1"/>
          <w:bCs w:val="1"/>
        </w:rPr>
      </w:pPr>
      <w:r w:rsidDel="00000000" w:rsidR="00000000" w:rsidRPr="00000000">
        <w:rPr>
          <w:sz w:val="22"/>
          <w:szCs w:val="22"/>
          <w:rtl w:val="0"/>
        </w:rPr>
        <w:t xml:space="preserve">Table 9.</w:t>
      </w:r>
      <w:r w:rsidDel="00000000" w:rsidR="00000000" w:rsidRPr="00000000">
        <w:rPr>
          <w:sz w:val="22"/>
          <w:szCs w:val="22"/>
          <w:rtl w:val="0"/>
        </w:rPr>
        <w:t xml:space="preserve"> Sample Incremental SDV Sensitivity for High-Complexity Products (2018)</w:t>
      </w:r>
      <w:r w:rsidDel="00000000" w:rsidR="00000000" w:rsidRPr="00000000">
        <w:rPr>
          <w:rtl w:val="0"/>
        </w:rPr>
      </w:r>
    </w:p>
    <w:p w:rsidR="00000000" w:rsidDel="00000000" w:rsidP="00000000" w:rsidRDefault="00000000" w:rsidRPr="00000000" w14:paraId="000001A0">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A1">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1A2">
      <w:pPr>
        <w:pageBreakBefore w:val="0"/>
        <w:spacing w:line="276" w:lineRule="auto"/>
        <w:rPr/>
      </w:pPr>
      <w:r w:rsidDel="00000000" w:rsidR="00000000" w:rsidRPr="00000000">
        <w:rPr>
          <w:rtl w:val="0"/>
        </w:rPr>
      </w:r>
    </w:p>
    <w:tbl>
      <w:tblPr>
        <w:tblStyle w:val="Table10"/>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A3">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A4">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A5">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A6">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A7">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A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A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AB">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A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AE">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AF">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B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B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B3">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B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B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B7">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B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B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BB">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B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BE">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BF">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C3">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C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C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7">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CB">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C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CE">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CF">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1">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2">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3">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7">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9">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A">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B">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D">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DE">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DF">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1">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2">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3">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5">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6">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7">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EA">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B">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C">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D">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EE">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1EF">
      <w:pPr>
        <w:jc w:val="center"/>
        <w:rPr>
          <w:b w:val="1"/>
          <w:bCs w:val="1"/>
          <w:sz w:val="28"/>
          <w:szCs w:val="28"/>
        </w:rPr>
      </w:pPr>
      <w:r w:rsidDel="00000000" w:rsidR="00000000" w:rsidRPr="00000000">
        <w:rPr>
          <w:sz w:val="22"/>
          <w:szCs w:val="22"/>
          <w:rtl w:val="0"/>
        </w:rPr>
        <w:t xml:space="preserve">Table 10. Sample Contingency Strategy (2019)</w:t>
      </w:r>
      <w:r w:rsidDel="00000000" w:rsidR="00000000" w:rsidRPr="00000000">
        <w:rPr>
          <w:rtl w:val="0"/>
        </w:rPr>
      </w:r>
    </w:p>
    <w:p w:rsidR="00000000" w:rsidDel="00000000" w:rsidP="00000000" w:rsidRDefault="00000000" w:rsidRPr="00000000" w14:paraId="000001F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F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F2">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F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F4">
      <w:pPr>
        <w:pageBreakBefore w:val="0"/>
        <w:jc w:val="both"/>
        <w:rPr/>
      </w:pPr>
      <w:r w:rsidDel="00000000" w:rsidR="00000000" w:rsidRPr="00000000">
        <w:rPr>
          <w:rtl w:val="0"/>
        </w:rPr>
        <w:t xml:space="preserve">We examine </w:t>
      </w:r>
      <w:r w:rsidDel="00000000" w:rsidR="00000000" w:rsidRPr="00000000">
        <w:rPr>
          <w:rtl w:val="0"/>
        </w:rPr>
        <w:t xml:space="preserve">Spain</w:t>
      </w:r>
      <w:r w:rsidDel="00000000" w:rsidR="00000000" w:rsidRPr="00000000">
        <w:rPr>
          <w:rtl w:val="0"/>
        </w:rPr>
        <w:t xml:space="preserve">'s ECI Decremental and Incremental Sensitivity Charts for 2021. An increase in Chemicals will lead to the highest change in ECI, followed by Food and Preparations and Raw Manufacturing. The strong sensitivity effect of manipulating the High Complexity Products category changes from previous years to become lower. For the negative shock cases, Services and Utilities becomes most impactful, a </w:t>
      </w:r>
      <w:r w:rsidDel="00000000" w:rsidR="00000000" w:rsidRPr="00000000">
        <w:rPr>
          <w:rtl w:val="0"/>
        </w:rPr>
        <w:t xml:space="preserve">new trend across the data emerging from the previous year</w:t>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1F5">
      <w:pPr>
        <w:jc w:val="center"/>
        <w:rPr/>
      </w:pPr>
      <w:r w:rsidDel="00000000" w:rsidR="00000000" w:rsidRPr="00000000">
        <w:rPr/>
        <w:drawing>
          <wp:inline distB="114300" distT="114300" distL="114300" distR="114300">
            <wp:extent cx="4945853" cy="1526259"/>
            <wp:effectExtent b="0" l="0" r="0" t="0"/>
            <wp:docPr id="21" name="image28.png"/>
            <a:graphic>
              <a:graphicData uri="http://schemas.openxmlformats.org/drawingml/2006/picture">
                <pic:pic>
                  <pic:nvPicPr>
                    <pic:cNvPr id="0" name="image28.png"/>
                    <pic:cNvPicPr preferRelativeResize="0"/>
                  </pic:nvPicPr>
                  <pic:blipFill>
                    <a:blip r:embed="rId28"/>
                    <a:srcRect b="0" l="0" r="5230" t="0"/>
                    <a:stretch>
                      <a:fillRect/>
                    </a:stretch>
                  </pic:blipFill>
                  <pic:spPr>
                    <a:xfrm>
                      <a:off x="0" y="0"/>
                      <a:ext cx="4945853" cy="1526259"/>
                    </a:xfrm>
                    <a:prstGeom prst="rect"/>
                    <a:ln/>
                  </pic:spPr>
                </pic:pic>
              </a:graphicData>
            </a:graphic>
          </wp:inline>
        </w:drawing>
      </w:r>
      <w:r w:rsidDel="00000000" w:rsidR="00000000" w:rsidRPr="00000000">
        <w:rPr>
          <w:sz w:val="22"/>
          <w:szCs w:val="22"/>
        </w:rPr>
        <w:drawing>
          <wp:inline distB="114300" distT="114300" distL="114300" distR="114300">
            <wp:extent cx="617000" cy="1527810"/>
            <wp:effectExtent b="0" l="0" r="0" t="0"/>
            <wp:docPr id="8" name="image13.png"/>
            <a:graphic>
              <a:graphicData uri="http://schemas.openxmlformats.org/drawingml/2006/picture">
                <pic:pic>
                  <pic:nvPicPr>
                    <pic:cNvPr id="0" name="image13.png"/>
                    <pic:cNvPicPr preferRelativeResize="0"/>
                  </pic:nvPicPr>
                  <pic:blipFill>
                    <a:blip r:embed="rId29"/>
                    <a:srcRect b="0" l="88206" r="0" t="0"/>
                    <a:stretch>
                      <a:fillRect/>
                    </a:stretch>
                  </pic:blipFill>
                  <pic:spPr>
                    <a:xfrm>
                      <a:off x="0" y="0"/>
                      <a:ext cx="617000" cy="152781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Spain</w:t>
      </w:r>
      <w:r w:rsidDel="00000000" w:rsidR="00000000" w:rsidRPr="00000000">
        <w:rPr>
          <w:sz w:val="22"/>
          <w:szCs w:val="22"/>
          <w:rtl w:val="0"/>
        </w:rPr>
        <w:t xml:space="preserve"> (2021)</w:t>
      </w:r>
    </w:p>
    <w:p w:rsidR="00000000" w:rsidDel="00000000" w:rsidP="00000000" w:rsidRDefault="00000000" w:rsidRPr="00000000" w14:paraId="000001F7">
      <w:pPr>
        <w:jc w:val="center"/>
        <w:rPr>
          <w:sz w:val="22"/>
          <w:szCs w:val="22"/>
        </w:rPr>
      </w:pPr>
      <w:r w:rsidDel="00000000" w:rsidR="00000000" w:rsidRPr="00000000">
        <w:rPr>
          <w:sz w:val="22"/>
          <w:szCs w:val="22"/>
        </w:rPr>
        <w:drawing>
          <wp:inline distB="114300" distT="114300" distL="114300" distR="114300">
            <wp:extent cx="5731200" cy="1676400"/>
            <wp:effectExtent b="0" l="0" r="0" t="0"/>
            <wp:docPr id="35"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jc w:val="center"/>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Spain</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1F9">
      <w:pPr>
        <w:pageBreakBefore w:val="0"/>
        <w:jc w:val="both"/>
        <w:rPr/>
      </w:pPr>
      <w:r w:rsidDel="00000000" w:rsidR="00000000" w:rsidRPr="00000000">
        <w:rPr>
          <w:rtl w:val="0"/>
        </w:rPr>
      </w:r>
    </w:p>
    <w:p w:rsidR="00000000" w:rsidDel="00000000" w:rsidP="00000000" w:rsidRDefault="00000000" w:rsidRPr="00000000" w14:paraId="000001FA">
      <w:pPr>
        <w:jc w:val="both"/>
        <w:rPr/>
      </w:pPr>
      <w:r w:rsidDel="00000000" w:rsidR="00000000" w:rsidRPr="00000000">
        <w:rPr>
          <w:rtl w:val="0"/>
        </w:rPr>
        <w:t xml:space="preserve">Below is Spain’s 2018 ECI Sensitivity Charts. Firstly in the positive chart, we notice immediately that increasing export levels in High Complexity Products lead to quite immediate increases in ECI as compared to increases in Machinery exports. Machinery exports need to increase by more than 50% to see any effect in ECI levels. We see that quite a few industries negatively impact ECI after large positive shocks. </w:t>
      </w:r>
    </w:p>
    <w:p w:rsidR="00000000" w:rsidDel="00000000" w:rsidP="00000000" w:rsidRDefault="00000000" w:rsidRPr="00000000" w14:paraId="000001FB">
      <w:pPr>
        <w:pageBreakBefore w:val="0"/>
        <w:jc w:val="both"/>
        <w:rPr/>
      </w:pPr>
      <w:r w:rsidDel="00000000" w:rsidR="00000000" w:rsidRPr="00000000">
        <w:rPr>
          <w:rtl w:val="0"/>
        </w:rPr>
      </w:r>
    </w:p>
    <w:p w:rsidR="00000000" w:rsidDel="00000000" w:rsidP="00000000" w:rsidRDefault="00000000" w:rsidRPr="00000000" w14:paraId="000001FC">
      <w:pPr>
        <w:rPr>
          <w:b w:val="1"/>
          <w:bCs w:val="1"/>
          <w:sz w:val="28"/>
          <w:szCs w:val="28"/>
        </w:rPr>
      </w:pPr>
      <w:r w:rsidDel="00000000" w:rsidR="00000000" w:rsidRPr="00000000">
        <w:rPr>
          <w:rtl w:val="0"/>
        </w:rPr>
        <w:t xml:space="preserve">Next we consider Spain’s 2018 Negative Shock chart. We can see that Spain is fairly insensitive to the majority of its industries. The only exception is Transportation in which even small drops in export can bring ECI level down to negative territory.  Finally, we see that after large negative shocks quite a few industries begin to increase overall ECI level.  </w:t>
      </w:r>
      <w:r w:rsidDel="00000000" w:rsidR="00000000" w:rsidRPr="00000000">
        <w:rPr>
          <w:rtl w:val="0"/>
        </w:rPr>
      </w:r>
    </w:p>
    <w:p w:rsidR="00000000" w:rsidDel="00000000" w:rsidP="00000000" w:rsidRDefault="00000000" w:rsidRPr="00000000" w14:paraId="000001FD">
      <w:pPr>
        <w:pageBreakBefore w:val="0"/>
        <w:rPr/>
      </w:pPr>
      <w:r w:rsidDel="00000000" w:rsidR="00000000" w:rsidRPr="00000000">
        <w:rPr>
          <w:rtl w:val="0"/>
        </w:rPr>
      </w:r>
    </w:p>
    <w:p w:rsidR="00000000" w:rsidDel="00000000" w:rsidP="00000000" w:rsidRDefault="00000000" w:rsidRPr="00000000" w14:paraId="000001FE">
      <w:pPr>
        <w:jc w:val="both"/>
        <w:rPr>
          <w:b w:val="1"/>
          <w:bCs w:val="1"/>
        </w:rPr>
      </w:pPr>
      <w:r w:rsidDel="00000000" w:rsidR="00000000" w:rsidRPr="00000000">
        <w:rPr>
          <w:rFonts w:ascii="Times" w:cs="Times" w:eastAsia="Times" w:hAnsi="Times"/>
          <w:b w:val="1"/>
          <w:bCs w:val="1"/>
          <w:sz w:val="28"/>
          <w:szCs w:val="28"/>
        </w:rPr>
        <w:drawing>
          <wp:inline distB="114300" distT="114300" distL="114300" distR="114300">
            <wp:extent cx="5731200" cy="2844800"/>
            <wp:effectExtent b="0" l="0" r="0" t="0"/>
            <wp:docPr id="31" name="image18.jpg"/>
            <a:graphic>
              <a:graphicData uri="http://schemas.openxmlformats.org/drawingml/2006/picture">
                <pic:pic>
                  <pic:nvPicPr>
                    <pic:cNvPr id="0" name="image18.jpg"/>
                    <pic:cNvPicPr preferRelativeResize="0"/>
                  </pic:nvPicPr>
                  <pic:blipFill>
                    <a:blip r:embed="rId30"/>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jc w:val="center"/>
        <w:rPr>
          <w:b w:val="0"/>
          <w:bCs w:val="0"/>
          <w:i w:val="1"/>
          <w:iCs w:val="1"/>
          <w:color w:val="444499"/>
          <w:sz w:val="18"/>
          <w:szCs w:val="18"/>
        </w:rPr>
      </w:pPr>
      <w:r w:rsidDel="00000000" w:rsidR="00000000" w:rsidRPr="00000000">
        <w:rPr>
          <w:sz w:val="22"/>
          <w:szCs w:val="22"/>
          <w:rtl w:val="0"/>
        </w:rPr>
        <w:t xml:space="preserve">Figure 7a. Incremental ECI Sensitivity for </w:t>
      </w:r>
      <w:r w:rsidDel="00000000" w:rsidR="00000000" w:rsidRPr="00000000">
        <w:rPr>
          <w:sz w:val="22"/>
          <w:szCs w:val="22"/>
          <w:rtl w:val="0"/>
        </w:rPr>
        <w:t xml:space="preserve">Spain</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200">
      <w:pPr>
        <w:pageBreakBefore w:val="0"/>
        <w:jc w:val="both"/>
        <w:rPr>
          <w:b w:val="1"/>
          <w:bCs w:val="1"/>
        </w:rPr>
      </w:pPr>
      <w:r w:rsidDel="00000000" w:rsidR="00000000" w:rsidRPr="00000000">
        <w:rPr>
          <w:rtl w:val="0"/>
        </w:rPr>
      </w:r>
    </w:p>
    <w:p w:rsidR="00000000" w:rsidDel="00000000" w:rsidP="00000000" w:rsidRDefault="00000000" w:rsidRPr="00000000" w14:paraId="00000201">
      <w:pPr>
        <w:jc w:val="both"/>
        <w:rPr>
          <w:b w:val="1"/>
          <w:bCs w:val="1"/>
        </w:rPr>
      </w:pPr>
      <w:r w:rsidDel="00000000" w:rsidR="00000000" w:rsidRPr="00000000">
        <w:rPr>
          <w:rFonts w:ascii="Times" w:cs="Times" w:eastAsia="Times" w:hAnsi="Times"/>
          <w:b w:val="1"/>
          <w:bCs w:val="1"/>
          <w:sz w:val="28"/>
          <w:szCs w:val="28"/>
        </w:rPr>
        <w:drawing>
          <wp:inline distB="114300" distT="114300" distL="114300" distR="114300">
            <wp:extent cx="5731200" cy="2870200"/>
            <wp:effectExtent b="0" l="0" r="0" t="0"/>
            <wp:docPr id="6" name="image5.jpg"/>
            <a:graphic>
              <a:graphicData uri="http://schemas.openxmlformats.org/drawingml/2006/picture">
                <pic:pic>
                  <pic:nvPicPr>
                    <pic:cNvPr id="0" name="image5.jpg"/>
                    <pic:cNvPicPr preferRelativeResize="0"/>
                  </pic:nvPicPr>
                  <pic:blipFill>
                    <a:blip r:embed="rId31"/>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jc w:val="center"/>
        <w:rPr>
          <w:b w:val="0"/>
          <w:bCs w:val="0"/>
          <w:i w:val="1"/>
          <w:iCs w:val="1"/>
          <w:color w:val="444499"/>
          <w:sz w:val="20"/>
          <w:szCs w:val="20"/>
        </w:rPr>
      </w:pPr>
      <w:r w:rsidDel="00000000" w:rsidR="00000000" w:rsidRPr="00000000">
        <w:rPr>
          <w:sz w:val="22"/>
          <w:szCs w:val="22"/>
          <w:rtl w:val="0"/>
        </w:rPr>
        <w:t xml:space="preserve">Figure 7b. Decremental ECI Sensitivity for </w:t>
      </w:r>
      <w:r w:rsidDel="00000000" w:rsidR="00000000" w:rsidRPr="00000000">
        <w:rPr>
          <w:sz w:val="22"/>
          <w:szCs w:val="22"/>
          <w:rtl w:val="0"/>
        </w:rPr>
        <w:t xml:space="preserve">Spain</w:t>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203">
      <w:pPr>
        <w:pageBreakBefore w:val="0"/>
        <w:jc w:val="cente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Next we consider the 2013 ECI Sensitivity graphs. We see that in the positive shocking case the profile is entirely different from the 2018 graph. The positive shocking of the majority of industries leads to decreases in ECI level. This suggests Spain had reached a much more stable point in 2013 as compared to 2018. Of course its position in 2018 is greatly impacted by the developments of other countries. </w:t>
      </w:r>
    </w:p>
    <w:p w:rsidR="00000000" w:rsidDel="00000000" w:rsidP="00000000" w:rsidRDefault="00000000" w:rsidRPr="00000000" w14:paraId="00000205">
      <w:pPr>
        <w:pageBreakBefore w:val="0"/>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In the 2013 negative shocking case, we see that again Spain is very sensitive to Transportation however it is even more sensitive to High Complexity Products. This may imply that Spain’s 2013 economy was more reliant on High Complexity Products to bolster its ECI score. </w:t>
      </w:r>
    </w:p>
    <w:p w:rsidR="00000000" w:rsidDel="00000000" w:rsidP="00000000" w:rsidRDefault="00000000" w:rsidRPr="00000000" w14:paraId="00000207">
      <w:pPr>
        <w:pageBreakBefore w:val="0"/>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sz w:val="22"/>
          <w:szCs w:val="22"/>
          <w:rtl w:val="0"/>
        </w:rPr>
        <w:t xml:space="preserve">Figure 8a. Incremental ECI Sensitivity for </w:t>
      </w:r>
      <w:r w:rsidDel="00000000" w:rsidR="00000000" w:rsidRPr="00000000">
        <w:rPr>
          <w:sz w:val="22"/>
          <w:szCs w:val="22"/>
          <w:rtl w:val="0"/>
        </w:rPr>
        <w:t xml:space="preserve">Spain</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209">
      <w:pPr>
        <w:pageBreakBefore w:val="0"/>
        <w:jc w:val="left"/>
        <w:rPr/>
      </w:pPr>
      <w:r w:rsidDel="00000000" w:rsidR="00000000" w:rsidRPr="00000000">
        <w:rPr>
          <w:rtl w:val="0"/>
        </w:rPr>
      </w:r>
    </w:p>
    <w:p w:rsidR="00000000" w:rsidDel="00000000" w:rsidP="00000000" w:rsidRDefault="00000000" w:rsidRPr="00000000" w14:paraId="0000020A">
      <w:pPr>
        <w:jc w:val="both"/>
        <w:rPr>
          <w:b w:val="1"/>
          <w:bCs w:val="1"/>
        </w:rPr>
      </w:pPr>
      <w:r w:rsidDel="00000000" w:rsidR="00000000" w:rsidRPr="00000000">
        <w:rPr>
          <w:rFonts w:ascii="Times" w:cs="Times" w:eastAsia="Times" w:hAnsi="Times"/>
          <w:b w:val="1"/>
          <w:bCs w:val="1"/>
          <w:sz w:val="28"/>
          <w:szCs w:val="28"/>
        </w:rPr>
        <w:drawing>
          <wp:inline distB="114300" distT="114300" distL="114300" distR="114300">
            <wp:extent cx="5731200" cy="2997200"/>
            <wp:effectExtent b="0" l="0" r="0" t="0"/>
            <wp:docPr id="4" name="image4.jpg"/>
            <a:graphic>
              <a:graphicData uri="http://schemas.openxmlformats.org/drawingml/2006/picture">
                <pic:pic>
                  <pic:nvPicPr>
                    <pic:cNvPr id="0" name="image4.jpg"/>
                    <pic:cNvPicPr preferRelativeResize="0"/>
                  </pic:nvPicPr>
                  <pic:blipFill>
                    <a:blip r:embed="rId32"/>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jc w:val="both"/>
        <w:rPr>
          <w:sz w:val="22"/>
          <w:szCs w:val="22"/>
        </w:rPr>
      </w:pPr>
      <w:r w:rsidDel="00000000" w:rsidR="00000000" w:rsidRPr="00000000">
        <w:rPr>
          <w:rFonts w:ascii="Times" w:cs="Times" w:eastAsia="Times" w:hAnsi="Times"/>
          <w:b w:val="1"/>
          <w:bCs w:val="1"/>
          <w:sz w:val="28"/>
          <w:szCs w:val="28"/>
        </w:rPr>
        <w:drawing>
          <wp:inline distB="114300" distT="114300" distL="114300" distR="114300">
            <wp:extent cx="5386388" cy="2818459"/>
            <wp:effectExtent b="0" l="0" r="0" t="0"/>
            <wp:docPr id="29" name="image33.jpg"/>
            <a:graphic>
              <a:graphicData uri="http://schemas.openxmlformats.org/drawingml/2006/picture">
                <pic:pic>
                  <pic:nvPicPr>
                    <pic:cNvPr id="0" name="image33.jpg"/>
                    <pic:cNvPicPr preferRelativeResize="0"/>
                  </pic:nvPicPr>
                  <pic:blipFill>
                    <a:blip r:embed="rId33"/>
                    <a:srcRect b="0" l="0" r="0" t="0"/>
                    <a:stretch>
                      <a:fillRect/>
                    </a:stretch>
                  </pic:blipFill>
                  <pic:spPr>
                    <a:xfrm>
                      <a:off x="0" y="0"/>
                      <a:ext cx="5386388" cy="2818459"/>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jc w:val="center"/>
        <w:rPr/>
      </w:pPr>
      <w:r w:rsidDel="00000000" w:rsidR="00000000" w:rsidRPr="00000000">
        <w:rPr>
          <w:sz w:val="22"/>
          <w:szCs w:val="22"/>
          <w:rtl w:val="0"/>
        </w:rPr>
        <w:t xml:space="preserve">Figure 8b. Decremental ECI Sensitivity for </w:t>
      </w:r>
      <w:r w:rsidDel="00000000" w:rsidR="00000000" w:rsidRPr="00000000">
        <w:rPr>
          <w:sz w:val="22"/>
          <w:szCs w:val="22"/>
          <w:rtl w:val="0"/>
        </w:rPr>
        <w:t xml:space="preserve">Spain</w:t>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20D">
      <w:pPr>
        <w:pageBreakBefore w:val="0"/>
        <w:jc w:val="both"/>
        <w:rPr>
          <w:b w:val="1"/>
          <w:bCs w:val="1"/>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Below we see the SDV sensitivity charts for High Complexity Products. We see that fairly small increases in export of High Complexity Products makes room for other industries to shift into positive opportunity gain territory. A 50% increase in export leads to 10 new industries that offer positive opportunity gain, some of which include Chemicals, Services and Utilities, Daily Instruments, Textile, and Transportation.   </w:t>
      </w:r>
    </w:p>
    <w:p w:rsidR="00000000" w:rsidDel="00000000" w:rsidP="00000000" w:rsidRDefault="00000000" w:rsidRPr="00000000" w14:paraId="0000020F">
      <w:pPr>
        <w:pageBreakBefore w:val="0"/>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Considering the Negative SDV sensitivity chart we observe that as export of High Complexity products decrease, industries that were worth investing in begin to shift to the neutral opportunity gain region. At the extreme case we see that Services and Utilities and Machinery become the best industries to pursue after a major decrease in High Complexity products.  </w:t>
      </w:r>
    </w:p>
    <w:p w:rsidR="00000000" w:rsidDel="00000000" w:rsidP="00000000" w:rsidRDefault="00000000" w:rsidRPr="00000000" w14:paraId="00000211">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731200" cy="1651000"/>
            <wp:effectExtent b="0" l="0" r="0" t="0"/>
            <wp:docPr id="2" name="image19.jpg"/>
            <a:graphic>
              <a:graphicData uri="http://schemas.openxmlformats.org/drawingml/2006/picture">
                <pic:pic>
                  <pic:nvPicPr>
                    <pic:cNvPr id="0" name="image19.jpg"/>
                    <pic:cNvPicPr preferRelativeResize="0"/>
                  </pic:nvPicPr>
                  <pic:blipFill>
                    <a:blip r:embed="rId34"/>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ind w:left="720" w:firstLine="720"/>
        <w:jc w:val="both"/>
        <w:rPr>
          <w:b w:val="1"/>
          <w:bCs w:val="1"/>
        </w:rPr>
      </w:pPr>
      <w:r w:rsidDel="00000000" w:rsidR="00000000" w:rsidRPr="00000000">
        <w:rPr>
          <w:rtl w:val="0"/>
        </w:rPr>
        <w:t xml:space="preserve">Spain High-complexity Products 2018 (Incremental SDV Sensitivity)</w:t>
      </w:r>
      <w:r w:rsidDel="00000000" w:rsidR="00000000" w:rsidRPr="00000000">
        <w:rPr>
          <w:rtl w:val="0"/>
        </w:rPr>
      </w:r>
    </w:p>
    <w:p w:rsidR="00000000" w:rsidDel="00000000" w:rsidP="00000000" w:rsidRDefault="00000000" w:rsidRPr="00000000" w14:paraId="00000213">
      <w:pPr>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5262563" cy="2701216"/>
            <wp:effectExtent b="0" l="0" r="0" t="0"/>
            <wp:docPr id="30" name="image35.jpg"/>
            <a:graphic>
              <a:graphicData uri="http://schemas.openxmlformats.org/drawingml/2006/picture">
                <pic:pic>
                  <pic:nvPicPr>
                    <pic:cNvPr id="0" name="image35.jpg"/>
                    <pic:cNvPicPr preferRelativeResize="0"/>
                  </pic:nvPicPr>
                  <pic:blipFill>
                    <a:blip r:embed="rId35"/>
                    <a:srcRect b="0" l="0" r="0" t="0"/>
                    <a:stretch>
                      <a:fillRect/>
                    </a:stretch>
                  </pic:blipFill>
                  <pic:spPr>
                    <a:xfrm>
                      <a:off x="0" y="0"/>
                      <a:ext cx="5262563" cy="2701216"/>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ind w:left="720" w:firstLine="720"/>
        <w:jc w:val="both"/>
        <w:rPr/>
      </w:pPr>
      <w:r w:rsidDel="00000000" w:rsidR="00000000" w:rsidRPr="00000000">
        <w:rPr>
          <w:rtl w:val="0"/>
        </w:rPr>
        <w:t xml:space="preserve">Spain High-complexity Products 2018 (Decremental SDV Sensitivity)</w:t>
      </w:r>
    </w:p>
    <w:p w:rsidR="00000000" w:rsidDel="00000000" w:rsidP="00000000" w:rsidRDefault="00000000" w:rsidRPr="00000000" w14:paraId="00000215">
      <w:pPr>
        <w:pageBreakBefore w:val="0"/>
        <w:ind w:left="0" w:firstLine="0"/>
        <w:jc w:val="cente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Below we see the SDV sensitivity charts for Food and Preparations. As expected for a fairly developed country, Spain is not very sensitive to the positive shocking case of Food and Preparations. In the negative shocking case we see that Energy, Drilling and Mining drastically shifts from a negative opportunity gain industry to a positive opportunity gain industry. </w:t>
      </w:r>
    </w:p>
    <w:p w:rsidR="00000000" w:rsidDel="00000000" w:rsidP="00000000" w:rsidRDefault="00000000" w:rsidRPr="00000000" w14:paraId="00000217">
      <w:pPr>
        <w:rPr>
          <w:rFonts w:ascii="Times" w:cs="Times" w:eastAsia="Times" w:hAnsi="Times"/>
          <w:b w:val="1"/>
          <w:bCs w:val="1"/>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18">
      <w:pPr>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1385888" cy="2585409"/>
            <wp:effectExtent b="0" l="0" r="0" t="0"/>
            <wp:docPr id="1" name="image14.jpg"/>
            <a:graphic>
              <a:graphicData uri="http://schemas.openxmlformats.org/drawingml/2006/picture">
                <pic:pic>
                  <pic:nvPicPr>
                    <pic:cNvPr id="0" name="image14.jpg"/>
                    <pic:cNvPicPr preferRelativeResize="0"/>
                  </pic:nvPicPr>
                  <pic:blipFill>
                    <a:blip r:embed="rId36"/>
                    <a:srcRect b="0" l="0" r="0" t="0"/>
                    <a:stretch>
                      <a:fillRect/>
                    </a:stretch>
                  </pic:blipFill>
                  <pic:spPr>
                    <a:xfrm>
                      <a:off x="0" y="0"/>
                      <a:ext cx="1385888" cy="2585409"/>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ind w:left="720" w:firstLine="720"/>
        <w:jc w:val="both"/>
        <w:rPr/>
      </w:pPr>
      <w:r w:rsidDel="00000000" w:rsidR="00000000" w:rsidRPr="00000000">
        <w:rPr>
          <w:rtl w:val="0"/>
        </w:rPr>
        <w:t xml:space="preserve">Spain Food and Preparations 2018 (Incremental SDV Sensitivity)</w:t>
      </w:r>
    </w:p>
    <w:p w:rsidR="00000000" w:rsidDel="00000000" w:rsidP="00000000" w:rsidRDefault="00000000" w:rsidRPr="00000000" w14:paraId="0000021A">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21B">
      <w:pPr>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21C">
      <w:pPr>
        <w:jc w:val="center"/>
        <w:rPr>
          <w:rFonts w:ascii="Times" w:cs="Times" w:eastAsia="Times" w:hAnsi="Times"/>
          <w:b w:val="1"/>
          <w:bCs w:val="1"/>
          <w:sz w:val="28"/>
          <w:szCs w:val="28"/>
        </w:rPr>
      </w:pPr>
      <w:r w:rsidDel="00000000" w:rsidR="00000000" w:rsidRPr="00000000">
        <w:rPr>
          <w:rFonts w:ascii="Times" w:cs="Times" w:eastAsia="Times" w:hAnsi="Times"/>
          <w:b w:val="1"/>
          <w:bCs w:val="1"/>
          <w:sz w:val="28"/>
          <w:szCs w:val="28"/>
        </w:rPr>
        <w:drawing>
          <wp:inline distB="114300" distT="114300" distL="114300" distR="114300">
            <wp:extent cx="3638625" cy="2290763"/>
            <wp:effectExtent b="0" l="0" r="0" t="0"/>
            <wp:docPr id="7" name="image17.jpg"/>
            <a:graphic>
              <a:graphicData uri="http://schemas.openxmlformats.org/drawingml/2006/picture">
                <pic:pic>
                  <pic:nvPicPr>
                    <pic:cNvPr id="0" name="image17.jpg"/>
                    <pic:cNvPicPr preferRelativeResize="0"/>
                  </pic:nvPicPr>
                  <pic:blipFill>
                    <a:blip r:embed="rId37"/>
                    <a:srcRect b="0" l="0" r="0" t="0"/>
                    <a:stretch>
                      <a:fillRect/>
                    </a:stretch>
                  </pic:blipFill>
                  <pic:spPr>
                    <a:xfrm>
                      <a:off x="0" y="0"/>
                      <a:ext cx="3638625"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ind w:left="720" w:firstLine="720"/>
        <w:jc w:val="both"/>
        <w:rPr>
          <w:sz w:val="22"/>
          <w:szCs w:val="22"/>
        </w:rPr>
      </w:pPr>
      <w:r w:rsidDel="00000000" w:rsidR="00000000" w:rsidRPr="00000000">
        <w:rPr>
          <w:rtl w:val="0"/>
        </w:rPr>
        <w:t xml:space="preserve">Spain Food and Preparations 2018 (Decremental SDV Sensitivity)</w:t>
      </w:r>
      <w:r w:rsidDel="00000000" w:rsidR="00000000" w:rsidRPr="00000000">
        <w:rPr>
          <w:rtl w:val="0"/>
        </w:rPr>
      </w:r>
    </w:p>
    <w:p w:rsidR="00000000" w:rsidDel="00000000" w:rsidP="00000000" w:rsidRDefault="00000000" w:rsidRPr="00000000" w14:paraId="0000021E">
      <w:pPr>
        <w:pageBreakBefore w:val="0"/>
        <w:jc w:val="both"/>
        <w:rPr/>
      </w:pPr>
      <w:r w:rsidDel="00000000" w:rsidR="00000000" w:rsidRPr="00000000">
        <w:rPr>
          <w:rtl w:val="0"/>
        </w:rPr>
      </w:r>
    </w:p>
    <w:p w:rsidR="00000000" w:rsidDel="00000000" w:rsidP="00000000" w:rsidRDefault="00000000" w:rsidRPr="00000000" w14:paraId="0000021F">
      <w:pPr>
        <w:pageBreakBefore w:val="0"/>
        <w:jc w:val="both"/>
        <w:rPr/>
      </w:pPr>
      <w:r w:rsidDel="00000000" w:rsidR="00000000" w:rsidRPr="00000000">
        <w:rPr>
          <w:rtl w:val="0"/>
        </w:rPr>
      </w:r>
    </w:p>
    <w:p w:rsidR="00000000" w:rsidDel="00000000" w:rsidP="00000000" w:rsidRDefault="00000000" w:rsidRPr="00000000" w14:paraId="00000220">
      <w:pPr>
        <w:pageBreakBefore w:val="0"/>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22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22">
      <w:pPr>
        <w:pageBreakBefore w:val="0"/>
        <w:jc w:val="both"/>
        <w:rPr>
          <w:b w:val="1"/>
          <w:bCs w:val="1"/>
          <w:sz w:val="28"/>
          <w:szCs w:val="28"/>
        </w:rPr>
      </w:pPr>
      <w:r w:rsidDel="00000000" w:rsidR="00000000" w:rsidRPr="00000000">
        <w:rPr>
          <w:rtl w:val="0"/>
        </w:rPr>
        <w:t xml:space="preserve">Decreasing export of each industry in </w:t>
      </w:r>
      <w:r w:rsidDel="00000000" w:rsidR="00000000" w:rsidRPr="00000000">
        <w:rPr>
          <w:rtl w:val="0"/>
        </w:rPr>
        <w:t xml:space="preserve">Spain</w:t>
      </w:r>
      <w:r w:rsidDel="00000000" w:rsidR="00000000" w:rsidRPr="00000000">
        <w:rPr>
          <w:rtl w:val="0"/>
        </w:rPr>
        <w:t xml:space="preserve">’s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223">
      <w:pPr>
        <w:pageBreakBefore w:val="0"/>
        <w:jc w:val="center"/>
        <w:rPr>
          <w:b w:val="1"/>
          <w:bCs w:val="1"/>
          <w:sz w:val="28"/>
          <w:szCs w:val="28"/>
        </w:rPr>
      </w:pPr>
      <w:r w:rsidDel="00000000" w:rsidR="00000000" w:rsidRPr="00000000">
        <w:rPr>
          <w:rtl w:val="0"/>
        </w:rPr>
      </w:r>
    </w:p>
    <w:tbl>
      <w:tblPr>
        <w:tblStyle w:val="Table11"/>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2</w:t>
            </w:r>
          </w:p>
        </w:tc>
      </w:tr>
      <w:tr>
        <w:trPr>
          <w:cantSplit w:val="0"/>
          <w:trHeight w:val="270.62500000000114"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2B">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Machinery and Construction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2F">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3">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Machinery and Construction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7">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3B">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Machinery and Construction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3F">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3">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Machinery and Construction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7">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4B">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Machinery and Construction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4F">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3">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Machinery and Construction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7">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5B">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Machinery and Construction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5F">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3">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Machinery and Construction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7">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270.62500000000114"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B">
            <w:pPr>
              <w:widowControl w:val="0"/>
              <w:spacing w:line="276" w:lineRule="auto"/>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Machinery and Construction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6F">
            <w:pPr>
              <w:widowControl w:val="0"/>
              <w:spacing w:line="276" w:lineRule="auto"/>
              <w:rPr>
                <w:sz w:val="20"/>
                <w:szCs w:val="20"/>
              </w:rPr>
            </w:pPr>
            <w:r w:rsidDel="00000000" w:rsidR="00000000" w:rsidRPr="00000000">
              <w:rPr>
                <w:color w:val="212121"/>
                <w:sz w:val="20"/>
                <w:szCs w:val="20"/>
                <w:rtl w:val="0"/>
              </w:rPr>
              <w:t xml:space="preserve">Chemicals </w:t>
            </w:r>
            <w:r w:rsidDel="00000000" w:rsidR="00000000" w:rsidRPr="00000000">
              <w:rPr>
                <w:rtl w:val="0"/>
              </w:rPr>
            </w:r>
          </w:p>
        </w:tc>
      </w:tr>
    </w:tbl>
    <w:p w:rsidR="00000000" w:rsidDel="00000000" w:rsidP="00000000" w:rsidRDefault="00000000" w:rsidRPr="00000000" w14:paraId="00000270">
      <w:pPr>
        <w:pageBreakBefore w:val="0"/>
        <w:jc w:val="center"/>
        <w:rPr>
          <w:sz w:val="22"/>
          <w:szCs w:val="22"/>
        </w:rPr>
      </w:pPr>
      <w:r w:rsidDel="00000000" w:rsidR="00000000" w:rsidRPr="00000000">
        <w:rPr>
          <w:sz w:val="22"/>
          <w:szCs w:val="22"/>
          <w:rtl w:val="0"/>
        </w:rPr>
        <w:t xml:space="preserve">Table 13. </w:t>
      </w:r>
      <w:r w:rsidDel="00000000" w:rsidR="00000000" w:rsidRPr="00000000">
        <w:rPr>
          <w:sz w:val="22"/>
          <w:szCs w:val="22"/>
          <w:rtl w:val="0"/>
        </w:rPr>
        <w:t xml:space="preserve">Spain</w:t>
      </w:r>
      <w:r w:rsidDel="00000000" w:rsidR="00000000" w:rsidRPr="00000000">
        <w:rPr>
          <w:sz w:val="22"/>
          <w:szCs w:val="22"/>
          <w:rtl w:val="0"/>
        </w:rPr>
        <w:t xml:space="preserve">’s Contingency Strategy (2018)</w:t>
      </w:r>
    </w:p>
    <w:p w:rsidR="00000000" w:rsidDel="00000000" w:rsidP="00000000" w:rsidRDefault="00000000" w:rsidRPr="00000000" w14:paraId="00000271">
      <w:pPr>
        <w:jc w:val="left"/>
        <w:rPr/>
      </w:pPr>
      <w:r w:rsidDel="00000000" w:rsidR="00000000" w:rsidRPr="00000000">
        <w:rPr>
          <w:rtl w:val="0"/>
        </w:rPr>
      </w:r>
    </w:p>
    <w:p w:rsidR="00000000" w:rsidDel="00000000" w:rsidP="00000000" w:rsidRDefault="00000000" w:rsidRPr="00000000" w14:paraId="00000272">
      <w:pPr>
        <w:pageBreakBefore w:val="0"/>
        <w:jc w:val="center"/>
        <w:rPr>
          <w:sz w:val="28"/>
          <w:szCs w:val="28"/>
        </w:rPr>
      </w:pPr>
      <w:r w:rsidDel="00000000" w:rsidR="00000000" w:rsidRPr="00000000">
        <w:rPr>
          <w:rtl w:val="0"/>
        </w:rPr>
      </w:r>
    </w:p>
    <w:p w:rsidR="00000000" w:rsidDel="00000000" w:rsidP="00000000" w:rsidRDefault="00000000" w:rsidRPr="00000000" w14:paraId="00000273">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275">
      <w:pPr>
        <w:pageBreakBefore w:val="0"/>
        <w:jc w:val="both"/>
        <w:rPr>
          <w:b w:val="1"/>
          <w:bCs w:val="1"/>
        </w:rPr>
      </w:pPr>
      <w:r w:rsidDel="00000000" w:rsidR="00000000" w:rsidRPr="00000000">
        <w:rPr>
          <w:rtl w:val="0"/>
        </w:rPr>
      </w:r>
    </w:p>
    <w:p w:rsidR="00000000" w:rsidDel="00000000" w:rsidP="00000000" w:rsidRDefault="00000000" w:rsidRPr="00000000" w14:paraId="00000276">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277">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278">
      <w:pPr>
        <w:pageBreakBefore w:val="0"/>
        <w:jc w:val="both"/>
        <w:rPr/>
      </w:pPr>
      <w:r w:rsidDel="00000000" w:rsidR="00000000" w:rsidRPr="00000000">
        <w:rPr>
          <w:rtl w:val="0"/>
        </w:rPr>
      </w:r>
    </w:p>
    <w:p w:rsidR="00000000" w:rsidDel="00000000" w:rsidP="00000000" w:rsidRDefault="00000000" w:rsidRPr="00000000" w14:paraId="00000279">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0.045%</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27A">
      <w:pPr>
        <w:pageBreakBefore w:val="0"/>
        <w:jc w:val="both"/>
        <w:rPr/>
      </w:pPr>
      <w:r w:rsidDel="00000000" w:rsidR="00000000" w:rsidRPr="00000000">
        <w:rPr>
          <w:rtl w:val="0"/>
        </w:rPr>
      </w:r>
    </w:p>
    <w:tbl>
      <w:tblPr>
        <w:tblStyle w:val="Table12"/>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jc w:val="center"/>
              <w:rPr/>
            </w:pPr>
            <w:r w:rsidDel="00000000" w:rsidR="00000000" w:rsidRPr="00000000">
              <w:rPr>
                <w:rtl w:val="0"/>
              </w:rPr>
              <w:t xml:space="preserve">Table 18: OLS Regression Results</w:t>
            </w:r>
          </w:p>
        </w:tc>
      </w:tr>
      <w:tr>
        <w:trPr>
          <w:cantSplit w:val="0"/>
          <w:trHeight w:val="335.5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335.5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rHeight w:val="335.5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283">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573413</wp:posOffset>
            </wp:positionH>
            <wp:positionV relativeFrom="paragraph">
              <wp:posOffset>38100</wp:posOffset>
            </wp:positionV>
            <wp:extent cx="4157663" cy="2768514"/>
            <wp:effectExtent b="0" l="0" r="0" t="0"/>
            <wp:wrapTopAndBottom distB="0" distT="0"/>
            <wp:docPr id="28"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4157663" cy="2768514"/>
                    </a:xfrm>
                    <a:prstGeom prst="rect"/>
                    <a:ln/>
                  </pic:spPr>
                </pic:pic>
              </a:graphicData>
            </a:graphic>
          </wp:anchor>
        </w:drawing>
      </w:r>
    </w:p>
    <w:p w:rsidR="00000000" w:rsidDel="00000000" w:rsidP="00000000" w:rsidRDefault="00000000" w:rsidRPr="00000000" w14:paraId="00000284">
      <w:pPr>
        <w:pageBreakBefore w:val="0"/>
        <w:jc w:val="both"/>
        <w:rPr/>
      </w:pPr>
      <w:r w:rsidDel="00000000" w:rsidR="00000000" w:rsidRPr="00000000">
        <w:rPr>
          <w:rtl w:val="0"/>
        </w:rPr>
      </w:r>
    </w:p>
    <w:p w:rsidR="00000000" w:rsidDel="00000000" w:rsidP="00000000" w:rsidRDefault="00000000" w:rsidRPr="00000000" w14:paraId="00000285">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Spain</w:t>
      </w:r>
      <w:r w:rsidDel="00000000" w:rsidR="00000000" w:rsidRPr="00000000">
        <w:rPr>
          <w:b w:val="1"/>
          <w:bCs w:val="1"/>
          <w:rtl w:val="0"/>
        </w:rPr>
        <w:t xml:space="preserve"> and Its Implications</w:t>
      </w:r>
    </w:p>
    <w:p w:rsidR="00000000" w:rsidDel="00000000" w:rsidP="00000000" w:rsidRDefault="00000000" w:rsidRPr="00000000" w14:paraId="00000286">
      <w:pPr>
        <w:jc w:val="both"/>
        <w:rPr/>
      </w:pPr>
      <w:r w:rsidDel="00000000" w:rsidR="00000000" w:rsidRPr="00000000">
        <w:rPr>
          <w:rtl w:val="0"/>
        </w:rPr>
        <w:t xml:space="preserve">Spain, for instance, has an average level of structural optimality as compared with its developed peers. As the regression in Figure 7 suggests (the orange curve represents RDI and the blue curve stands for opportunity gain of the corresponding industry), Spain demonstrates a low level of correlation with the suggested developmental path, having an adjusted R-square of around 0.004%. Spain ranks the 63</w:t>
      </w:r>
      <w:r w:rsidDel="00000000" w:rsidR="00000000" w:rsidRPr="00000000">
        <w:rPr>
          <w:vertAlign w:val="superscript"/>
          <w:rtl w:val="0"/>
        </w:rPr>
        <w:t xml:space="preserve">rd</w:t>
      </w:r>
      <w:r w:rsidDel="00000000" w:rsidR="00000000" w:rsidRPr="00000000">
        <w:rPr>
          <w:rtl w:val="0"/>
        </w:rPr>
        <w:t xml:space="preserve"> place among all countries in terms of SOI and has a 5-year growth rate of 23.2% from 2013 to 2018, which is consistent with the regression result in Figure 6. This is in contrast to emerging economies such as Turkey, where there is high SOI of around 21.8% and a corresponding GDP growth of 36.7% from 2013 to 2018, making it one of the fastest developing economies during the period.  In sum, Spain’s average economic progress from 2013 to 2018 can be at least partially explained by an average development strategy. In specific, Spain should have focused more on moderately complex industry groups such as chemical manufacturing, Machinery and Construction and Daily Instrument. </w:t>
      </w:r>
    </w:p>
    <w:p w:rsidR="00000000" w:rsidDel="00000000" w:rsidP="00000000" w:rsidRDefault="00000000" w:rsidRPr="00000000" w14:paraId="00000287">
      <w:pPr>
        <w:pageBreakBefore w:val="0"/>
        <w:jc w:val="both"/>
        <w:rPr/>
      </w:pPr>
      <w:r w:rsidDel="00000000" w:rsidR="00000000" w:rsidRPr="00000000">
        <w:rPr>
          <w:rtl w:val="0"/>
        </w:rPr>
      </w:r>
    </w:p>
    <w:p w:rsidR="00000000" w:rsidDel="00000000" w:rsidP="00000000" w:rsidRDefault="00000000" w:rsidRPr="00000000" w14:paraId="00000288">
      <w:pPr>
        <w:jc w:val="both"/>
        <w:rPr/>
      </w:pPr>
      <w:r w:rsidDel="00000000" w:rsidR="00000000" w:rsidRPr="00000000">
        <w:rPr/>
        <w:drawing>
          <wp:inline distB="114300" distT="114300" distL="114300" distR="114300">
            <wp:extent cx="5731200" cy="2298700"/>
            <wp:effectExtent b="0" l="0" r="0" t="0"/>
            <wp:docPr id="36"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jc w:val="center"/>
        <w:rPr>
          <w:sz w:val="22"/>
          <w:szCs w:val="22"/>
        </w:rPr>
      </w:pPr>
      <w:r w:rsidDel="00000000" w:rsidR="00000000" w:rsidRPr="00000000">
        <w:rPr>
          <w:sz w:val="22"/>
          <w:szCs w:val="22"/>
          <w:rtl w:val="0"/>
        </w:rPr>
        <w:t xml:space="preserve">Figure 10a. SOI of </w:t>
      </w:r>
      <w:r w:rsidDel="00000000" w:rsidR="00000000" w:rsidRPr="00000000">
        <w:rPr>
          <w:sz w:val="22"/>
          <w:szCs w:val="22"/>
          <w:rtl w:val="0"/>
        </w:rPr>
        <w:t xml:space="preserve">Spain</w:t>
      </w:r>
      <w:r w:rsidDel="00000000" w:rsidR="00000000" w:rsidRPr="00000000">
        <w:rPr>
          <w:sz w:val="22"/>
          <w:szCs w:val="22"/>
          <w:rtl w:val="0"/>
        </w:rPr>
        <w:t xml:space="preserve"> (2013-2018)</w:t>
      </w:r>
    </w:p>
    <w:p w:rsidR="00000000" w:rsidDel="00000000" w:rsidP="00000000" w:rsidRDefault="00000000" w:rsidRPr="00000000" w14:paraId="0000028A">
      <w:pPr>
        <w:jc w:val="center"/>
        <w:rPr>
          <w:sz w:val="22"/>
          <w:szCs w:val="22"/>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For the 2019-2021 years, </w:t>
      </w:r>
      <w:r w:rsidDel="00000000" w:rsidR="00000000" w:rsidRPr="00000000">
        <w:rPr>
          <w:rtl w:val="0"/>
        </w:rPr>
        <w:t xml:space="preserve">Spain</w:t>
      </w:r>
      <w:r w:rsidDel="00000000" w:rsidR="00000000" w:rsidRPr="00000000">
        <w:rPr>
          <w:rtl w:val="0"/>
        </w:rPr>
        <w:t xml:space="preserve"> has a strong presence in the Services and Utilities and Chemicals industries, which </w:t>
      </w:r>
      <w:r w:rsidDel="00000000" w:rsidR="00000000" w:rsidRPr="00000000">
        <w:rPr>
          <w:rtl w:val="0"/>
        </w:rPr>
        <w:t xml:space="preserve">both present a good opportunity for further investment</w:t>
      </w:r>
      <w:r w:rsidDel="00000000" w:rsidR="00000000" w:rsidRPr="00000000">
        <w:rPr>
          <w:rtl w:val="0"/>
        </w:rPr>
        <w:t xml:space="preserve">. It also could consider Precious Stones, Energy Drilling and Mining, and Wod Products to improve its growth. </w:t>
      </w:r>
      <w:r w:rsidDel="00000000" w:rsidR="00000000" w:rsidRPr="00000000">
        <w:rPr>
          <w:rtl w:val="0"/>
        </w:rPr>
        <w:t xml:space="preserve">Spain</w:t>
      </w:r>
      <w:r w:rsidDel="00000000" w:rsidR="00000000" w:rsidRPr="00000000">
        <w:rPr>
          <w:rtl w:val="0"/>
        </w:rPr>
        <w:t xml:space="preserve"> has seen a growth in GDP over those three years of 1.4%, with an average growth of 1.07%, compared to 1.4% for the average yearly growth for the five years prior. </w:t>
      </w:r>
      <w:r w:rsidDel="00000000" w:rsidR="00000000" w:rsidRPr="00000000">
        <w:rPr>
          <w:rtl w:val="0"/>
        </w:rPr>
        <w:t xml:space="preserve">Spain</w:t>
      </w:r>
      <w:r w:rsidDel="00000000" w:rsidR="00000000" w:rsidRPr="00000000">
        <w:rPr>
          <w:rtl w:val="0"/>
        </w:rPr>
        <w:t xml:space="preserve"> also ranked in the lower quartile among all countries in terms of SOI.</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Higher</w:t>
      </w:r>
      <w:r w:rsidDel="00000000" w:rsidR="00000000" w:rsidRPr="00000000">
        <w:rPr>
          <w:rtl w:val="0"/>
        </w:rPr>
        <w:t xml:space="preserve"> than before, its adjusted R-squared value of 0.259 now</w:t>
      </w:r>
      <w:r w:rsidDel="00000000" w:rsidR="00000000" w:rsidRPr="00000000">
        <w:rPr>
          <w:rtl w:val="0"/>
        </w:rPr>
        <w:t xml:space="preserve"> </w:t>
      </w:r>
      <w:r w:rsidDel="00000000" w:rsidR="00000000" w:rsidRPr="00000000">
        <w:rPr>
          <w:rtl w:val="0"/>
        </w:rPr>
        <w:t xml:space="preserve">indicates a higher correlation between the GDP growth and the implemented development path. Progress is slow on a global scale during this period, but </w:t>
      </w:r>
      <w:r w:rsidDel="00000000" w:rsidR="00000000" w:rsidRPr="00000000">
        <w:rPr>
          <w:rtl w:val="0"/>
        </w:rPr>
        <w:t xml:space="preserve">Spain</w:t>
      </w:r>
      <w:r w:rsidDel="00000000" w:rsidR="00000000" w:rsidRPr="00000000">
        <w:rPr>
          <w:rtl w:val="0"/>
        </w:rPr>
        <w:t xml:space="preserve"> demonstrates a greater</w:t>
      </w:r>
      <w:r w:rsidDel="00000000" w:rsidR="00000000" w:rsidRPr="00000000">
        <w:rPr>
          <w:rtl w:val="0"/>
        </w:rPr>
        <w:t xml:space="preserve"> </w:t>
      </w:r>
      <w:r w:rsidDel="00000000" w:rsidR="00000000" w:rsidRPr="00000000">
        <w:rPr>
          <w:rtl w:val="0"/>
        </w:rPr>
        <w:t xml:space="preserve">ability to adjust to negative economic shocks by improving </w:t>
      </w:r>
      <w:r w:rsidDel="00000000" w:rsidR="00000000" w:rsidRPr="00000000">
        <w:rPr>
          <w:rtl w:val="0"/>
        </w:rPr>
        <w:t xml:space="preserve">SOI</w:t>
      </w:r>
      <w:r w:rsidDel="00000000" w:rsidR="00000000" w:rsidRPr="00000000">
        <w:rPr>
          <w:rtl w:val="0"/>
        </w:rPr>
        <w:t xml:space="preserve"> and increasing GDP growth than it did between 2013 and 2018.</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jc w:val="center"/>
        <w:rPr/>
      </w:pPr>
      <w:r w:rsidDel="00000000" w:rsidR="00000000" w:rsidRPr="00000000">
        <w:rPr/>
        <w:drawing>
          <wp:inline distB="114300" distT="114300" distL="114300" distR="114300">
            <wp:extent cx="5731200" cy="2222500"/>
            <wp:effectExtent b="0" l="0" r="0" t="0"/>
            <wp:docPr id="13"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jc w:val="center"/>
        <w:rPr>
          <w:sz w:val="22"/>
          <w:szCs w:val="22"/>
        </w:rPr>
      </w:pPr>
      <w:r w:rsidDel="00000000" w:rsidR="00000000" w:rsidRPr="00000000">
        <w:rPr>
          <w:sz w:val="22"/>
          <w:szCs w:val="22"/>
          <w:rtl w:val="0"/>
        </w:rPr>
        <w:t xml:space="preserve">Figure 10b. SOI of </w:t>
      </w:r>
      <w:r w:rsidDel="00000000" w:rsidR="00000000" w:rsidRPr="00000000">
        <w:rPr>
          <w:sz w:val="22"/>
          <w:szCs w:val="22"/>
          <w:rtl w:val="0"/>
        </w:rPr>
        <w:t xml:space="preserve">Spain</w:t>
      </w:r>
      <w:r w:rsidDel="00000000" w:rsidR="00000000" w:rsidRPr="00000000">
        <w:rPr>
          <w:sz w:val="22"/>
          <w:szCs w:val="22"/>
          <w:rtl w:val="0"/>
        </w:rPr>
        <w:t xml:space="preserve"> (2019-2021)</w:t>
      </w:r>
    </w:p>
    <w:p w:rsidR="00000000" w:rsidDel="00000000" w:rsidP="00000000" w:rsidRDefault="00000000" w:rsidRPr="00000000" w14:paraId="00000291">
      <w:pPr>
        <w:pageBreakBefore w:val="0"/>
        <w:jc w:val="both"/>
        <w:rPr>
          <w:b w:val="1"/>
          <w:bCs w:val="1"/>
        </w:rPr>
      </w:pPr>
      <w:r w:rsidDel="00000000" w:rsidR="00000000" w:rsidRPr="00000000">
        <w:rPr>
          <w:rtl w:val="0"/>
        </w:rPr>
      </w:r>
    </w:p>
    <w:p w:rsidR="00000000" w:rsidDel="00000000" w:rsidP="00000000" w:rsidRDefault="00000000" w:rsidRPr="00000000" w14:paraId="00000292">
      <w:pPr>
        <w:pageBreakBefore w:val="0"/>
        <w:jc w:val="both"/>
        <w:rPr>
          <w:b w:val="1"/>
          <w:bCs w:val="1"/>
        </w:rPr>
      </w:pPr>
      <w:r w:rsidDel="00000000" w:rsidR="00000000" w:rsidRPr="00000000">
        <w:rPr>
          <w:rtl w:val="0"/>
        </w:rPr>
      </w:r>
    </w:p>
    <w:p w:rsidR="00000000" w:rsidDel="00000000" w:rsidP="00000000" w:rsidRDefault="00000000" w:rsidRPr="00000000" w14:paraId="00000293">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9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295">
      <w:pPr>
        <w:pageBreakBefore w:val="0"/>
        <w:jc w:val="both"/>
        <w:rPr/>
      </w:pPr>
      <w:r w:rsidDel="00000000" w:rsidR="00000000" w:rsidRPr="00000000">
        <w:rPr>
          <w:rtl w:val="0"/>
        </w:rPr>
      </w:r>
    </w:p>
    <w:p w:rsidR="00000000" w:rsidDel="00000000" w:rsidP="00000000" w:rsidRDefault="00000000" w:rsidRPr="00000000" w14:paraId="00000296">
      <w:pPr>
        <w:pageBreakBefore w:val="0"/>
        <w:jc w:val="both"/>
        <w:rPr/>
      </w:pPr>
      <w:r w:rsidDel="00000000" w:rsidR="00000000" w:rsidRPr="00000000">
        <w:rPr>
          <w:rtl w:val="0"/>
        </w:rPr>
        <w:t xml:space="preserve">In conclusion, </w:t>
      </w:r>
      <w:r w:rsidDel="00000000" w:rsidR="00000000" w:rsidRPr="00000000">
        <w:rPr>
          <w:rtl w:val="0"/>
        </w:rPr>
        <w:t xml:space="preserve">Spain</w:t>
      </w:r>
      <w:r w:rsidDel="00000000" w:rsidR="00000000" w:rsidRPr="00000000">
        <w:rPr>
          <w:rtl w:val="0"/>
        </w:rPr>
        <w:t xml:space="preserve"> has demonstrated a low level of economic growth in terms of annual GDP increase during the period from 2013 to 2018, concurrent with an increase in economic complexity as compared with other major developed economies. For 2019-2021, the growth in GDP has </w:t>
      </w:r>
      <w:r w:rsidDel="00000000" w:rsidR="00000000" w:rsidRPr="00000000">
        <w:rPr>
          <w:rtl w:val="0"/>
        </w:rPr>
        <w:t xml:space="preserve">decreased</w:t>
      </w:r>
      <w:r w:rsidDel="00000000" w:rsidR="00000000" w:rsidRPr="00000000">
        <w:rPr>
          <w:rtl w:val="0"/>
        </w:rPr>
        <w:t xml:space="preserve"> alongside a </w:t>
      </w:r>
      <w:r w:rsidDel="00000000" w:rsidR="00000000" w:rsidRPr="00000000">
        <w:rPr>
          <w:rtl w:val="0"/>
        </w:rPr>
        <w:t xml:space="preserve">small</w:t>
      </w:r>
      <w:r w:rsidDel="00000000" w:rsidR="00000000" w:rsidRPr="00000000">
        <w:rPr>
          <w:rtl w:val="0"/>
        </w:rPr>
        <w:t xml:space="preserve"> boost in ECI, </w:t>
      </w:r>
      <w:r w:rsidDel="00000000" w:rsidR="00000000" w:rsidRPr="00000000">
        <w:rPr>
          <w:rtl w:val="0"/>
        </w:rPr>
        <w:t xml:space="preserve">in line with its comparable countries and higher than some of the leading economies in the world</w:t>
      </w:r>
      <w:r w:rsidDel="00000000" w:rsidR="00000000" w:rsidRPr="00000000">
        <w:rPr>
          <w:rtl w:val="0"/>
        </w:rPr>
        <w:t xml:space="preserve">.</w:t>
      </w:r>
    </w:p>
    <w:p w:rsidR="00000000" w:rsidDel="00000000" w:rsidP="00000000" w:rsidRDefault="00000000" w:rsidRPr="00000000" w14:paraId="00000297">
      <w:pPr>
        <w:pageBreakBefore w:val="0"/>
        <w:jc w:val="both"/>
        <w:rPr/>
      </w:pPr>
      <w:r w:rsidDel="00000000" w:rsidR="00000000" w:rsidRPr="00000000">
        <w:rPr>
          <w:rtl w:val="0"/>
        </w:rPr>
      </w:r>
    </w:p>
    <w:p w:rsidR="00000000" w:rsidDel="00000000" w:rsidP="00000000" w:rsidRDefault="00000000" w:rsidRPr="00000000" w14:paraId="00000298">
      <w:pPr>
        <w:pageBreakBefore w:val="0"/>
        <w:jc w:val="both"/>
        <w:rPr/>
      </w:pPr>
      <w:r w:rsidDel="00000000" w:rsidR="00000000" w:rsidRPr="00000000">
        <w:rPr>
          <w:rtl w:val="0"/>
        </w:rPr>
        <w:t xml:space="preserve">The lack of progress during the first period, we believe, can be partially explained through the analysis of the economic and product complexity structure of </w:t>
      </w:r>
      <w:r w:rsidDel="00000000" w:rsidR="00000000" w:rsidRPr="00000000">
        <w:rPr>
          <w:rtl w:val="0"/>
        </w:rPr>
        <w:t xml:space="preserve">Spain</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Spain</w:t>
      </w:r>
      <w:r w:rsidDel="00000000" w:rsidR="00000000" w:rsidRPr="00000000">
        <w:rPr>
          <w:rtl w:val="0"/>
        </w:rPr>
        <w:t xml:space="preserve"> </w:t>
      </w:r>
      <w:r w:rsidDel="00000000" w:rsidR="00000000" w:rsidRPr="00000000">
        <w:rPr>
          <w:rtl w:val="0"/>
        </w:rPr>
        <w:t xml:space="preserve">regressed</w:t>
      </w:r>
      <w:r w:rsidDel="00000000" w:rsidR="00000000" w:rsidRPr="00000000">
        <w:rPr>
          <w:rtl w:val="0"/>
        </w:rPr>
        <w:t xml:space="preserve"> in developing </w:t>
      </w:r>
      <w:r w:rsidDel="00000000" w:rsidR="00000000" w:rsidRPr="00000000">
        <w:rPr>
          <w:rtl w:val="0"/>
        </w:rPr>
        <w:t xml:space="preserve">most of its industries during the period, while its developed counterparts and emerging economies around the globe adopted much more complex and progressive paths.</w:t>
      </w:r>
      <w:r w:rsidDel="00000000" w:rsidR="00000000" w:rsidRPr="00000000">
        <w:rPr>
          <w:rtl w:val="0"/>
        </w:rPr>
      </w:r>
    </w:p>
    <w:p w:rsidR="00000000" w:rsidDel="00000000" w:rsidP="00000000" w:rsidRDefault="00000000" w:rsidRPr="00000000" w14:paraId="00000299">
      <w:pPr>
        <w:pageBreakBefore w:val="0"/>
        <w:jc w:val="both"/>
        <w:rPr/>
      </w:pPr>
      <w:r w:rsidDel="00000000" w:rsidR="00000000" w:rsidRPr="00000000">
        <w:rPr>
          <w:rtl w:val="0"/>
        </w:rPr>
      </w:r>
    </w:p>
    <w:p w:rsidR="00000000" w:rsidDel="00000000" w:rsidP="00000000" w:rsidRDefault="00000000" w:rsidRPr="00000000" w14:paraId="0000029A">
      <w:pPr>
        <w:pageBreakBefore w:val="0"/>
        <w:jc w:val="both"/>
        <w:rPr/>
      </w:pPr>
      <w:r w:rsidDel="00000000" w:rsidR="00000000" w:rsidRPr="00000000">
        <w:rPr>
          <w:rtl w:val="0"/>
        </w:rPr>
        <w:t xml:space="preserve">Based on our analysis of the opportunity gain and sensitivity analysis of major industry groups for 2013-2018, Spain can further its gains by prioritizing High-complexity Products and Chemicals.  We further note that </w:t>
      </w:r>
      <w:r w:rsidDel="00000000" w:rsidR="00000000" w:rsidRPr="00000000">
        <w:rPr>
          <w:rtl w:val="0"/>
        </w:rPr>
        <w:t xml:space="preserve">Spain</w:t>
      </w:r>
      <w:r w:rsidDel="00000000" w:rsidR="00000000" w:rsidRPr="00000000">
        <w:rPr>
          <w:rtl w:val="0"/>
        </w:rPr>
        <w:t xml:space="preserve"> has a </w:t>
      </w:r>
      <w:r w:rsidDel="00000000" w:rsidR="00000000" w:rsidRPr="00000000">
        <w:rPr>
          <w:rtl w:val="0"/>
        </w:rPr>
        <w:t xml:space="preserve">heavily mismatched development strategy</w:t>
      </w:r>
      <w:r w:rsidDel="00000000" w:rsidR="00000000" w:rsidRPr="00000000">
        <w:rPr>
          <w:rtl w:val="0"/>
        </w:rPr>
        <w:t xml:space="preserve"> that indicates a low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0.004%. Since a </w:t>
      </w:r>
      <w:r w:rsidDel="00000000" w:rsidR="00000000" w:rsidRPr="00000000">
        <w:rPr>
          <w:rtl w:val="0"/>
        </w:rPr>
        <w:t xml:space="preserve">significant positive correlation</w:t>
      </w:r>
      <w:r w:rsidDel="00000000" w:rsidR="00000000" w:rsidRPr="00000000">
        <w:rPr>
          <w:rtl w:val="0"/>
        </w:rPr>
        <w:t xml:space="preserve"> exists between five-year GDP growth and the structural optimality index of an economy as we define and calculate, </w:t>
      </w:r>
      <w:r w:rsidDel="00000000" w:rsidR="00000000" w:rsidRPr="00000000">
        <w:rPr>
          <w:rtl w:val="0"/>
        </w:rPr>
        <w:t xml:space="preserve">Spain</w:t>
      </w:r>
      <w:r w:rsidDel="00000000" w:rsidR="00000000" w:rsidRPr="00000000">
        <w:rPr>
          <w:rtl w:val="0"/>
        </w:rPr>
        <w:t xml:space="preserve"> indeed has a </w:t>
      </w:r>
      <w:r w:rsidDel="00000000" w:rsidR="00000000" w:rsidRPr="00000000">
        <w:rPr>
          <w:rtl w:val="0"/>
        </w:rPr>
        <w:t xml:space="preserve">suboptimal</w:t>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29B">
      <w:pPr>
        <w:pageBreakBefore w:val="0"/>
        <w:jc w:val="both"/>
        <w:rPr/>
      </w:pPr>
      <w:r w:rsidDel="00000000" w:rsidR="00000000" w:rsidRPr="00000000">
        <w:rPr>
          <w:rtl w:val="0"/>
        </w:rPr>
      </w:r>
    </w:p>
    <w:p w:rsidR="00000000" w:rsidDel="00000000" w:rsidP="00000000" w:rsidRDefault="00000000" w:rsidRPr="00000000" w14:paraId="0000029C">
      <w:pPr>
        <w:jc w:val="both"/>
        <w:rPr/>
      </w:pPr>
      <w:r w:rsidDel="00000000" w:rsidR="00000000" w:rsidRPr="00000000">
        <w:rPr>
          <w:rtl w:val="0"/>
        </w:rPr>
        <w:t xml:space="preserve">During the second examined period from 2019 to 2021, </w:t>
      </w:r>
      <w:r w:rsidDel="00000000" w:rsidR="00000000" w:rsidRPr="00000000">
        <w:rPr>
          <w:rtl w:val="0"/>
        </w:rPr>
        <w:t xml:space="preserve">Spain</w:t>
      </w:r>
      <w:r w:rsidDel="00000000" w:rsidR="00000000" w:rsidRPr="00000000">
        <w:rPr>
          <w:rtl w:val="0"/>
        </w:rPr>
        <w:t xml:space="preserve"> performed much </w:t>
      </w:r>
      <w:r w:rsidDel="00000000" w:rsidR="00000000" w:rsidRPr="00000000">
        <w:rPr>
          <w:rtl w:val="0"/>
        </w:rPr>
        <w:t xml:space="preserve">weaker</w:t>
      </w:r>
      <w:r w:rsidDel="00000000" w:rsidR="00000000" w:rsidRPr="00000000">
        <w:rPr>
          <w:rtl w:val="0"/>
        </w:rPr>
        <w:t xml:space="preserve"> than before and compared to other countries, particularly France. We infer that during the  COVID-19 period, Spain focused on developing </w:t>
      </w:r>
      <w:r w:rsidDel="00000000" w:rsidR="00000000" w:rsidRPr="00000000">
        <w:rPr>
          <w:rtl w:val="0"/>
        </w:rPr>
        <w:t xml:space="preserve">lower complexity industries, in line with lower demand for these industries given the global economic downturn</w:t>
      </w:r>
      <w:r w:rsidDel="00000000" w:rsidR="00000000" w:rsidRPr="00000000">
        <w:rPr>
          <w:rtl w:val="0"/>
        </w:rPr>
        <w:t xml:space="preserve">. We also note that </w:t>
      </w:r>
      <w:r w:rsidDel="00000000" w:rsidR="00000000" w:rsidRPr="00000000">
        <w:rPr>
          <w:rtl w:val="0"/>
        </w:rPr>
        <w:t xml:space="preserve">Spain</w:t>
      </w:r>
      <w:r w:rsidDel="00000000" w:rsidR="00000000" w:rsidRPr="00000000">
        <w:rPr>
          <w:rtl w:val="0"/>
        </w:rPr>
        <w:t xml:space="preserve"> has increased its investment in the sectors identified earlier, leading to a strong boost from Chemical Manufacturing and Raw Manufacturing industries, leaving some room for strategic improvement. It did invest in the industries which contributed the most to its advancements, such as Chemical Manufacturing and Raw Manufacturing industries. The ECI suggests that greater growth could have been achieved through Services and Utilities, followed by Machinery and Construction and Chemicals. The surprising growth also increased the adjusted R-squared value to 0.259% in 2021 from 0.004% in 2018, demonstrating the pursued strategies </w:t>
      </w:r>
      <w:r w:rsidDel="00000000" w:rsidR="00000000" w:rsidRPr="00000000">
        <w:rPr>
          <w:rtl w:val="0"/>
        </w:rPr>
        <w:t xml:space="preserve">contributed</w:t>
      </w:r>
      <w:r w:rsidDel="00000000" w:rsidR="00000000" w:rsidRPr="00000000">
        <w:rPr>
          <w:rtl w:val="0"/>
        </w:rPr>
        <w:t xml:space="preserve"> to the GDP. With the revised focus, </w:t>
      </w:r>
      <w:r w:rsidDel="00000000" w:rsidR="00000000" w:rsidRPr="00000000">
        <w:rPr>
          <w:rtl w:val="0"/>
        </w:rPr>
        <w:t xml:space="preserve">Spain</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post-pandemic recovery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jc w:val="center"/>
        <w:rPr>
          <w:b w:val="1"/>
          <w:bCs w:val="1"/>
          <w:sz w:val="28"/>
          <w:szCs w:val="28"/>
        </w:rPr>
      </w:pPr>
      <w:r w:rsidDel="00000000" w:rsidR="00000000" w:rsidRPr="00000000">
        <w:rPr>
          <w:rtl w:val="0"/>
        </w:rPr>
      </w:r>
    </w:p>
    <w:p w:rsidR="00000000" w:rsidDel="00000000" w:rsidP="00000000" w:rsidRDefault="00000000" w:rsidRPr="00000000" w14:paraId="0000029F">
      <w:pPr>
        <w:jc w:val="center"/>
        <w:rPr/>
      </w:pPr>
      <w:r w:rsidDel="00000000" w:rsidR="00000000" w:rsidRPr="00000000">
        <w:rPr>
          <w:rtl w:val="0"/>
        </w:rPr>
      </w:r>
    </w:p>
    <w:p w:rsidR="00000000" w:rsidDel="00000000" w:rsidP="00000000" w:rsidRDefault="00000000" w:rsidRPr="00000000" w14:paraId="000002A0">
      <w:pPr>
        <w:pageBreakBefore w:val="0"/>
        <w:jc w:val="both"/>
        <w:rPr/>
      </w:pPr>
      <w:r w:rsidDel="00000000" w:rsidR="00000000" w:rsidRPr="00000000">
        <w:rPr>
          <w:rtl w:val="0"/>
        </w:rPr>
      </w:r>
    </w:p>
    <w:p w:rsidR="00000000" w:rsidDel="00000000" w:rsidP="00000000" w:rsidRDefault="00000000" w:rsidRPr="00000000" w14:paraId="000002A1">
      <w:pPr>
        <w:pageBreakBefore w:val="0"/>
        <w:jc w:val="both"/>
        <w:rPr/>
      </w:pPr>
      <w:r w:rsidDel="00000000" w:rsidR="00000000" w:rsidRPr="00000000">
        <w:rPr>
          <w:rtl w:val="0"/>
        </w:rPr>
      </w:r>
    </w:p>
    <w:p w:rsidR="00000000" w:rsidDel="00000000" w:rsidP="00000000" w:rsidRDefault="00000000" w:rsidRPr="00000000" w14:paraId="000002A2">
      <w:pPr>
        <w:pageBreakBefore w:val="0"/>
        <w:jc w:val="both"/>
        <w:rPr/>
      </w:pPr>
      <w:r w:rsidDel="00000000" w:rsidR="00000000" w:rsidRPr="00000000">
        <w:rPr>
          <w:rtl w:val="0"/>
        </w:rPr>
      </w:r>
    </w:p>
    <w:p w:rsidR="00000000" w:rsidDel="00000000" w:rsidP="00000000" w:rsidRDefault="00000000" w:rsidRPr="00000000" w14:paraId="000002A3">
      <w:pPr>
        <w:pageBreakBefore w:val="0"/>
        <w:jc w:val="both"/>
        <w:rPr/>
      </w:pPr>
      <w:r w:rsidDel="00000000" w:rsidR="00000000" w:rsidRPr="00000000">
        <w:rPr>
          <w:rtl w:val="0"/>
        </w:rPr>
      </w:r>
    </w:p>
    <w:p w:rsidR="00000000" w:rsidDel="00000000" w:rsidP="00000000" w:rsidRDefault="00000000" w:rsidRPr="00000000" w14:paraId="000002A4">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2A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A6">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2A7">
      <w:pPr>
        <w:pageBreakBefore w:val="0"/>
        <w:jc w:val="both"/>
        <w:rPr>
          <w:color w:val="000000"/>
          <w:highlight w:val="white"/>
        </w:rPr>
      </w:pPr>
      <w:r w:rsidDel="00000000" w:rsidR="00000000" w:rsidRPr="00000000">
        <w:rPr>
          <w:rtl w:val="0"/>
        </w:rPr>
      </w:r>
    </w:p>
    <w:p w:rsidR="00000000" w:rsidDel="00000000" w:rsidP="00000000" w:rsidRDefault="00000000" w:rsidRPr="00000000" w14:paraId="000002A8">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2A9">
      <w:pPr>
        <w:pageBreakBefore w:val="0"/>
        <w:jc w:val="both"/>
        <w:rPr>
          <w:color w:val="000000"/>
          <w:highlight w:val="white"/>
        </w:rPr>
      </w:pPr>
      <w:r w:rsidDel="00000000" w:rsidR="00000000" w:rsidRPr="00000000">
        <w:rPr>
          <w:rtl w:val="0"/>
        </w:rPr>
      </w:r>
    </w:p>
    <w:p w:rsidR="00000000" w:rsidDel="00000000" w:rsidP="00000000" w:rsidRDefault="00000000" w:rsidRPr="00000000" w14:paraId="000002AA">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2AB">
      <w:pPr>
        <w:pageBreakBefore w:val="0"/>
        <w:jc w:val="both"/>
        <w:rPr>
          <w:color w:val="000000"/>
          <w:highlight w:val="white"/>
        </w:rPr>
      </w:pPr>
      <w:r w:rsidDel="00000000" w:rsidR="00000000" w:rsidRPr="00000000">
        <w:rPr>
          <w:rtl w:val="0"/>
        </w:rPr>
      </w:r>
    </w:p>
    <w:p w:rsidR="00000000" w:rsidDel="00000000" w:rsidP="00000000" w:rsidRDefault="00000000" w:rsidRPr="00000000" w14:paraId="000002AC">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2AD">
      <w:pPr>
        <w:pageBreakBefore w:val="0"/>
        <w:jc w:val="both"/>
        <w:rPr>
          <w:color w:val="000000"/>
          <w:highlight w:val="white"/>
        </w:rPr>
      </w:pPr>
      <w:r w:rsidDel="00000000" w:rsidR="00000000" w:rsidRPr="00000000">
        <w:rPr>
          <w:rtl w:val="0"/>
        </w:rPr>
      </w:r>
    </w:p>
    <w:p w:rsidR="00000000" w:rsidDel="00000000" w:rsidP="00000000" w:rsidRDefault="00000000" w:rsidRPr="00000000" w14:paraId="000002AE">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2AF">
      <w:pPr>
        <w:pageBreakBefore w:val="0"/>
        <w:jc w:val="both"/>
        <w:rPr>
          <w:color w:val="000000"/>
          <w:highlight w:val="white"/>
        </w:rPr>
      </w:pPr>
      <w:r w:rsidDel="00000000" w:rsidR="00000000" w:rsidRPr="00000000">
        <w:rPr>
          <w:rtl w:val="0"/>
        </w:rPr>
      </w:r>
    </w:p>
    <w:p w:rsidR="00000000" w:rsidDel="00000000" w:rsidP="00000000" w:rsidRDefault="00000000" w:rsidRPr="00000000" w14:paraId="000002B0">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2B1">
      <w:pPr>
        <w:pageBreakBefore w:val="0"/>
        <w:jc w:val="both"/>
        <w:rPr>
          <w:color w:val="000000"/>
          <w:highlight w:val="white"/>
        </w:rPr>
      </w:pPr>
      <w:r w:rsidDel="00000000" w:rsidR="00000000" w:rsidRPr="00000000">
        <w:rPr>
          <w:rtl w:val="0"/>
        </w:rPr>
      </w:r>
    </w:p>
    <w:p w:rsidR="00000000" w:rsidDel="00000000" w:rsidP="00000000" w:rsidRDefault="00000000" w:rsidRPr="00000000" w14:paraId="000002B2">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2B3">
      <w:pPr>
        <w:pageBreakBefore w:val="0"/>
        <w:jc w:val="both"/>
        <w:rPr>
          <w:color w:val="000000"/>
          <w:highlight w:val="white"/>
        </w:rPr>
      </w:pPr>
      <w:r w:rsidDel="00000000" w:rsidR="00000000" w:rsidRPr="00000000">
        <w:rPr>
          <w:rtl w:val="0"/>
        </w:rPr>
      </w:r>
    </w:p>
    <w:p w:rsidR="00000000" w:rsidDel="00000000" w:rsidP="00000000" w:rsidRDefault="00000000" w:rsidRPr="00000000" w14:paraId="000002B4">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2B5">
      <w:pPr>
        <w:pageBreakBefore w:val="0"/>
        <w:jc w:val="both"/>
        <w:rPr/>
      </w:pPr>
      <w:r w:rsidDel="00000000" w:rsidR="00000000" w:rsidRPr="00000000">
        <w:rPr>
          <w:rtl w:val="0"/>
        </w:rPr>
      </w:r>
    </w:p>
    <w:sectPr>
      <w:headerReference r:id="rId41" w:type="default"/>
      <w:footerReference r:id="rId42" w:type="default"/>
      <w:footerReference r:id="rId43" w:type="first"/>
      <w:footerReference r:id="rId44"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pStyle w:val="Heading2"/>
      <w:keepNext w:val="0"/>
      <w:keepLines w:val="0"/>
      <w:tabs>
        <w:tab w:val="center" w:leader="none" w:pos="4680"/>
        <w:tab w:val="right" w:leader="none" w:pos="9360"/>
      </w:tabs>
      <w:spacing w:after="0" w:before="0" w:line="288" w:lineRule="auto"/>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iawanl41uwao" w:id="3"/>
    <w:bookmarkEnd w:id="3"/>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5" name="image1.png"/>
          <a:graphic>
            <a:graphicData uri="http://schemas.openxmlformats.org/drawingml/2006/picture">
              <pic:pic>
                <pic:nvPicPr>
                  <pic:cNvPr descr="horizontal line" id="0" name="image1.png"/>
                  <pic:cNvPicPr preferRelativeResize="0"/>
                </pic:nvPicPr>
                <pic:blipFill>
                  <a:blip r:embed="rId1"/>
                  <a:srcRect b="-35184" l="0" r="0" t="0"/>
                  <a:stretch>
                    <a:fillRect/>
                  </a:stretch>
                </pic:blipFill>
                <pic:spPr>
                  <a:xfrm>
                    <a:off x="0" y="0"/>
                    <a:ext cx="5731200" cy="101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20" Type="http://schemas.openxmlformats.org/officeDocument/2006/relationships/image" Target="media/image11.png"/><Relationship Id="rId42" Type="http://schemas.openxmlformats.org/officeDocument/2006/relationships/footer" Target="footer2.xml"/><Relationship Id="rId41" Type="http://schemas.openxmlformats.org/officeDocument/2006/relationships/header" Target="header1.xml"/><Relationship Id="rId22" Type="http://schemas.openxmlformats.org/officeDocument/2006/relationships/image" Target="media/image32.png"/><Relationship Id="rId44" Type="http://schemas.openxmlformats.org/officeDocument/2006/relationships/footer" Target="footer1.xml"/><Relationship Id="rId21" Type="http://schemas.openxmlformats.org/officeDocument/2006/relationships/image" Target="media/image7.png"/><Relationship Id="rId43" Type="http://schemas.openxmlformats.org/officeDocument/2006/relationships/footer" Target="footer3.xml"/><Relationship Id="rId24" Type="http://schemas.openxmlformats.org/officeDocument/2006/relationships/image" Target="media/image21.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2.jpg"/><Relationship Id="rId25" Type="http://schemas.openxmlformats.org/officeDocument/2006/relationships/image" Target="media/image27.png"/><Relationship Id="rId28" Type="http://schemas.openxmlformats.org/officeDocument/2006/relationships/image" Target="media/image28.png"/><Relationship Id="rId27"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36.png"/><Relationship Id="rId29" Type="http://schemas.openxmlformats.org/officeDocument/2006/relationships/image" Target="media/image13.png"/><Relationship Id="rId7" Type="http://schemas.openxmlformats.org/officeDocument/2006/relationships/image" Target="media/image34.png"/><Relationship Id="rId8" Type="http://schemas.openxmlformats.org/officeDocument/2006/relationships/image" Target="media/image6.png"/><Relationship Id="rId31" Type="http://schemas.openxmlformats.org/officeDocument/2006/relationships/image" Target="media/image5.jpg"/><Relationship Id="rId30" Type="http://schemas.openxmlformats.org/officeDocument/2006/relationships/image" Target="media/image18.jpg"/><Relationship Id="rId11" Type="http://schemas.openxmlformats.org/officeDocument/2006/relationships/image" Target="media/image29.png"/><Relationship Id="rId33" Type="http://schemas.openxmlformats.org/officeDocument/2006/relationships/image" Target="media/image33.jpg"/><Relationship Id="rId10" Type="http://schemas.openxmlformats.org/officeDocument/2006/relationships/image" Target="media/image24.png"/><Relationship Id="rId32" Type="http://schemas.openxmlformats.org/officeDocument/2006/relationships/image" Target="media/image4.jpg"/><Relationship Id="rId13" Type="http://schemas.openxmlformats.org/officeDocument/2006/relationships/image" Target="media/image10.png"/><Relationship Id="rId35" Type="http://schemas.openxmlformats.org/officeDocument/2006/relationships/image" Target="media/image35.jpg"/><Relationship Id="rId12" Type="http://schemas.openxmlformats.org/officeDocument/2006/relationships/image" Target="media/image23.png"/><Relationship Id="rId34" Type="http://schemas.openxmlformats.org/officeDocument/2006/relationships/image" Target="media/image19.jpg"/><Relationship Id="rId15" Type="http://schemas.openxmlformats.org/officeDocument/2006/relationships/image" Target="media/image8.jpg"/><Relationship Id="rId37" Type="http://schemas.openxmlformats.org/officeDocument/2006/relationships/image" Target="media/image17.jpg"/><Relationship Id="rId14" Type="http://schemas.openxmlformats.org/officeDocument/2006/relationships/image" Target="media/image20.png"/><Relationship Id="rId36" Type="http://schemas.openxmlformats.org/officeDocument/2006/relationships/image" Target="media/image14.jpg"/><Relationship Id="rId17" Type="http://schemas.openxmlformats.org/officeDocument/2006/relationships/image" Target="media/image26.png"/><Relationship Id="rId39" Type="http://schemas.openxmlformats.org/officeDocument/2006/relationships/image" Target="media/image22.png"/><Relationship Id="rId16" Type="http://schemas.openxmlformats.org/officeDocument/2006/relationships/image" Target="media/image25.jpg"/><Relationship Id="rId38" Type="http://schemas.openxmlformats.org/officeDocument/2006/relationships/image" Target="media/image31.png"/><Relationship Id="rId19" Type="http://schemas.openxmlformats.org/officeDocument/2006/relationships/image" Target="media/image15.png"/><Relationship Id="rId1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