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5" name="image36.png"/>
            <a:graphic>
              <a:graphicData uri="http://schemas.openxmlformats.org/drawingml/2006/picture">
                <pic:pic>
                  <pic:nvPicPr>
                    <pic:cNvPr descr="horizontal line" id="0" name="image3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32" name="image40.png"/>
            <a:graphic>
              <a:graphicData uri="http://schemas.openxmlformats.org/drawingml/2006/picture">
                <pic:pic>
                  <pic:nvPicPr>
                    <pic:cNvPr id="0" name="image4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Sweden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Sweden</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Sweden went through during the period from 2013 to 2021. Specifically, we dive into the topic through a macroeconomic overview of Sweden from the perspective of Gross Domestic Product (GDP) and Economic Complexity Index (ECI), which reflect countries’ production capability and production structure, respectively. We find that during the period of our interest, Sweden demonstrated a moderate level of economic growth with an average annual GDP growth rate of 3.44% between 2013 and 2018 and 5.77% between 2019 and 2021, concurrent with a decrease in economic complexity, similar to other developed economies. </w:t>
      </w: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Sweden on the industry group level. The product classification system we adopt allows us to measure the realized industry development for various industry groups and to observe that S</w:t>
      </w:r>
      <w:r w:rsidDel="00000000" w:rsidR="00000000" w:rsidRPr="00000000">
        <w:rPr>
          <w:rtl w:val="0"/>
        </w:rPr>
        <w:t xml:space="preserve">weden consistently relied on developing the Services and Utilities in 2013-2018 and Animal By-products in 2019-2021 and Machinery and Construction industries in both periods,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a sensitivity analysis of major industry groups, Sweden can further its gains by prioritizing High-Complexity Products and Transportation in 2018. Three years later, in 2021, its focus should have shifted to Energy, Drilling, and Mining, which was a more developed industry at the time. We further note that Sweden has a slightly mismatched development strategy that indicates a low level (compared to other developed countries) of structural optimality on the complexity level, having an adjusted R-square of around 0.516% in 2018 and 1.6% in 2021, demonstrating an improvement in development. Since a significant positive correlation exists between five-year GDP growth and the structural optimality index of an economy as we define and calculate, Sweden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following showed a mixed progress in Sweden’s economic growth. Its GDP continued to grow, albeit at a slower pace, but it saw a significant decline in the ECI, similar to other peer countries. Its current strategy still has the viable potential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Sweden went through during the period from 2019 to 2021, before and after the COVID pandemic, compared to its performance from 2013 to 2018. Specifically, we dive into the topic through a macroeconomic overview of Sweden from the perspective of Gross Domestic Product (GDP) and Economic Complexity Index (ECI), which reflect countries’ production capability and production structure, respectively. We then analyze the industrial framework and changes of Sweden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Sweden,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Sweden and three of its peer countries (Norway, Sweden, Finland) from 2013-2018. Sweden displays consistent, upward growth over the period, which is similar to Finland and Sweden, but different from the volatile, up-and-down GDP growth of Norway. Sweden is in the upper tier of average annual GDP growth rate among its Scandinavian peers; its AAGR of 3.44% is clearly above that of Norway (0.54%) and Finland (2.84%) and comparable to that of Sweden (3.57%).</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Figure 1b shows the GDP levels for Sweden and the same 3 peer countries from 2019 to 2021. Similar to the other countries, Sweden displayed little change in GDP between 2019 and 2020 with all GDPs rebounding in 2021. Over these three years, Sweden had moderate  average annual GDP growth rate of 5.77% compared to Denmark (4.66%), Norway (7.55%), and Finland (3.76%).</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2547046" cy="1738313"/>
            <wp:effectExtent b="0" l="0" r="0" t="0"/>
            <wp:docPr id="4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2547046" cy="1738313"/>
                    </a:xfrm>
                    <a:prstGeom prst="rect"/>
                    <a:ln/>
                  </pic:spPr>
                </pic:pic>
              </a:graphicData>
            </a:graphic>
          </wp:inline>
        </w:drawing>
      </w:r>
      <w:r w:rsidDel="00000000" w:rsidR="00000000" w:rsidRPr="00000000">
        <w:rPr>
          <w:b w:val="1"/>
          <w:bCs w:val="1"/>
        </w:rPr>
        <w:drawing>
          <wp:inline distB="114300" distT="114300" distL="114300" distR="114300">
            <wp:extent cx="2568413" cy="1745718"/>
            <wp:effectExtent b="0" l="0" r="0" t="0"/>
            <wp:docPr id="33"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2568413" cy="174571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jc w:val="both"/>
        <w:rPr/>
      </w:pPr>
      <w:r w:rsidDel="00000000" w:rsidR="00000000" w:rsidRPr="00000000">
        <w:rPr>
          <w:rtl w:val="0"/>
        </w:rPr>
        <w:t xml:space="preserve">Similar to the rest of its Scandinavian peers, Sweden exhibits a decrease in terms of its production capability from 2013 to 2018; this decrease (-33.82%) is noticeably lower than that of Norway (-351.33%) and clearly larger than that of Sweden (-9.25%)  and Finland (-15.68%).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comparable countries maintain a small change in ECI level between 2019 and 2020, with a sharp change between 2020 and 2021. Sweden exhibits a significant decrease in production capability in 2021, perhaps the result of its laissez-faire approach to pandemic economics. Sweden has seen a -209% decrease in its ECI, which is less drastic than Finland's (-267%), but worse than Denmark (-175%) and Norway (153%).</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368388" cy="1565446"/>
            <wp:effectExtent b="0" l="0" r="0" t="0"/>
            <wp:docPr id="4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368388" cy="1565446"/>
                    </a:xfrm>
                    <a:prstGeom prst="rect"/>
                    <a:ln/>
                  </pic:spPr>
                </pic:pic>
              </a:graphicData>
            </a:graphic>
          </wp:inline>
        </w:drawing>
      </w:r>
      <w:r w:rsidDel="00000000" w:rsidR="00000000" w:rsidRPr="00000000">
        <w:rPr/>
        <w:drawing>
          <wp:inline distB="114300" distT="114300" distL="114300" distR="114300">
            <wp:extent cx="2325525" cy="1550350"/>
            <wp:effectExtent b="0" l="0" r="0" t="0"/>
            <wp:docPr id="2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25525" cy="15503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p>
    <w:p w:rsidR="00000000" w:rsidDel="00000000" w:rsidP="00000000" w:rsidRDefault="00000000" w:rsidRPr="00000000" w14:paraId="0000002E">
      <w:pPr>
        <w:jc w:val="both"/>
        <w:rPr/>
      </w:pPr>
      <w:r w:rsidDel="00000000" w:rsidR="00000000" w:rsidRPr="00000000">
        <w:rPr>
          <w:rtl w:val="0"/>
        </w:rPr>
        <w:t xml:space="preserve">Figure 3a and 3b offers a further comparison of GDP Growth and ECI over the time span from 2013 to 2021 for Sweden. The increase in GDP growth during the period from 2013 to 2018 is accompanied by a decrease in ECI. We observe similar behavior in 2019 to 2021. The results show that the economic growth experienced by Sweden during the period from 2013 to 2021 is not very consistent with the predictions by ECI and that Sweden regressed in effectively developing a competitive product space that helps to accumulate complicated knowledge and technology. In order to provide a more concrete answer to why this has happened, we will dive into an analysis of Sweden’s production structure and its product space designs in the next few chapters. </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drawing>
          <wp:inline distB="114300" distT="114300" distL="114300" distR="114300">
            <wp:extent cx="2622187" cy="1652588"/>
            <wp:effectExtent b="0" l="0" r="0" t="0"/>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622187" cy="1652588"/>
                    </a:xfrm>
                    <a:prstGeom prst="rect"/>
                    <a:ln/>
                  </pic:spPr>
                </pic:pic>
              </a:graphicData>
            </a:graphic>
          </wp:inline>
        </w:drawing>
      </w:r>
      <w:r w:rsidDel="00000000" w:rsidR="00000000" w:rsidRPr="00000000">
        <w:rPr>
          <w:b w:val="1"/>
          <w:bCs w:val="1"/>
        </w:rPr>
        <w:drawing>
          <wp:inline distB="114300" distT="114300" distL="114300" distR="114300">
            <wp:extent cx="2714250" cy="1652588"/>
            <wp:effectExtent b="0" l="0" r="0" t="0"/>
            <wp:docPr id="1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71425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sz w:val="22"/>
          <w:szCs w:val="22"/>
          <w:rtl w:val="0"/>
        </w:rPr>
        <w:t xml:space="preserve">Figures 3a and 3b. GDP Growth and ECI for Sweden (left: 2013-2018; right: 2019-2021)</w:t>
      </w: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rtl w:val="0"/>
        </w:rPr>
      </w:r>
    </w:p>
    <w:p w:rsidR="00000000" w:rsidDel="00000000" w:rsidP="00000000" w:rsidRDefault="00000000" w:rsidRPr="00000000" w14:paraId="00000036">
      <w:pPr>
        <w:pageBreakBefore w:val="0"/>
        <w:jc w:val="left"/>
        <w:rPr>
          <w:b w:val="1"/>
          <w:bCs w:val="1"/>
        </w:rPr>
      </w:pPr>
      <w:r w:rsidDel="00000000" w:rsidR="00000000" w:rsidRPr="00000000">
        <w:rPr>
          <w:rtl w:val="0"/>
        </w:rPr>
      </w:r>
    </w:p>
    <w:p w:rsidR="00000000" w:rsidDel="00000000" w:rsidP="00000000" w:rsidRDefault="00000000" w:rsidRPr="00000000" w14:paraId="00000037">
      <w:pPr>
        <w:pageBreakBefore w:val="0"/>
        <w:jc w:val="center"/>
        <w:rPr>
          <w:b w:val="1"/>
          <w:bCs w:val="1"/>
        </w:rPr>
      </w:pPr>
      <w:r w:rsidDel="00000000" w:rsidR="00000000" w:rsidRPr="00000000">
        <w:rPr>
          <w:rtl w:val="0"/>
        </w:rPr>
      </w:r>
    </w:p>
    <w:p w:rsidR="00000000" w:rsidDel="00000000" w:rsidP="00000000" w:rsidRDefault="00000000" w:rsidRPr="00000000" w14:paraId="0000003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A">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B">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E">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F">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0">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B">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B">
            <w:pPr>
              <w:pageBreakBefore w:val="0"/>
              <w:jc w:val="center"/>
              <w:rPr/>
            </w:pPr>
            <w:r w:rsidDel="00000000" w:rsidR="00000000" w:rsidRPr="00000000">
              <w:rPr>
                <w:rtl w:val="0"/>
              </w:rPr>
            </w:r>
          </w:p>
        </w:tc>
        <w:tc>
          <w:tcPr/>
          <w:p w:rsidR="00000000" w:rsidDel="00000000" w:rsidP="00000000" w:rsidRDefault="00000000" w:rsidRPr="00000000" w14:paraId="0000006C">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F-statistic</w:t>
            </w:r>
          </w:p>
        </w:tc>
        <w:tc>
          <w:tcPr>
            <w:vAlign w:val="bottom"/>
          </w:tcPr>
          <w:p w:rsidR="00000000" w:rsidDel="00000000" w:rsidP="00000000" w:rsidRDefault="00000000" w:rsidRPr="00000000" w14:paraId="00000074">
            <w:pPr>
              <w:pageBreakBefore w:val="0"/>
              <w:jc w:val="center"/>
              <w:rPr/>
            </w:pPr>
            <w:r w:rsidDel="00000000" w:rsidR="00000000" w:rsidRPr="00000000">
              <w:rPr>
                <w:rtl w:val="0"/>
              </w:rPr>
              <w:t xml:space="preserve">9.556</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1.638</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107</w:t>
            </w:r>
          </w:p>
        </w:tc>
      </w:tr>
    </w:tbl>
    <w:p w:rsidR="00000000" w:rsidDel="00000000" w:rsidP="00000000" w:rsidRDefault="00000000" w:rsidRPr="00000000" w14:paraId="0000007B">
      <w:pPr>
        <w:pageBreakBefore w:val="0"/>
        <w:jc w:val="center"/>
        <w:rPr/>
      </w:pPr>
      <w:r w:rsidDel="00000000" w:rsidR="00000000" w:rsidRPr="00000000">
        <w:rPr>
          <w:rtl w:val="0"/>
        </w:rPr>
      </w:r>
    </w:p>
    <w:p w:rsidR="00000000" w:rsidDel="00000000" w:rsidP="00000000" w:rsidRDefault="00000000" w:rsidRPr="00000000" w14:paraId="0000007C">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F">
            <w:pPr>
              <w:pageBreakBefore w:val="0"/>
              <w:jc w:val="center"/>
              <w:rPr/>
            </w:pPr>
            <w:r w:rsidDel="00000000" w:rsidR="00000000" w:rsidRPr="00000000">
              <w:rPr>
                <w:rtl w:val="0"/>
              </w:rPr>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rtl w:val="0"/>
              </w:rPr>
              <w:t xml:space="preserve">F-statistic</w:t>
            </w:r>
          </w:p>
        </w:tc>
        <w:tc>
          <w:tcPr>
            <w:vAlign w:val="bottom"/>
          </w:tcPr>
          <w:p w:rsidR="00000000" w:rsidDel="00000000" w:rsidP="00000000" w:rsidRDefault="00000000" w:rsidRPr="00000000" w14:paraId="00000088">
            <w:pPr>
              <w:pageBreakBefore w:val="0"/>
              <w:jc w:val="center"/>
              <w:rPr/>
            </w:pPr>
            <w:r w:rsidDel="00000000" w:rsidR="00000000" w:rsidRPr="00000000">
              <w:rPr>
                <w:rtl w:val="0"/>
              </w:rPr>
              <w:t xml:space="preserve">4.510</w:t>
            </w:r>
          </w:p>
        </w:tc>
        <w:tc>
          <w:tcPr>
            <w:vAlign w:val="bottom"/>
          </w:tcPr>
          <w:p w:rsidR="00000000" w:rsidDel="00000000" w:rsidP="00000000" w:rsidRDefault="00000000" w:rsidRPr="00000000" w14:paraId="00000089">
            <w:pPr>
              <w:pageBreakBefore w:val="0"/>
              <w:jc w:val="center"/>
              <w:rPr/>
            </w:pPr>
            <w:r w:rsidDel="00000000" w:rsidR="00000000" w:rsidRPr="00000000">
              <w:rPr>
                <w:rtl w:val="0"/>
              </w:rPr>
              <w:t xml:space="preserve">1.059</w:t>
            </w:r>
          </w:p>
        </w:tc>
        <w:tc>
          <w:tcPr>
            <w:vAlign w:val="bottom"/>
          </w:tcPr>
          <w:p w:rsidR="00000000" w:rsidDel="00000000" w:rsidP="00000000" w:rsidRDefault="00000000" w:rsidRPr="00000000" w14:paraId="0000008A">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C">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21</w:t>
            </w:r>
          </w:p>
        </w:tc>
      </w:tr>
    </w:tbl>
    <w:p w:rsidR="00000000" w:rsidDel="00000000" w:rsidP="00000000" w:rsidRDefault="00000000" w:rsidRPr="00000000" w14:paraId="0000008F">
      <w:pPr>
        <w:pageBreakBefore w:val="0"/>
        <w:jc w:val="center"/>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1">
      <w:pPr>
        <w:pageBreakBefore w:val="0"/>
        <w:jc w:val="center"/>
        <w:rPr>
          <w:sz w:val="20"/>
          <w:szCs w:val="20"/>
        </w:rPr>
      </w:pPr>
      <w:r w:rsidDel="00000000" w:rsidR="00000000" w:rsidRPr="00000000">
        <w:rPr>
          <w:rtl w:val="0"/>
        </w:rPr>
      </w:r>
    </w:p>
    <w:p w:rsidR="00000000" w:rsidDel="00000000" w:rsidP="00000000" w:rsidRDefault="00000000" w:rsidRPr="00000000" w14:paraId="00000092">
      <w:pPr>
        <w:pageBreakBefore w:val="0"/>
        <w:jc w:val="center"/>
        <w:rPr/>
      </w:pP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rPr>
          <w:rtl w:val="0"/>
        </w:rPr>
      </w:r>
    </w:p>
    <w:p w:rsidR="00000000" w:rsidDel="00000000" w:rsidP="00000000" w:rsidRDefault="00000000" w:rsidRPr="00000000" w14:paraId="00000094">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5">
      <w:pPr>
        <w:pageBreakBefore w:val="0"/>
        <w:jc w:val="both"/>
        <w:rPr/>
      </w:pPr>
      <w:r w:rsidDel="00000000" w:rsidR="00000000" w:rsidRPr="00000000">
        <w:rPr>
          <w:rtl w:val="0"/>
        </w:rPr>
        <w:t xml:space="preserve">Based on the product categorization aforementioned, we aim to capture Sweden’s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w:t>
      </w:r>
      <w:r w:rsidDel="00000000" w:rsidR="00000000" w:rsidRPr="00000000">
        <w:rPr>
          <w:rtl w:val="0"/>
        </w:rPr>
        <w:t xml:space="preserve">Defining this net distance change as the Realized Industry Development (RID), our export data allow us to calculate and compare the RID of Sweden and the 18 product groups in 2021 and 2018 through the difference, where a positive RID indicates a shortening of the distance (i.e., advancement of the industry), and a negative RID indicates the reverse. It is notable that the number of industries with positive RID has increased from 2 to 17 from 2018 to 2021.</w:t>
      </w:r>
    </w:p>
    <w:p w:rsidR="00000000" w:rsidDel="00000000" w:rsidP="00000000" w:rsidRDefault="00000000" w:rsidRPr="00000000" w14:paraId="00000096">
      <w:pPr>
        <w:pageBreakBefore w:val="0"/>
        <w:jc w:val="both"/>
        <w:rPr/>
      </w:pPr>
      <w:r w:rsidDel="00000000" w:rsidR="00000000" w:rsidRPr="00000000">
        <w:rPr>
          <w:rtl w:val="0"/>
        </w:rPr>
      </w:r>
    </w:p>
    <w:p w:rsidR="00000000" w:rsidDel="00000000" w:rsidP="00000000" w:rsidRDefault="00000000" w:rsidRPr="00000000" w14:paraId="00000097">
      <w:pPr>
        <w:pageBreakBefore w:val="0"/>
        <w:jc w:val="center"/>
        <w:rPr/>
      </w:pPr>
      <w:r w:rsidDel="00000000" w:rsidR="00000000" w:rsidRPr="00000000">
        <w:rPr/>
        <w:drawing>
          <wp:inline distB="114300" distT="114300" distL="114300" distR="114300">
            <wp:extent cx="1857823" cy="3871913"/>
            <wp:effectExtent b="0" l="0" r="0" t="0"/>
            <wp:docPr id="29" name="image32.jpg"/>
            <a:graphic>
              <a:graphicData uri="http://schemas.openxmlformats.org/drawingml/2006/picture">
                <pic:pic>
                  <pic:nvPicPr>
                    <pic:cNvPr id="0" name="image32.jpg"/>
                    <pic:cNvPicPr preferRelativeResize="0"/>
                  </pic:nvPicPr>
                  <pic:blipFill>
                    <a:blip r:embed="rId14"/>
                    <a:srcRect b="0" l="0" r="0" t="0"/>
                    <a:stretch>
                      <a:fillRect/>
                    </a:stretch>
                  </pic:blipFill>
                  <pic:spPr>
                    <a:xfrm>
                      <a:off x="0" y="0"/>
                      <a:ext cx="1857823" cy="3871913"/>
                    </a:xfrm>
                    <a:prstGeom prst="rect"/>
                    <a:ln/>
                  </pic:spPr>
                </pic:pic>
              </a:graphicData>
            </a:graphic>
          </wp:inline>
        </w:drawing>
      </w:r>
      <w:r w:rsidDel="00000000" w:rsidR="00000000" w:rsidRPr="00000000">
        <w:rPr>
          <w:b w:val="1"/>
          <w:bCs w:val="1"/>
        </w:rPr>
        <w:drawing>
          <wp:inline distB="114300" distT="114300" distL="114300" distR="114300">
            <wp:extent cx="1774988" cy="3848100"/>
            <wp:effectExtent b="0" l="0" r="0" t="0"/>
            <wp:docPr id="36" name="image39.png"/>
            <a:graphic>
              <a:graphicData uri="http://schemas.openxmlformats.org/drawingml/2006/picture">
                <pic:pic>
                  <pic:nvPicPr>
                    <pic:cNvPr id="0" name="image39.png"/>
                    <pic:cNvPicPr preferRelativeResize="0"/>
                  </pic:nvPicPr>
                  <pic:blipFill>
                    <a:blip r:embed="rId15"/>
                    <a:srcRect b="0" l="9097" r="0" t="0"/>
                    <a:stretch>
                      <a:fillRect/>
                    </a:stretch>
                  </pic:blipFill>
                  <pic:spPr>
                    <a:xfrm>
                      <a:off x="0" y="0"/>
                      <a:ext cx="1774988"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jc w:val="center"/>
        <w:rPr/>
      </w:pPr>
      <w:r w:rsidDel="00000000" w:rsidR="00000000" w:rsidRPr="00000000">
        <w:rPr>
          <w:rtl w:val="0"/>
        </w:rPr>
      </w:r>
    </w:p>
    <w:p w:rsidR="00000000" w:rsidDel="00000000" w:rsidP="00000000" w:rsidRDefault="00000000" w:rsidRPr="00000000" w14:paraId="00000099">
      <w:pPr>
        <w:pageBreakBefore w:val="0"/>
        <w:jc w:val="center"/>
        <w:rPr/>
      </w:pPr>
      <w:r w:rsidDel="00000000" w:rsidR="00000000" w:rsidRPr="00000000">
        <w:rPr>
          <w:rtl w:val="0"/>
        </w:rPr>
        <w:t xml:space="preserve">Table 2: Realized Industry Development (RID) of Sweden</w:t>
      </w:r>
    </w:p>
    <w:p w:rsidR="00000000" w:rsidDel="00000000" w:rsidP="00000000" w:rsidRDefault="00000000" w:rsidRPr="00000000" w14:paraId="0000009A">
      <w:pPr>
        <w:pageBreakBefore w:val="0"/>
        <w:jc w:val="center"/>
        <w:rPr>
          <w:b w:val="1"/>
          <w:bCs w:val="1"/>
        </w:rPr>
      </w:pPr>
      <w:r w:rsidDel="00000000" w:rsidR="00000000" w:rsidRPr="00000000">
        <w:rPr>
          <w:rtl w:val="0"/>
        </w:rPr>
      </w:r>
    </w:p>
    <w:p w:rsidR="00000000" w:rsidDel="00000000" w:rsidP="00000000" w:rsidRDefault="00000000" w:rsidRPr="00000000" w14:paraId="0000009B">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C">
      <w:pPr>
        <w:jc w:val="both"/>
        <w:rPr/>
      </w:pPr>
      <w:r w:rsidDel="00000000" w:rsidR="00000000" w:rsidRPr="00000000">
        <w:rPr>
          <w:rtl w:val="0"/>
        </w:rPr>
        <w:t xml:space="preserve">Tables 4a-4b below summarize how the production strategy adopted by Sweden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Utilities, Precious Stones, and High-Complexity Products in 2021.</w:t>
      </w:r>
    </w:p>
    <w:p w:rsidR="00000000" w:rsidDel="00000000" w:rsidP="00000000" w:rsidRDefault="00000000" w:rsidRPr="00000000" w14:paraId="0000009D">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E">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9F">
            <w:pPr>
              <w:jc w:val="both"/>
              <w:rPr/>
            </w:pPr>
            <w:r w:rsidDel="00000000" w:rsidR="00000000" w:rsidRPr="00000000">
              <w:rPr>
                <w:rtl w:val="0"/>
              </w:rPr>
              <w:t xml:space="preserve">France</w:t>
            </w:r>
          </w:p>
        </w:tc>
        <w:tc>
          <w:tcPr>
            <w:vAlign w:val="center"/>
          </w:tcPr>
          <w:p w:rsidR="00000000" w:rsidDel="00000000" w:rsidP="00000000" w:rsidRDefault="00000000" w:rsidRPr="00000000" w14:paraId="000000A0">
            <w:pPr>
              <w:jc w:val="both"/>
              <w:rPr/>
            </w:pPr>
            <w:r w:rsidDel="00000000" w:rsidR="00000000" w:rsidRPr="00000000">
              <w:rPr>
                <w:rtl w:val="0"/>
              </w:rPr>
              <w:t xml:space="preserve">the UK</w:t>
            </w:r>
          </w:p>
        </w:tc>
        <w:tc>
          <w:tcPr>
            <w:vAlign w:val="center"/>
          </w:tcPr>
          <w:p w:rsidR="00000000" w:rsidDel="00000000" w:rsidP="00000000" w:rsidRDefault="00000000" w:rsidRPr="00000000" w14:paraId="000000A1">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A2">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A6">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A">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E">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B2">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6">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B7">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8">
            <w:pPr>
              <w:jc w:val="both"/>
              <w:rPr/>
            </w:pPr>
            <w:r w:rsidDel="00000000" w:rsidR="00000000" w:rsidRPr="00000000">
              <w:rPr>
                <w:rtl w:val="0"/>
              </w:rPr>
              <w:t xml:space="preserve">Ranking</w:t>
            </w:r>
          </w:p>
        </w:tc>
        <w:tc>
          <w:tcPr/>
          <w:p w:rsidR="00000000" w:rsidDel="00000000" w:rsidP="00000000" w:rsidRDefault="00000000" w:rsidRPr="00000000" w14:paraId="000000B9">
            <w:pPr>
              <w:jc w:val="both"/>
              <w:rPr/>
            </w:pPr>
            <w:r w:rsidDel="00000000" w:rsidR="00000000" w:rsidRPr="00000000">
              <w:rPr>
                <w:rtl w:val="0"/>
              </w:rPr>
              <w:t xml:space="preserve">France</w:t>
            </w:r>
          </w:p>
        </w:tc>
        <w:tc>
          <w:tcPr/>
          <w:p w:rsidR="00000000" w:rsidDel="00000000" w:rsidP="00000000" w:rsidRDefault="00000000" w:rsidRPr="00000000" w14:paraId="000000BA">
            <w:pPr>
              <w:jc w:val="both"/>
              <w:rPr/>
            </w:pPr>
            <w:r w:rsidDel="00000000" w:rsidR="00000000" w:rsidRPr="00000000">
              <w:rPr>
                <w:rtl w:val="0"/>
              </w:rPr>
              <w:t xml:space="preserve">the UK</w:t>
            </w:r>
          </w:p>
        </w:tc>
        <w:tc>
          <w:tcPr/>
          <w:p w:rsidR="00000000" w:rsidDel="00000000" w:rsidP="00000000" w:rsidRDefault="00000000" w:rsidRPr="00000000" w14:paraId="000000BB">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C">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D1">
      <w:pPr>
        <w:jc w:val="center"/>
        <w:rPr>
          <w:sz w:val="22"/>
          <w:szCs w:val="22"/>
        </w:rPr>
      </w:pPr>
      <w:r w:rsidDel="00000000" w:rsidR="00000000" w:rsidRPr="00000000">
        <w:rPr>
          <w:rtl w:val="0"/>
        </w:rPr>
      </w:r>
    </w:p>
    <w:p w:rsidR="00000000" w:rsidDel="00000000" w:rsidP="00000000" w:rsidRDefault="00000000" w:rsidRPr="00000000" w14:paraId="000000D2">
      <w:pPr>
        <w:jc w:val="both"/>
        <w:rPr>
          <w:sz w:val="22"/>
          <w:szCs w:val="22"/>
        </w:rPr>
      </w:pPr>
      <w:r w:rsidDel="00000000" w:rsidR="00000000" w:rsidRPr="00000000">
        <w:rPr>
          <w:rtl w:val="0"/>
        </w:rPr>
        <w:t xml:space="preserve">Tables 4c-4d further examine Sweden’s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D4">
            <w:pPr>
              <w:jc w:val="both"/>
              <w:rPr/>
            </w:pPr>
            <w:r w:rsidDel="00000000" w:rsidR="00000000" w:rsidRPr="00000000">
              <w:rPr>
                <w:rtl w:val="0"/>
              </w:rPr>
              <w:t xml:space="preserve">Ranking</w:t>
            </w:r>
          </w:p>
        </w:tc>
        <w:tc>
          <w:tcPr/>
          <w:p w:rsidR="00000000" w:rsidDel="00000000" w:rsidP="00000000" w:rsidRDefault="00000000" w:rsidRPr="00000000" w14:paraId="000000D5">
            <w:pPr>
              <w:jc w:val="both"/>
              <w:rPr/>
            </w:pPr>
            <w:r w:rsidDel="00000000" w:rsidR="00000000" w:rsidRPr="00000000">
              <w:rPr>
                <w:rtl w:val="0"/>
              </w:rPr>
              <w:t xml:space="preserve">China</w:t>
            </w:r>
          </w:p>
        </w:tc>
        <w:tc>
          <w:tcPr/>
          <w:p w:rsidR="00000000" w:rsidDel="00000000" w:rsidP="00000000" w:rsidRDefault="00000000" w:rsidRPr="00000000" w14:paraId="000000D6">
            <w:pPr>
              <w:jc w:val="both"/>
              <w:rPr/>
            </w:pPr>
            <w:r w:rsidDel="00000000" w:rsidR="00000000" w:rsidRPr="00000000">
              <w:rPr>
                <w:rtl w:val="0"/>
              </w:rPr>
              <w:t xml:space="preserve">South Korea</w:t>
            </w:r>
          </w:p>
        </w:tc>
        <w:tc>
          <w:tcPr/>
          <w:p w:rsidR="00000000" w:rsidDel="00000000" w:rsidP="00000000" w:rsidRDefault="00000000" w:rsidRPr="00000000" w14:paraId="000000D7">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E4">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C">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E">
            <w:pPr>
              <w:jc w:val="both"/>
              <w:rPr/>
            </w:pPr>
            <w:r w:rsidDel="00000000" w:rsidR="00000000" w:rsidRPr="00000000">
              <w:rPr>
                <w:rtl w:val="0"/>
              </w:rPr>
              <w:t xml:space="preserve">Ranking</w:t>
            </w:r>
          </w:p>
        </w:tc>
        <w:tc>
          <w:tcPr/>
          <w:p w:rsidR="00000000" w:rsidDel="00000000" w:rsidP="00000000" w:rsidRDefault="00000000" w:rsidRPr="00000000" w14:paraId="000000EF">
            <w:pPr>
              <w:jc w:val="both"/>
              <w:rPr/>
            </w:pPr>
            <w:r w:rsidDel="00000000" w:rsidR="00000000" w:rsidRPr="00000000">
              <w:rPr>
                <w:rtl w:val="0"/>
              </w:rPr>
              <w:t xml:space="preserve">China</w:t>
            </w:r>
          </w:p>
        </w:tc>
        <w:tc>
          <w:tcPr/>
          <w:p w:rsidR="00000000" w:rsidDel="00000000" w:rsidP="00000000" w:rsidRDefault="00000000" w:rsidRPr="00000000" w14:paraId="000000F0">
            <w:pPr>
              <w:jc w:val="both"/>
              <w:rPr/>
            </w:pPr>
            <w:r w:rsidDel="00000000" w:rsidR="00000000" w:rsidRPr="00000000">
              <w:rPr>
                <w:rtl w:val="0"/>
              </w:rPr>
              <w:t xml:space="preserve">South Korea</w:t>
            </w:r>
          </w:p>
        </w:tc>
        <w:tc>
          <w:tcPr/>
          <w:p w:rsidR="00000000" w:rsidDel="00000000" w:rsidP="00000000" w:rsidRDefault="00000000" w:rsidRPr="00000000" w14:paraId="000000F1">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4">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5">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8">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9">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C">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D">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E">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00">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1">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02">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3">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4">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5">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06">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B">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drawing>
          <wp:inline distB="114300" distT="114300" distL="114300" distR="114300">
            <wp:extent cx="5731200" cy="15748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sz w:val="22"/>
          <w:szCs w:val="22"/>
          <w:rtl w:val="0"/>
        </w:rPr>
        <w:t xml:space="preserve">Table 5a. Opportunity Gain Ranking on a Comparable Scale (2013)</w:t>
      </w: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r>
    </w:p>
    <w:p w:rsidR="00000000" w:rsidDel="00000000" w:rsidP="00000000" w:rsidRDefault="00000000" w:rsidRPr="00000000" w14:paraId="00000110">
      <w:pPr>
        <w:pageBreakBefore w:val="0"/>
        <w:jc w:val="center"/>
        <w:rPr/>
      </w:pPr>
      <w:r w:rsidDel="00000000" w:rsidR="00000000" w:rsidRPr="00000000">
        <w:rPr/>
        <w:drawing>
          <wp:inline distB="114300" distT="114300" distL="114300" distR="114300">
            <wp:extent cx="5731200" cy="1562100"/>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sz w:val="22"/>
          <w:szCs w:val="22"/>
        </w:rPr>
      </w:pPr>
      <w:r w:rsidDel="00000000" w:rsidR="00000000" w:rsidRPr="00000000">
        <w:rPr>
          <w:sz w:val="22"/>
          <w:szCs w:val="22"/>
          <w:rtl w:val="0"/>
        </w:rPr>
        <w:t xml:space="preserve">Table 5b. Opportunity Gain Ranking on a Comparable Scale (2018)</w:t>
      </w:r>
    </w:p>
    <w:p w:rsidR="00000000" w:rsidDel="00000000" w:rsidP="00000000" w:rsidRDefault="00000000" w:rsidRPr="00000000" w14:paraId="00000112">
      <w:pPr>
        <w:pageBreakBefore w:val="0"/>
        <w:jc w:val="center"/>
        <w:rPr/>
      </w:pPr>
      <w:r w:rsidDel="00000000" w:rsidR="00000000" w:rsidRPr="00000000">
        <w:rPr>
          <w:rtl w:val="0"/>
        </w:rPr>
      </w:r>
    </w:p>
    <w:p w:rsidR="00000000" w:rsidDel="00000000" w:rsidP="00000000" w:rsidRDefault="00000000" w:rsidRPr="00000000" w14:paraId="00000113">
      <w:pPr>
        <w:pageBreakBefore w:val="0"/>
        <w:jc w:val="center"/>
        <w:rPr/>
      </w:pPr>
      <w:r w:rsidDel="00000000" w:rsidR="00000000" w:rsidRPr="00000000">
        <w:rPr/>
        <w:drawing>
          <wp:inline distB="114300" distT="114300" distL="114300" distR="114300">
            <wp:extent cx="5731200" cy="226060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sz w:val="22"/>
          <w:szCs w:val="22"/>
          <w:rtl w:val="0"/>
        </w:rPr>
        <w:t xml:space="preserve">Table 5c. Opportunity Gain Ranking on a Comparable Scale (2021)</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We define the ranking of opportunity gain for a country c, as the Suggested Development Vector (SDV) of c. Tables 5a-5c summarize how the SDV of Sweden compares with a selected group of comparable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5a and 5b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t xml:space="preserve">It can be concluded that Sweden is categorized to be a highly complex country as compared with the world’s leading economies and other major economies in Europe. </w:t>
      </w:r>
    </w:p>
    <w:p w:rsidR="00000000" w:rsidDel="00000000" w:rsidP="00000000" w:rsidRDefault="00000000" w:rsidRPr="00000000" w14:paraId="0000011B">
      <w:pPr>
        <w:pageBreakBefore w:val="0"/>
        <w:jc w:val="both"/>
        <w:rPr/>
      </w:pPr>
      <w:r w:rsidDel="00000000" w:rsidR="00000000" w:rsidRPr="00000000">
        <w:rPr/>
        <w:drawing>
          <wp:inline distB="114300" distT="114300" distL="114300" distR="114300">
            <wp:extent cx="5734050" cy="2273300"/>
            <wp:effectExtent b="0" l="0" r="0" t="0"/>
            <wp:docPr id="3" name="image22.jpg"/>
            <a:graphic>
              <a:graphicData uri="http://schemas.openxmlformats.org/drawingml/2006/picture">
                <pic:pic>
                  <pic:nvPicPr>
                    <pic:cNvPr id="0" name="image22.jpg"/>
                    <pic:cNvPicPr preferRelativeResize="0"/>
                  </pic:nvPicPr>
                  <pic:blipFill>
                    <a:blip r:embed="rId19"/>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1D">
      <w:pPr>
        <w:pageBreakBefore w:val="0"/>
        <w:jc w:val="center"/>
        <w:rPr/>
      </w:pPr>
      <w:r w:rsidDel="00000000" w:rsidR="00000000" w:rsidRPr="00000000">
        <w:rPr>
          <w:rtl w:val="0"/>
        </w:rPr>
      </w:r>
    </w:p>
    <w:p w:rsidR="00000000" w:rsidDel="00000000" w:rsidP="00000000" w:rsidRDefault="00000000" w:rsidRPr="00000000" w14:paraId="0000011E">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drawing>
          <wp:inline distB="114300" distT="114300" distL="114300" distR="114300">
            <wp:extent cx="2528888" cy="1141284"/>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25">
      <w:pPr>
        <w:pageBreakBefore w:val="0"/>
        <w:jc w:val="both"/>
        <w:rPr/>
      </w:pPr>
      <w:r w:rsidDel="00000000" w:rsidR="00000000" w:rsidRPr="00000000">
        <w:rPr>
          <w:rtl w:val="0"/>
        </w:rPr>
        <w:t xml:space="preserve"> </w:t>
      </w:r>
    </w:p>
    <w:p w:rsidR="00000000" w:rsidDel="00000000" w:rsidP="00000000" w:rsidRDefault="00000000" w:rsidRPr="00000000" w14:paraId="00000126">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27">
      <w:pPr>
        <w:pageBreakBefore w:val="0"/>
        <w:jc w:val="both"/>
        <w:rPr/>
      </w:pPr>
      <w:r w:rsidDel="00000000" w:rsidR="00000000" w:rsidRPr="00000000">
        <w:rPr>
          <w:rtl w:val="0"/>
        </w:rPr>
        <w:t xml:space="preserve"> </w:t>
      </w:r>
    </w:p>
    <w:p w:rsidR="00000000" w:rsidDel="00000000" w:rsidP="00000000" w:rsidRDefault="00000000" w:rsidRPr="00000000" w14:paraId="00000128">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jc w:val="center"/>
        <w:rPr/>
      </w:pPr>
      <w:r w:rsidDel="00000000" w:rsidR="00000000" w:rsidRPr="00000000">
        <w:rPr/>
        <w:drawing>
          <wp:inline distB="114300" distT="114300" distL="114300" distR="114300">
            <wp:extent cx="2138363" cy="71863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E">
      <w:pPr>
        <w:pageBreakBefore w:val="0"/>
        <w:rPr/>
      </w:pPr>
      <w:r w:rsidDel="00000000" w:rsidR="00000000" w:rsidRPr="00000000">
        <w:rPr>
          <w:rtl w:val="0"/>
        </w:rPr>
        <w:t xml:space="preserve"> </w:t>
      </w:r>
    </w:p>
    <w:p w:rsidR="00000000" w:rsidDel="00000000" w:rsidP="00000000" w:rsidRDefault="00000000" w:rsidRPr="00000000" w14:paraId="0000012F">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30">
      <w:pPr>
        <w:pageBreakBefore w:val="0"/>
        <w:jc w:val="both"/>
        <w:rPr>
          <w:b w:val="1"/>
          <w:bCs w:val="1"/>
        </w:rPr>
      </w:pPr>
      <w:r w:rsidDel="00000000" w:rsidR="00000000" w:rsidRPr="00000000">
        <w:rPr>
          <w:rtl w:val="0"/>
        </w:rPr>
      </w:r>
    </w:p>
    <w:p w:rsidR="00000000" w:rsidDel="00000000" w:rsidP="00000000" w:rsidRDefault="00000000" w:rsidRPr="00000000" w14:paraId="0000013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32">
      <w:pPr>
        <w:pageBreakBefore w:val="0"/>
        <w:jc w:val="both"/>
        <w:rPr>
          <w:b w:val="1"/>
          <w:bCs w:val="1"/>
        </w:rPr>
      </w:pP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rtl w:val="0"/>
        </w:rPr>
      </w:r>
    </w:p>
    <w:p w:rsidR="00000000" w:rsidDel="00000000" w:rsidP="00000000" w:rsidRDefault="00000000" w:rsidRPr="00000000" w14:paraId="00000141">
      <w:pPr>
        <w:pageBreakBefore w:val="0"/>
        <w:jc w:val="both"/>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7">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8">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9">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A">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2">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4">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69">
      <w:pPr>
        <w:jc w:val="center"/>
        <w:rPr>
          <w:b w:val="1"/>
          <w:bCs w:val="1"/>
        </w:rPr>
      </w:pPr>
      <w:r w:rsidDel="00000000" w:rsidR="00000000" w:rsidRPr="00000000">
        <w:rPr>
          <w:sz w:val="22"/>
          <w:szCs w:val="22"/>
          <w:rtl w:val="0"/>
        </w:rPr>
        <w:t xml:space="preserve">Table 7. Products Labeling</w:t>
      </w:r>
      <w:r w:rsidDel="00000000" w:rsidR="00000000" w:rsidRPr="00000000">
        <w:rPr>
          <w:rtl w:val="0"/>
        </w:rPr>
      </w:r>
    </w:p>
    <w:p w:rsidR="00000000" w:rsidDel="00000000" w:rsidP="00000000" w:rsidRDefault="00000000" w:rsidRPr="00000000" w14:paraId="0000016A">
      <w:pPr>
        <w:pageBreakBefore w:val="0"/>
        <w:jc w:val="center"/>
        <w:rPr/>
      </w:pPr>
      <w:r w:rsidDel="00000000" w:rsidR="00000000" w:rsidRPr="00000000">
        <w:rPr>
          <w:rtl w:val="0"/>
        </w:rPr>
      </w:r>
    </w:p>
    <w:p w:rsidR="00000000" w:rsidDel="00000000" w:rsidP="00000000" w:rsidRDefault="00000000" w:rsidRPr="00000000" w14:paraId="0000016B">
      <w:pPr>
        <w:pageBreakBefore w:val="0"/>
        <w:jc w:val="both"/>
        <w:rPr/>
      </w:pPr>
      <w:r w:rsidDel="00000000" w:rsidR="00000000" w:rsidRPr="00000000">
        <w:rPr>
          <w:rtl w:val="0"/>
        </w:rPr>
        <w:t xml:space="preserve">Figures 4a-4c show an economic panel for Sweden in 2013, 2018, and 2021. We can see that for different percentages of heuristic total export growth, the ECIs of Sweden actually have similar amounts of increments. Overall, 5, 10, 15, and 20 percent export growth result in a similar ECI improvement pattern, which starts from around 1.43 and ends at around 1.68. </w:t>
      </w:r>
    </w:p>
    <w:p w:rsidR="00000000" w:rsidDel="00000000" w:rsidP="00000000" w:rsidRDefault="00000000" w:rsidRPr="00000000" w14:paraId="0000016C">
      <w:pPr>
        <w:pageBreakBefore w:val="0"/>
        <w:jc w:val="both"/>
        <w:rPr/>
      </w:pPr>
      <w:r w:rsidDel="00000000" w:rsidR="00000000" w:rsidRPr="00000000">
        <w:rPr>
          <w:rtl w:val="0"/>
        </w:rPr>
        <w:t xml:space="preserve"> </w:t>
      </w:r>
    </w:p>
    <w:p w:rsidR="00000000" w:rsidDel="00000000" w:rsidP="00000000" w:rsidRDefault="00000000" w:rsidRPr="00000000" w14:paraId="0000016D">
      <w:pPr>
        <w:pageBreakBefore w:val="0"/>
        <w:jc w:val="both"/>
        <w:rPr/>
      </w:pPr>
      <w:r w:rsidDel="00000000" w:rsidR="00000000" w:rsidRPr="00000000">
        <w:rPr>
          <w:rtl w:val="0"/>
        </w:rPr>
        <w:t xml:space="preserve">For 2013, among all four cases (5, 10, 15 and 20 percent export growth), machinery and construction and transportation account for the allocation portfolio. Compared with the solution of other countries, it is obvious that there is not so much room for ECI improvement, which can be reasoned by the pretty well-rounded economic structure of Sweden. Therefore, carrying on the current production pattern is sufficient for maintaining the ECI at an advanced level. Additionally, given that there is a pretty developed economic structure, Sweden should focus more on the development of machinery and construction and transportation, which can be beneficial for the production of other industries. A more detailed numerical representation of the portfolio is shown in Table 8a. </w:t>
      </w:r>
    </w:p>
    <w:p w:rsidR="00000000" w:rsidDel="00000000" w:rsidP="00000000" w:rsidRDefault="00000000" w:rsidRPr="00000000" w14:paraId="0000016E">
      <w:pPr>
        <w:jc w:val="both"/>
        <w:rPr/>
      </w:pPr>
      <w:r w:rsidDel="00000000" w:rsidR="00000000" w:rsidRPr="00000000">
        <w:rPr>
          <w:rtl w:val="0"/>
        </w:rPr>
        <w:t xml:space="preserve"> </w:t>
      </w:r>
    </w:p>
    <w:p w:rsidR="00000000" w:rsidDel="00000000" w:rsidP="00000000" w:rsidRDefault="00000000" w:rsidRPr="00000000" w14:paraId="0000016F">
      <w:pPr>
        <w:pageBreakBefore w:val="0"/>
        <w:jc w:val="both"/>
        <w:rPr/>
      </w:pPr>
      <w:r w:rsidDel="00000000" w:rsidR="00000000" w:rsidRPr="00000000">
        <w:rPr/>
        <w:drawing>
          <wp:inline distB="114300" distT="114300" distL="114300" distR="114300">
            <wp:extent cx="5915861" cy="2014538"/>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15861" cy="2014538"/>
                    </a:xfrm>
                    <a:prstGeom prst="rect"/>
                    <a:ln/>
                  </pic:spPr>
                </pic:pic>
              </a:graphicData>
            </a:graphic>
          </wp:inline>
        </w:drawing>
      </w:r>
      <w:r w:rsidDel="00000000" w:rsidR="00000000" w:rsidRPr="00000000">
        <w:rPr/>
        <w:drawing>
          <wp:inline distB="114300" distT="114300" distL="114300" distR="114300">
            <wp:extent cx="5865235" cy="1862138"/>
            <wp:effectExtent b="0" l="0" r="0" t="0"/>
            <wp:docPr id="34" name="image38.png"/>
            <a:graphic>
              <a:graphicData uri="http://schemas.openxmlformats.org/drawingml/2006/picture">
                <pic:pic>
                  <pic:nvPicPr>
                    <pic:cNvPr id="0" name="image38.png"/>
                    <pic:cNvPicPr preferRelativeResize="0"/>
                  </pic:nvPicPr>
                  <pic:blipFill>
                    <a:blip r:embed="rId23"/>
                    <a:srcRect b="8780" l="2159" r="0" t="0"/>
                    <a:stretch>
                      <a:fillRect/>
                    </a:stretch>
                  </pic:blipFill>
                  <pic:spPr>
                    <a:xfrm>
                      <a:off x="0" y="0"/>
                      <a:ext cx="5865235"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sz w:val="22"/>
          <w:szCs w:val="22"/>
          <w:rtl w:val="0"/>
        </w:rPr>
        <w:t xml:space="preserve">Figure 4a. Greedy-Based ECI Improvement Results of Sweden with Different Budgets (2013)</w:t>
      </w: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drawing>
          <wp:inline distB="114300" distT="114300" distL="114300" distR="114300">
            <wp:extent cx="5731200" cy="673100"/>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sz w:val="22"/>
          <w:szCs w:val="22"/>
          <w:rtl w:val="0"/>
        </w:rPr>
        <w:t xml:space="preserve">Table 8a. Portfolio of Sweden (2013)</w:t>
      </w:r>
      <w:r w:rsidDel="00000000" w:rsidR="00000000" w:rsidRPr="00000000">
        <w:rPr>
          <w:rtl w:val="0"/>
        </w:rPr>
      </w:r>
    </w:p>
    <w:p w:rsidR="00000000" w:rsidDel="00000000" w:rsidP="00000000" w:rsidRDefault="00000000" w:rsidRPr="00000000" w14:paraId="00000176">
      <w:pPr>
        <w:pageBreakBefore w:val="0"/>
        <w:jc w:val="center"/>
        <w:rPr/>
      </w:pP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t xml:space="preserve">For further suggestions on Sweden’s development, we also offer the optimization result of Sweden based on export data in 2018. Below is the economic panel for Sweden in 2018. We can see that there is a similar pattern for the ECI improvement trajectories, which is that the improvements in 5, 10, 15 and 20 percent export growth all result in the ECI growth from 0.94 to 1.35. Again, since Sweden is a pretty developed economic entity, the optimization result is sparse and there are not so many suggestions for future development in terms of ECI improvement. However, one difference between 2013 and 2018 is that machinery and construction, which accounts for most of the portfolio in 2013, is now replaced by high-complexity products. This can be resulted by the growing demand of technology innovation in nowadays society. A more detailed numerical representation of the portfolio is shown in Table 8b. </w:t>
      </w:r>
    </w:p>
    <w:p w:rsidR="00000000" w:rsidDel="00000000" w:rsidP="00000000" w:rsidRDefault="00000000" w:rsidRPr="00000000" w14:paraId="00000178">
      <w:pPr>
        <w:pageBreakBefore w:val="0"/>
        <w:jc w:val="both"/>
        <w:rPr/>
      </w:pP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drawing>
          <wp:inline distB="114300" distT="114300" distL="114300" distR="114300">
            <wp:extent cx="5943832" cy="2024063"/>
            <wp:effectExtent b="0" l="0" r="0" t="0"/>
            <wp:docPr id="1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832" cy="2024063"/>
                    </a:xfrm>
                    <a:prstGeom prst="rect"/>
                    <a:ln/>
                  </pic:spPr>
                </pic:pic>
              </a:graphicData>
            </a:graphic>
          </wp:inline>
        </w:drawing>
      </w:r>
      <w:r w:rsidDel="00000000" w:rsidR="00000000" w:rsidRPr="00000000">
        <w:rPr/>
        <w:drawing>
          <wp:inline distB="114300" distT="114300" distL="114300" distR="114300">
            <wp:extent cx="5753025" cy="1862138"/>
            <wp:effectExtent b="0" l="0" r="0" t="0"/>
            <wp:docPr id="20" name="image4.png"/>
            <a:graphic>
              <a:graphicData uri="http://schemas.openxmlformats.org/drawingml/2006/picture">
                <pic:pic>
                  <pic:nvPicPr>
                    <pic:cNvPr id="0" name="image4.png"/>
                    <pic:cNvPicPr preferRelativeResize="0"/>
                  </pic:nvPicPr>
                  <pic:blipFill>
                    <a:blip r:embed="rId26"/>
                    <a:srcRect b="7317" l="2492" r="0" t="0"/>
                    <a:stretch>
                      <a:fillRect/>
                    </a:stretch>
                  </pic:blipFill>
                  <pic:spPr>
                    <a:xfrm>
                      <a:off x="0" y="0"/>
                      <a:ext cx="5753025"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sz w:val="22"/>
          <w:szCs w:val="22"/>
          <w:rtl w:val="0"/>
        </w:rPr>
        <w:t xml:space="preserve">Figure 4b. Greedy-Based ECI Improvement Results of Sweden with Different Budgets (2018)</w:t>
      </w:r>
      <w:r w:rsidDel="00000000" w:rsidR="00000000" w:rsidRPr="00000000">
        <w:rPr>
          <w:rtl w:val="0"/>
        </w:rPr>
      </w:r>
    </w:p>
    <w:p w:rsidR="00000000" w:rsidDel="00000000" w:rsidP="00000000" w:rsidRDefault="00000000" w:rsidRPr="00000000" w14:paraId="0000017C">
      <w:pPr>
        <w:pageBreakBefore w:val="0"/>
        <w:jc w:val="both"/>
        <w:rPr/>
      </w:pP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drawing>
          <wp:inline distB="114300" distT="114300" distL="114300" distR="114300">
            <wp:extent cx="5731200" cy="673100"/>
            <wp:effectExtent b="0" l="0" r="0" t="0"/>
            <wp:docPr id="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jc w:val="center"/>
        <w:rPr>
          <w:sz w:val="22"/>
          <w:szCs w:val="22"/>
        </w:rPr>
      </w:pPr>
      <w:r w:rsidDel="00000000" w:rsidR="00000000" w:rsidRPr="00000000">
        <w:rPr>
          <w:sz w:val="22"/>
          <w:szCs w:val="22"/>
          <w:rtl w:val="0"/>
        </w:rPr>
        <w:t xml:space="preserve">Table 8b. Portfolio of Sweden (2018)</w:t>
      </w:r>
    </w:p>
    <w:p w:rsidR="00000000" w:rsidDel="00000000" w:rsidP="00000000" w:rsidRDefault="00000000" w:rsidRPr="00000000" w14:paraId="00000180">
      <w:pPr>
        <w:jc w:val="left"/>
        <w:rPr>
          <w:sz w:val="22"/>
          <w:szCs w:val="22"/>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To compare with the performance in 2013 and 2018, we also re-examine suggested strategies for 2021. For 2021, a 5 percent increase in export would emphasize Energy, Drilling, and Mining, followed by Vegetables, Fruits, and Plants, Energy, Drilling, and Mining, and Animals and By-products for 10, 15, and 20 percent export growth respectively. These strategies go in line with the suggested trajectories based on ECI. Compared to 2013 and 2018, the post-pandemic recommendation portfolio for 2021 is much more diverse which agrees with the decline in Sweden’s ECI. Many of Sweden’s industries advanced in the past couple of years, as indicated by the positive RIDs, however, many industries still have potential for further growth. A more detailed numerical representation of the portfolio for Sweden is shown in Table 8c.</w:t>
      </w:r>
    </w:p>
    <w:p w:rsidR="00000000" w:rsidDel="00000000" w:rsidP="00000000" w:rsidRDefault="00000000" w:rsidRPr="00000000" w14:paraId="00000182">
      <w:pPr>
        <w:jc w:val="left"/>
        <w:rPr>
          <w:sz w:val="22"/>
          <w:szCs w:val="22"/>
        </w:rPr>
      </w:pPr>
      <w:r w:rsidDel="00000000" w:rsidR="00000000" w:rsidRPr="00000000">
        <w:rPr>
          <w:rtl w:val="0"/>
        </w:rPr>
      </w:r>
    </w:p>
    <w:p w:rsidR="00000000" w:rsidDel="00000000" w:rsidP="00000000" w:rsidRDefault="00000000" w:rsidRPr="00000000" w14:paraId="00000183">
      <w:pPr>
        <w:spacing w:after="240" w:before="240" w:line="276" w:lineRule="auto"/>
        <w:jc w:val="center"/>
        <w:rPr>
          <w:b w:val="1"/>
          <w:bCs w:val="1"/>
          <w:sz w:val="28"/>
          <w:szCs w:val="28"/>
        </w:rPr>
      </w:pPr>
      <w:r w:rsidDel="00000000" w:rsidR="00000000" w:rsidRPr="00000000">
        <w:rPr>
          <w:b w:val="1"/>
          <w:bCs w:val="1"/>
          <w:sz w:val="28"/>
          <w:szCs w:val="28"/>
        </w:rPr>
        <w:drawing>
          <wp:inline distB="114300" distT="114300" distL="114300" distR="114300">
            <wp:extent cx="5734050" cy="2047875"/>
            <wp:effectExtent b="0" l="0" r="0" t="0"/>
            <wp:docPr id="25" name="image16.png"/>
            <a:graphic>
              <a:graphicData uri="http://schemas.openxmlformats.org/drawingml/2006/picture">
                <pic:pic>
                  <pic:nvPicPr>
                    <pic:cNvPr id="0" name="image16.png"/>
                    <pic:cNvPicPr preferRelativeResize="0"/>
                  </pic:nvPicPr>
                  <pic:blipFill>
                    <a:blip r:embed="rId28"/>
                    <a:srcRect b="28571" l="0" r="0" t="0"/>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276" w:lineRule="auto"/>
        <w:jc w:val="center"/>
        <w:rPr>
          <w:b w:val="1"/>
          <w:bCs w:val="1"/>
          <w:sz w:val="28"/>
          <w:szCs w:val="28"/>
        </w:rPr>
      </w:pPr>
      <w:r w:rsidDel="00000000" w:rsidR="00000000" w:rsidRPr="00000000">
        <w:rPr>
          <w:b w:val="1"/>
          <w:bCs w:val="1"/>
          <w:sz w:val="28"/>
          <w:szCs w:val="28"/>
        </w:rPr>
        <w:drawing>
          <wp:inline distB="114300" distT="114300" distL="114300" distR="114300">
            <wp:extent cx="5731200" cy="2159000"/>
            <wp:effectExtent b="0" l="0" r="0" t="0"/>
            <wp:docPr id="3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center"/>
        <w:rPr>
          <w:b w:val="1"/>
          <w:bCs w:val="1"/>
          <w:sz w:val="28"/>
          <w:szCs w:val="28"/>
        </w:rPr>
      </w:pPr>
      <w:r w:rsidDel="00000000" w:rsidR="00000000" w:rsidRPr="00000000">
        <w:rPr>
          <w:sz w:val="22"/>
          <w:szCs w:val="22"/>
          <w:rtl w:val="0"/>
        </w:rPr>
        <w:t xml:space="preserve">Figure 4c. Greedy-Based ECI Improvement Results of Sweden with Different Budgets (2021)</w:t>
      </w:r>
      <w:r w:rsidDel="00000000" w:rsidR="00000000" w:rsidRPr="00000000">
        <w:rPr>
          <w:rtl w:val="0"/>
        </w:rPr>
      </w:r>
    </w:p>
    <w:p w:rsidR="00000000" w:rsidDel="00000000" w:rsidP="00000000" w:rsidRDefault="00000000" w:rsidRPr="00000000" w14:paraId="00000186">
      <w:pPr>
        <w:spacing w:after="240" w:before="240" w:line="276" w:lineRule="auto"/>
        <w:rPr>
          <w:b w:val="1"/>
          <w:bCs w:val="1"/>
          <w:sz w:val="28"/>
          <w:szCs w:val="28"/>
        </w:rPr>
      </w:pPr>
      <w:r w:rsidDel="00000000" w:rsidR="00000000" w:rsidRPr="00000000">
        <w:rPr>
          <w:b w:val="1"/>
          <w:bCs w:val="1"/>
          <w:sz w:val="28"/>
          <w:szCs w:val="28"/>
        </w:rPr>
        <w:drawing>
          <wp:inline distB="114300" distT="114300" distL="114300" distR="114300">
            <wp:extent cx="5731200" cy="2209800"/>
            <wp:effectExtent b="0" l="0" r="0" t="0"/>
            <wp:docPr id="2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b w:val="1"/>
          <w:bCs w:val="1"/>
          <w:sz w:val="28"/>
          <w:szCs w:val="28"/>
        </w:rPr>
      </w:pPr>
      <w:r w:rsidDel="00000000" w:rsidR="00000000" w:rsidRPr="00000000">
        <w:rPr>
          <w:sz w:val="22"/>
          <w:szCs w:val="22"/>
          <w:rtl w:val="0"/>
        </w:rPr>
        <w:t xml:space="preserve">Table 8c. Portfolio of Sweden (2021)</w:t>
      </w:r>
      <w:r w:rsidDel="00000000" w:rsidR="00000000" w:rsidRPr="00000000">
        <w:rPr>
          <w:rtl w:val="0"/>
        </w:rPr>
      </w:r>
    </w:p>
    <w:p w:rsidR="00000000" w:rsidDel="00000000" w:rsidP="00000000" w:rsidRDefault="00000000" w:rsidRPr="00000000" w14:paraId="00000188">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89">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8A">
      <w:pPr>
        <w:pageBreakBefore w:val="0"/>
        <w:spacing w:after="240" w:before="240" w:line="276" w:lineRule="auto"/>
        <w:rPr/>
      </w:pPr>
      <w:r w:rsidDel="00000000" w:rsidR="00000000" w:rsidRPr="00000000">
        <w:rPr>
          <w:rtl w:val="0"/>
        </w:rPr>
        <w:t xml:space="preserve">In the following section our broad aim is to understand how sensitive Sweden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8B">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8C">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8D">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8E">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1.jpg"/>
            <a:graphic>
              <a:graphicData uri="http://schemas.openxmlformats.org/drawingml/2006/picture">
                <pic:pic>
                  <pic:nvPicPr>
                    <pic:cNvPr id="0" name="image1.jpg"/>
                    <pic:cNvPicPr preferRelativeResize="0"/>
                  </pic:nvPicPr>
                  <pic:blipFill>
                    <a:blip r:embed="rId3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90">
      <w:pPr>
        <w:pageBreakBefore w:val="0"/>
        <w:jc w:val="both"/>
        <w:rPr>
          <w:b w:val="1"/>
          <w:bCs w:val="1"/>
        </w:rPr>
      </w:pPr>
      <w:r w:rsidDel="00000000" w:rsidR="00000000" w:rsidRPr="00000000">
        <w:rPr>
          <w:rtl w:val="0"/>
        </w:rPr>
      </w:r>
    </w:p>
    <w:p w:rsidR="00000000" w:rsidDel="00000000" w:rsidP="00000000" w:rsidRDefault="00000000" w:rsidRPr="00000000" w14:paraId="00000191">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92">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3">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94">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5">
      <w:pPr>
        <w:pageBreakBefore w:val="0"/>
        <w:spacing w:line="276" w:lineRule="auto"/>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drawing>
          <wp:inline distB="114300" distT="114300" distL="114300" distR="114300">
            <wp:extent cx="5734050" cy="1739900"/>
            <wp:effectExtent b="0" l="0" r="0" t="0"/>
            <wp:docPr id="10" name="image10.jpg"/>
            <a:graphic>
              <a:graphicData uri="http://schemas.openxmlformats.org/drawingml/2006/picture">
                <pic:pic>
                  <pic:nvPicPr>
                    <pic:cNvPr id="0" name="image10.jpg"/>
                    <pic:cNvPicPr preferRelativeResize="0"/>
                  </pic:nvPicPr>
                  <pic:blipFill>
                    <a:blip r:embed="rId32"/>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ind w:left="720" w:firstLine="720"/>
        <w:jc w:val="both"/>
        <w:rPr>
          <w:b w:val="1"/>
          <w:bCs w:val="1"/>
          <w:sz w:val="28"/>
          <w:szCs w:val="28"/>
        </w:rPr>
      </w:pPr>
      <w:r w:rsidDel="00000000" w:rsidR="00000000" w:rsidRPr="00000000">
        <w:rPr>
          <w:sz w:val="22"/>
          <w:szCs w:val="22"/>
          <w:rtl w:val="0"/>
        </w:rPr>
        <w:t xml:space="preserve">Example High-complexity Products 2018 (Incremental SDV Sensitivity)</w:t>
      </w:r>
      <w:r w:rsidDel="00000000" w:rsidR="00000000" w:rsidRPr="00000000">
        <w:rPr>
          <w:rtl w:val="0"/>
        </w:rPr>
      </w:r>
    </w:p>
    <w:p w:rsidR="00000000" w:rsidDel="00000000" w:rsidP="00000000" w:rsidRDefault="00000000" w:rsidRPr="00000000" w14:paraId="0000019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9B">
      <w:pPr>
        <w:jc w:val="both"/>
        <w:rPr/>
      </w:pPr>
      <w:r w:rsidDel="00000000" w:rsidR="00000000" w:rsidRPr="00000000">
        <w:rPr>
          <w:rtl w:val="0"/>
        </w:rPr>
        <w:t xml:space="preserve">We examine Sweden’s ECI Decremental and Incremental Sensitivity Charts for 2021. An increase in High-complexity Products will lead to the highest change in ECI, followed by Transportation. The strong sensitivity effect of manipulating both industries is consistent with previous years. For the negative shock cases, High-complexity products is also sensitive but small decreases in Services and Utilities and Chemical Manufacturing exports lead to a constant decrease in ECI.</w:t>
      </w:r>
      <w:r w:rsidDel="00000000" w:rsidR="00000000" w:rsidRPr="00000000">
        <w:rPr>
          <w:rtl w:val="0"/>
        </w:rPr>
        <w:t xml:space="preserve"> Compared to previous years, Sweden’s ECI appears to be less sensitive to positive shocks while negative shocks are still sensitive. </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drawing>
          <wp:inline distB="114300" distT="114300" distL="114300" distR="114300">
            <wp:extent cx="4943475" cy="1828800"/>
            <wp:effectExtent b="0" l="0" r="0" t="0"/>
            <wp:docPr id="7" name="image2.png"/>
            <a:graphic>
              <a:graphicData uri="http://schemas.openxmlformats.org/drawingml/2006/picture">
                <pic:pic>
                  <pic:nvPicPr>
                    <pic:cNvPr id="0" name="image2.png"/>
                    <pic:cNvPicPr preferRelativeResize="0"/>
                  </pic:nvPicPr>
                  <pic:blipFill>
                    <a:blip r:embed="rId33"/>
                    <a:srcRect b="0" l="0" r="4244" t="0"/>
                    <a:stretch>
                      <a:fillRect/>
                    </a:stretch>
                  </pic:blipFill>
                  <pic:spPr>
                    <a:xfrm>
                      <a:off x="0" y="0"/>
                      <a:ext cx="4943475" cy="1828800"/>
                    </a:xfrm>
                    <a:prstGeom prst="rect"/>
                    <a:ln/>
                  </pic:spPr>
                </pic:pic>
              </a:graphicData>
            </a:graphic>
          </wp:inline>
        </w:drawing>
      </w:r>
      <w:r w:rsidDel="00000000" w:rsidR="00000000" w:rsidRPr="00000000">
        <w:rPr/>
        <w:drawing>
          <wp:inline distB="114300" distT="114300" distL="114300" distR="114300">
            <wp:extent cx="697494" cy="1747838"/>
            <wp:effectExtent b="0" l="0" r="0" t="0"/>
            <wp:docPr id="42" name="image34.png"/>
            <a:graphic>
              <a:graphicData uri="http://schemas.openxmlformats.org/drawingml/2006/picture">
                <pic:pic>
                  <pic:nvPicPr>
                    <pic:cNvPr id="0" name="image34.png"/>
                    <pic:cNvPicPr preferRelativeResize="0"/>
                  </pic:nvPicPr>
                  <pic:blipFill>
                    <a:blip r:embed="rId34"/>
                    <a:srcRect b="0" l="85880" r="0" t="0"/>
                    <a:stretch>
                      <a:fillRect/>
                    </a:stretch>
                  </pic:blipFill>
                  <pic:spPr>
                    <a:xfrm>
                      <a:off x="0" y="0"/>
                      <a:ext cx="697494"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pPr>
      <w:r w:rsidDel="00000000" w:rsidR="00000000" w:rsidRPr="00000000">
        <w:rPr>
          <w:sz w:val="22"/>
          <w:szCs w:val="22"/>
          <w:rtl w:val="0"/>
        </w:rPr>
        <w:t xml:space="preserve">Figure 6a. Incremental ECI Sensitivity for Sweden (2021)</w:t>
      </w:r>
      <w:r w:rsidDel="00000000" w:rsidR="00000000" w:rsidRPr="00000000">
        <w:rPr>
          <w:rtl w:val="0"/>
        </w:rPr>
      </w:r>
    </w:p>
    <w:p w:rsidR="00000000" w:rsidDel="00000000" w:rsidP="00000000" w:rsidRDefault="00000000" w:rsidRPr="00000000" w14:paraId="0000019F">
      <w:pPr>
        <w:jc w:val="both"/>
        <w:rPr/>
      </w:pPr>
      <w:r w:rsidDel="00000000" w:rsidR="00000000" w:rsidRPr="00000000">
        <w:rPr/>
        <w:drawing>
          <wp:inline distB="114300" distT="114300" distL="114300" distR="114300">
            <wp:extent cx="5731200" cy="2032000"/>
            <wp:effectExtent b="0" l="0" r="0" t="0"/>
            <wp:docPr id="39"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pPr>
      <w:r w:rsidDel="00000000" w:rsidR="00000000" w:rsidRPr="00000000">
        <w:rPr>
          <w:sz w:val="22"/>
          <w:szCs w:val="22"/>
          <w:rtl w:val="0"/>
        </w:rPr>
        <w:t xml:space="preserve">Figure 6b. Decremental ECI Sensitivity for Sweden (2021)</w:t>
      </w: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Below is Sweden's 2018 ECI Sensitivity Charts. Firstly in the positive chart, we notice immediately that an immediate increase in Transportation exports leads to a marginal increase in ECI. Larger increases in High complexity Products could lead to very large increases in ECI. A 50% increase in High Complexity Products would lead to almost a 1 unit increase in ECI. </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Next we consider Sweden's 2018 Negative Shock chart. Interestingly we see that a decrease in export in the majority of industries actually leads to an increase in ECI. This would seem to suggest that Sweden currently operates with a suboptimal mix of industries and decreasing across the board combined with an increase in High Complexity Products could drastically increase the ECI score of the nation. </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jc w:val="center"/>
        <w:rPr/>
      </w:pPr>
      <w:r w:rsidDel="00000000" w:rsidR="00000000" w:rsidRPr="00000000">
        <w:rPr/>
        <w:drawing>
          <wp:inline distB="114300" distT="114300" distL="114300" distR="114300">
            <wp:extent cx="4957763" cy="2602414"/>
            <wp:effectExtent b="0" l="0" r="0" t="0"/>
            <wp:docPr id="30"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4957763" cy="260241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sz w:val="22"/>
          <w:szCs w:val="22"/>
          <w:rtl w:val="0"/>
        </w:rPr>
        <w:t xml:space="preserve">Figure 7a. Incremental ECI Sensitivity for Sweden (2018)</w:t>
      </w:r>
      <w:r w:rsidDel="00000000" w:rsidR="00000000" w:rsidRPr="00000000">
        <w:rPr>
          <w:rtl w:val="0"/>
        </w:rPr>
      </w:r>
    </w:p>
    <w:p w:rsidR="00000000" w:rsidDel="00000000" w:rsidP="00000000" w:rsidRDefault="00000000" w:rsidRPr="00000000" w14:paraId="000001AA">
      <w:pPr>
        <w:pageBreakBefore w:val="0"/>
        <w:jc w:val="both"/>
        <w:rPr>
          <w:b w:val="1"/>
          <w:bCs w:val="1"/>
        </w:rPr>
      </w:pPr>
      <w:r w:rsidDel="00000000" w:rsidR="00000000" w:rsidRPr="00000000">
        <w:rPr>
          <w:rtl w:val="0"/>
        </w:rPr>
      </w:r>
    </w:p>
    <w:p w:rsidR="00000000" w:rsidDel="00000000" w:rsidP="00000000" w:rsidRDefault="00000000" w:rsidRPr="00000000" w14:paraId="000001AB">
      <w:pPr>
        <w:pageBreakBefore w:val="0"/>
        <w:jc w:val="center"/>
        <w:rPr>
          <w:b w:val="1"/>
          <w:bCs w:val="1"/>
        </w:rPr>
      </w:pPr>
      <w:r w:rsidDel="00000000" w:rsidR="00000000" w:rsidRPr="00000000">
        <w:rPr>
          <w:b w:val="1"/>
          <w:bCs w:val="1"/>
        </w:rPr>
        <w:drawing>
          <wp:inline distB="114300" distT="114300" distL="114300" distR="114300">
            <wp:extent cx="5014913" cy="2640743"/>
            <wp:effectExtent b="0" l="0" r="0" t="0"/>
            <wp:docPr id="19"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5014913" cy="264074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sz w:val="22"/>
          <w:szCs w:val="22"/>
          <w:rtl w:val="0"/>
        </w:rPr>
        <w:t xml:space="preserve">Figure 7b. Decremental ECI Sensitivity for Sweden (2018)</w:t>
      </w:r>
      <w:r w:rsidDel="00000000" w:rsidR="00000000" w:rsidRPr="00000000">
        <w:rPr>
          <w:rtl w:val="0"/>
        </w:rPr>
      </w:r>
    </w:p>
    <w:p w:rsidR="00000000" w:rsidDel="00000000" w:rsidP="00000000" w:rsidRDefault="00000000" w:rsidRPr="00000000" w14:paraId="000001AE">
      <w:pPr>
        <w:pageBreakBefore w:val="0"/>
        <w:jc w:val="center"/>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five year period. High complexity products seem to offer the best ECI growth prospects. Increases in Transportation seems to offer the most immediate increase in ECI score. </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In the 2013 negative shocking case, we see that again that decreases in most industries lead to an increase in the ECI score. This suggests that Sweden is not drastically altered the composition of its industries over this five year period. </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jc w:val="center"/>
        <w:rPr/>
      </w:pPr>
      <w:r w:rsidDel="00000000" w:rsidR="00000000" w:rsidRPr="00000000">
        <w:rPr/>
        <w:drawing>
          <wp:inline distB="114300" distT="114300" distL="114300" distR="114300">
            <wp:extent cx="5063240" cy="2624138"/>
            <wp:effectExtent b="0" l="0" r="0" t="0"/>
            <wp:docPr id="26" name="image23.jpg"/>
            <a:graphic>
              <a:graphicData uri="http://schemas.openxmlformats.org/drawingml/2006/picture">
                <pic:pic>
                  <pic:nvPicPr>
                    <pic:cNvPr id="0" name="image23.jpg"/>
                    <pic:cNvPicPr preferRelativeResize="0"/>
                  </pic:nvPicPr>
                  <pic:blipFill>
                    <a:blip r:embed="rId37"/>
                    <a:srcRect b="0" l="0" r="0" t="0"/>
                    <a:stretch>
                      <a:fillRect/>
                    </a:stretch>
                  </pic:blipFill>
                  <pic:spPr>
                    <a:xfrm>
                      <a:off x="0" y="0"/>
                      <a:ext cx="5063240"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ageBreakBefore w:val="0"/>
        <w:jc w:val="both"/>
        <w:rPr>
          <w:b w:val="1"/>
          <w:bCs w:val="1"/>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sz w:val="22"/>
          <w:szCs w:val="22"/>
          <w:rtl w:val="0"/>
        </w:rPr>
        <w:t xml:space="preserve">Figure 8a. Incremental ECI Sensitivity for Sweden (2013)</w:t>
      </w:r>
      <w:r w:rsidDel="00000000" w:rsidR="00000000" w:rsidRPr="00000000">
        <w:rPr>
          <w:rtl w:val="0"/>
        </w:rPr>
      </w:r>
    </w:p>
    <w:p w:rsidR="00000000" w:rsidDel="00000000" w:rsidP="00000000" w:rsidRDefault="00000000" w:rsidRPr="00000000" w14:paraId="000001B6">
      <w:pPr>
        <w:pageBreakBefore w:val="0"/>
        <w:jc w:val="center"/>
        <w:rPr/>
      </w:pPr>
      <w:r w:rsidDel="00000000" w:rsidR="00000000" w:rsidRPr="00000000">
        <w:rPr>
          <w:rtl w:val="0"/>
        </w:rPr>
      </w:r>
    </w:p>
    <w:p w:rsidR="00000000" w:rsidDel="00000000" w:rsidP="00000000" w:rsidRDefault="00000000" w:rsidRPr="00000000" w14:paraId="000001B7">
      <w:pPr>
        <w:pageBreakBefore w:val="0"/>
        <w:jc w:val="center"/>
        <w:rPr>
          <w:b w:val="1"/>
          <w:bCs w:val="1"/>
        </w:rPr>
      </w:pPr>
      <w:r w:rsidDel="00000000" w:rsidR="00000000" w:rsidRPr="00000000">
        <w:rPr>
          <w:b w:val="1"/>
          <w:bCs w:val="1"/>
        </w:rPr>
        <w:drawing>
          <wp:inline distB="114300" distT="114300" distL="114300" distR="114300">
            <wp:extent cx="5081618" cy="2633663"/>
            <wp:effectExtent b="0" l="0" r="0" t="0"/>
            <wp:docPr id="38" name="image37.jpg"/>
            <a:graphic>
              <a:graphicData uri="http://schemas.openxmlformats.org/drawingml/2006/picture">
                <pic:pic>
                  <pic:nvPicPr>
                    <pic:cNvPr id="0" name="image37.jpg"/>
                    <pic:cNvPicPr preferRelativeResize="0"/>
                  </pic:nvPicPr>
                  <pic:blipFill>
                    <a:blip r:embed="rId38"/>
                    <a:srcRect b="0" l="0" r="0" t="0"/>
                    <a:stretch>
                      <a:fillRect/>
                    </a:stretch>
                  </pic:blipFill>
                  <pic:spPr>
                    <a:xfrm>
                      <a:off x="0" y="0"/>
                      <a:ext cx="508161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ageBreakBefore w:val="0"/>
        <w:jc w:val="both"/>
        <w:rPr>
          <w:b w:val="1"/>
          <w:bCs w:val="1"/>
        </w:rPr>
      </w:pPr>
      <w:r w:rsidDel="00000000" w:rsidR="00000000" w:rsidRPr="00000000">
        <w:rPr>
          <w:rtl w:val="0"/>
        </w:rPr>
      </w:r>
    </w:p>
    <w:p w:rsidR="00000000" w:rsidDel="00000000" w:rsidP="00000000" w:rsidRDefault="00000000" w:rsidRPr="00000000" w14:paraId="000001B9">
      <w:pPr>
        <w:jc w:val="center"/>
        <w:rPr>
          <w:b w:val="1"/>
          <w:bCs w:val="1"/>
        </w:rPr>
      </w:pPr>
      <w:r w:rsidDel="00000000" w:rsidR="00000000" w:rsidRPr="00000000">
        <w:rPr>
          <w:sz w:val="22"/>
          <w:szCs w:val="22"/>
          <w:rtl w:val="0"/>
        </w:rPr>
        <w:t xml:space="preserve">Figure 8b. Decremental ECI Sensitivity for Sweden (2013)</w:t>
      </w:r>
      <w:r w:rsidDel="00000000" w:rsidR="00000000" w:rsidRPr="00000000">
        <w:rPr>
          <w:rtl w:val="0"/>
        </w:rPr>
      </w:r>
    </w:p>
    <w:p w:rsidR="00000000" w:rsidDel="00000000" w:rsidP="00000000" w:rsidRDefault="00000000" w:rsidRPr="00000000" w14:paraId="000001BA">
      <w:pPr>
        <w:pageBreakBefore w:val="0"/>
        <w:jc w:val="both"/>
        <w:rPr>
          <w:b w:val="1"/>
          <w:bCs w:val="1"/>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Below we see the SDV sensitivity charts for High Complexity Products. Sweden's SDV is quite sensitive to changes in High Complexity products since the Swedish economy is highly dependent on the export of products that are produced from this industry. As exports in High Complexity Products are positively shocked, more industries become attractive, showing positive opportunity gains. Vegetables, Fruits, and Plants seem to be a very attractive industry for Sweden to expand in given an increase in High Complexity Product exports. In the Negative SDV sensitivity High Complexity chart we see that any level of downturn only exposes Vegetables, Fruits, and Plants as a worthwhile replacement. </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Considering the Food and Preparation SDV sensitivity chart, we see that Sweden is quite insensitive to changes in this industry most likely due to this industry not being a major source of export for Sweden. </w:t>
      </w:r>
    </w:p>
    <w:p w:rsidR="00000000" w:rsidDel="00000000" w:rsidP="00000000" w:rsidRDefault="00000000" w:rsidRPr="00000000" w14:paraId="000001BE">
      <w:pPr>
        <w:pageBreakBefore w:val="0"/>
        <w:rPr>
          <w:b w:val="1"/>
          <w:bCs w:val="1"/>
        </w:rPr>
      </w:pPr>
      <w:r w:rsidDel="00000000" w:rsidR="00000000" w:rsidRPr="00000000">
        <w:rPr>
          <w:rtl w:val="0"/>
        </w:rPr>
      </w:r>
    </w:p>
    <w:p w:rsidR="00000000" w:rsidDel="00000000" w:rsidP="00000000" w:rsidRDefault="00000000" w:rsidRPr="00000000" w14:paraId="000001BF">
      <w:pPr>
        <w:pageBreakBefore w:val="0"/>
        <w:jc w:val="both"/>
        <w:rPr>
          <w:b w:val="1"/>
          <w:bCs w:val="1"/>
        </w:rPr>
      </w:pPr>
      <w:r w:rsidDel="00000000" w:rsidR="00000000" w:rsidRPr="00000000">
        <w:rPr>
          <w:rtl w:val="0"/>
        </w:rPr>
      </w:r>
    </w:p>
    <w:p w:rsidR="00000000" w:rsidDel="00000000" w:rsidP="00000000" w:rsidRDefault="00000000" w:rsidRPr="00000000" w14:paraId="000001C0">
      <w:pPr>
        <w:pageBreakBefore w:val="0"/>
        <w:jc w:val="center"/>
        <w:rPr>
          <w:b w:val="1"/>
          <w:bCs w:val="1"/>
        </w:rPr>
      </w:pPr>
      <w:r w:rsidDel="00000000" w:rsidR="00000000" w:rsidRPr="00000000">
        <w:rPr>
          <w:b w:val="1"/>
          <w:bCs w:val="1"/>
        </w:rPr>
        <w:drawing>
          <wp:inline distB="114300" distT="114300" distL="114300" distR="114300">
            <wp:extent cx="5731200" cy="1739900"/>
            <wp:effectExtent b="0" l="0" r="0" t="0"/>
            <wp:docPr id="17"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ageBreakBefore w:val="0"/>
        <w:ind w:left="720" w:firstLine="720"/>
        <w:jc w:val="center"/>
        <w:rPr/>
      </w:pPr>
      <w:r w:rsidDel="00000000" w:rsidR="00000000" w:rsidRPr="00000000">
        <w:rPr>
          <w:rtl w:val="0"/>
        </w:rPr>
        <w:t xml:space="preserve">Sweden High-complexity Products 2018 (Incremental SDV Sensitivity)</w:t>
      </w:r>
    </w:p>
    <w:p w:rsidR="00000000" w:rsidDel="00000000" w:rsidP="00000000" w:rsidRDefault="00000000" w:rsidRPr="00000000" w14:paraId="000001C2">
      <w:pPr>
        <w:pageBreakBefore w:val="0"/>
        <w:jc w:val="both"/>
        <w:rPr>
          <w:b w:val="1"/>
          <w:bCs w:val="1"/>
        </w:rPr>
      </w:pPr>
      <w:r w:rsidDel="00000000" w:rsidR="00000000" w:rsidRPr="00000000">
        <w:rPr>
          <w:rtl w:val="0"/>
        </w:rPr>
      </w:r>
    </w:p>
    <w:p w:rsidR="00000000" w:rsidDel="00000000" w:rsidP="00000000" w:rsidRDefault="00000000" w:rsidRPr="00000000" w14:paraId="000001C3">
      <w:pPr>
        <w:pageBreakBefore w:val="0"/>
        <w:jc w:val="center"/>
        <w:rPr>
          <w:b w:val="1"/>
          <w:bCs w:val="1"/>
        </w:rPr>
      </w:pPr>
      <w:r w:rsidDel="00000000" w:rsidR="00000000" w:rsidRPr="00000000">
        <w:rPr>
          <w:b w:val="1"/>
          <w:bCs w:val="1"/>
        </w:rPr>
        <w:drawing>
          <wp:inline distB="114300" distT="114300" distL="114300" distR="114300">
            <wp:extent cx="5731200" cy="2019300"/>
            <wp:effectExtent b="0" l="0" r="0" t="0"/>
            <wp:docPr id="14"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ageBreakBefore w:val="0"/>
        <w:jc w:val="center"/>
        <w:rPr>
          <w:b w:val="1"/>
          <w:bCs w:val="1"/>
        </w:rPr>
      </w:pPr>
      <w:r w:rsidDel="00000000" w:rsidR="00000000" w:rsidRPr="00000000">
        <w:rPr>
          <w:rtl w:val="0"/>
        </w:rPr>
      </w:r>
    </w:p>
    <w:p w:rsidR="00000000" w:rsidDel="00000000" w:rsidP="00000000" w:rsidRDefault="00000000" w:rsidRPr="00000000" w14:paraId="000001C5">
      <w:pPr>
        <w:pageBreakBefore w:val="0"/>
        <w:ind w:left="720" w:firstLine="720"/>
        <w:jc w:val="center"/>
        <w:rPr/>
      </w:pPr>
      <w:r w:rsidDel="00000000" w:rsidR="00000000" w:rsidRPr="00000000">
        <w:rPr>
          <w:rtl w:val="0"/>
        </w:rPr>
        <w:t xml:space="preserve">Sweden</w:t>
      </w:r>
      <w:r w:rsidDel="00000000" w:rsidR="00000000" w:rsidRPr="00000000">
        <w:rPr>
          <w:rtl w:val="0"/>
        </w:rPr>
        <w:t xml:space="preserve"> High-complexity Products 2018 (Decremental SDV Sensitivity)</w:t>
      </w:r>
    </w:p>
    <w:p w:rsidR="00000000" w:rsidDel="00000000" w:rsidP="00000000" w:rsidRDefault="00000000" w:rsidRPr="00000000" w14:paraId="000001C6">
      <w:pPr>
        <w:pageBreakBefore w:val="0"/>
        <w:ind w:left="720" w:firstLine="720"/>
        <w:jc w:val="center"/>
        <w:rPr/>
      </w:pPr>
      <w:r w:rsidDel="00000000" w:rsidR="00000000" w:rsidRPr="00000000">
        <w:rPr>
          <w:rtl w:val="0"/>
        </w:rPr>
      </w:r>
    </w:p>
    <w:p w:rsidR="00000000" w:rsidDel="00000000" w:rsidP="00000000" w:rsidRDefault="00000000" w:rsidRPr="00000000" w14:paraId="000001C7">
      <w:pPr>
        <w:pageBreakBefore w:val="0"/>
        <w:ind w:left="720" w:firstLine="720"/>
        <w:jc w:val="center"/>
        <w:rPr/>
      </w:pPr>
      <w:r w:rsidDel="00000000" w:rsidR="00000000" w:rsidRPr="00000000">
        <w:rPr>
          <w:rtl w:val="0"/>
        </w:rPr>
      </w:r>
    </w:p>
    <w:p w:rsidR="00000000" w:rsidDel="00000000" w:rsidP="00000000" w:rsidRDefault="00000000" w:rsidRPr="00000000" w14:paraId="000001C8">
      <w:pPr>
        <w:pageBreakBefore w:val="0"/>
        <w:ind w:left="0" w:firstLine="0"/>
        <w:jc w:val="center"/>
        <w:rPr/>
      </w:pPr>
      <w:r w:rsidDel="00000000" w:rsidR="00000000" w:rsidRPr="00000000">
        <w:rPr/>
        <w:drawing>
          <wp:inline distB="114300" distT="114300" distL="114300" distR="114300">
            <wp:extent cx="2230275" cy="2240746"/>
            <wp:effectExtent b="0" l="0" r="0" t="0"/>
            <wp:docPr id="16" name="image25.jpg"/>
            <a:graphic>
              <a:graphicData uri="http://schemas.openxmlformats.org/drawingml/2006/picture">
                <pic:pic>
                  <pic:nvPicPr>
                    <pic:cNvPr id="0" name="image25.jpg"/>
                    <pic:cNvPicPr preferRelativeResize="0"/>
                  </pic:nvPicPr>
                  <pic:blipFill>
                    <a:blip r:embed="rId41"/>
                    <a:srcRect b="0" l="0" r="0" t="0"/>
                    <a:stretch>
                      <a:fillRect/>
                    </a:stretch>
                  </pic:blipFill>
                  <pic:spPr>
                    <a:xfrm>
                      <a:off x="0" y="0"/>
                      <a:ext cx="2230275" cy="2240746"/>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ind w:left="720" w:firstLine="720"/>
        <w:jc w:val="center"/>
        <w:rPr/>
      </w:pPr>
      <w:r w:rsidDel="00000000" w:rsidR="00000000" w:rsidRPr="00000000">
        <w:rPr>
          <w:rtl w:val="0"/>
        </w:rPr>
      </w:r>
    </w:p>
    <w:p w:rsidR="00000000" w:rsidDel="00000000" w:rsidP="00000000" w:rsidRDefault="00000000" w:rsidRPr="00000000" w14:paraId="000001CA">
      <w:pPr>
        <w:pageBreakBefore w:val="0"/>
        <w:ind w:left="720" w:firstLine="720"/>
        <w:jc w:val="center"/>
        <w:rPr/>
      </w:pPr>
      <w:r w:rsidDel="00000000" w:rsidR="00000000" w:rsidRPr="00000000">
        <w:rPr>
          <w:rtl w:val="0"/>
        </w:rPr>
        <w:t xml:space="preserve">Sweden Food &amp; Preparations 2018 (Incremental SDV Sensitivity)</w:t>
      </w:r>
    </w:p>
    <w:p w:rsidR="00000000" w:rsidDel="00000000" w:rsidP="00000000" w:rsidRDefault="00000000" w:rsidRPr="00000000" w14:paraId="000001CB">
      <w:pPr>
        <w:pageBreakBefore w:val="0"/>
        <w:jc w:val="both"/>
        <w:rPr>
          <w:b w:val="1"/>
          <w:bCs w:val="1"/>
        </w:rPr>
      </w:pPr>
      <w:r w:rsidDel="00000000" w:rsidR="00000000" w:rsidRPr="00000000">
        <w:rPr>
          <w:rtl w:val="0"/>
        </w:rPr>
      </w:r>
    </w:p>
    <w:p w:rsidR="00000000" w:rsidDel="00000000" w:rsidP="00000000" w:rsidRDefault="00000000" w:rsidRPr="00000000" w14:paraId="000001CC">
      <w:pPr>
        <w:pageBreakBefore w:val="0"/>
        <w:jc w:val="center"/>
        <w:rPr>
          <w:b w:val="1"/>
          <w:bCs w:val="1"/>
        </w:rPr>
      </w:pPr>
      <w:r w:rsidDel="00000000" w:rsidR="00000000" w:rsidRPr="00000000">
        <w:rPr>
          <w:b w:val="1"/>
          <w:bCs w:val="1"/>
        </w:rPr>
        <w:drawing>
          <wp:inline distB="114300" distT="114300" distL="114300" distR="114300">
            <wp:extent cx="1415887" cy="2643727"/>
            <wp:effectExtent b="0" l="0" r="0" t="0"/>
            <wp:docPr id="28" name="image29.jpg"/>
            <a:graphic>
              <a:graphicData uri="http://schemas.openxmlformats.org/drawingml/2006/picture">
                <pic:pic>
                  <pic:nvPicPr>
                    <pic:cNvPr id="0" name="image29.jpg"/>
                    <pic:cNvPicPr preferRelativeResize="0"/>
                  </pic:nvPicPr>
                  <pic:blipFill>
                    <a:blip r:embed="rId42"/>
                    <a:srcRect b="0" l="0" r="0" t="0"/>
                    <a:stretch>
                      <a:fillRect/>
                    </a:stretch>
                  </pic:blipFill>
                  <pic:spPr>
                    <a:xfrm>
                      <a:off x="0" y="0"/>
                      <a:ext cx="1415887" cy="264372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ageBreakBefore w:val="0"/>
        <w:jc w:val="center"/>
        <w:rPr>
          <w:b w:val="1"/>
          <w:bCs w:val="1"/>
        </w:rPr>
      </w:pPr>
      <w:r w:rsidDel="00000000" w:rsidR="00000000" w:rsidRPr="00000000">
        <w:rPr>
          <w:rtl w:val="0"/>
        </w:rPr>
      </w:r>
    </w:p>
    <w:p w:rsidR="00000000" w:rsidDel="00000000" w:rsidP="00000000" w:rsidRDefault="00000000" w:rsidRPr="00000000" w14:paraId="000001CE">
      <w:pPr>
        <w:pageBreakBefore w:val="0"/>
        <w:ind w:left="720" w:firstLine="720"/>
        <w:jc w:val="center"/>
        <w:rPr>
          <w:b w:val="1"/>
          <w:bCs w:val="1"/>
          <w:sz w:val="28"/>
          <w:szCs w:val="28"/>
        </w:rPr>
      </w:pPr>
      <w:r w:rsidDel="00000000" w:rsidR="00000000" w:rsidRPr="00000000">
        <w:rPr>
          <w:rtl w:val="0"/>
        </w:rPr>
        <w:t xml:space="preserve">Sweden Food &amp; Preparations 2018 (Decremental SDV Sensitivity)</w:t>
      </w:r>
      <w:r w:rsidDel="00000000" w:rsidR="00000000" w:rsidRPr="00000000">
        <w:rPr>
          <w:rtl w:val="0"/>
        </w:rPr>
      </w:r>
    </w:p>
    <w:p w:rsidR="00000000" w:rsidDel="00000000" w:rsidP="00000000" w:rsidRDefault="00000000" w:rsidRPr="00000000" w14:paraId="000001C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0">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D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2">
      <w:pPr>
        <w:pageBreakBefore w:val="0"/>
        <w:jc w:val="both"/>
        <w:rPr>
          <w:b w:val="1"/>
          <w:bCs w:val="1"/>
          <w:sz w:val="28"/>
          <w:szCs w:val="28"/>
        </w:rPr>
      </w:pPr>
      <w:r w:rsidDel="00000000" w:rsidR="00000000" w:rsidRPr="00000000">
        <w:rPr>
          <w:rtl w:val="0"/>
        </w:rPr>
        <w:t xml:space="preserve">Decreasing export of each industry in Sweden’s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D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5">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08448" cy="2528888"/>
            <wp:effectExtent b="0" l="0" r="0" t="0"/>
            <wp:docPr id="37" name="image30.jpg"/>
            <a:graphic>
              <a:graphicData uri="http://schemas.openxmlformats.org/drawingml/2006/picture">
                <pic:pic>
                  <pic:nvPicPr>
                    <pic:cNvPr id="0" name="image30.jpg"/>
                    <pic:cNvPicPr preferRelativeResize="0"/>
                  </pic:nvPicPr>
                  <pic:blipFill>
                    <a:blip r:embed="rId43"/>
                    <a:srcRect b="0" l="0" r="0" t="0"/>
                    <a:stretch>
                      <a:fillRect/>
                    </a:stretch>
                  </pic:blipFill>
                  <pic:spPr>
                    <a:xfrm>
                      <a:off x="0" y="0"/>
                      <a:ext cx="4808448"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0"/>
        <w:jc w:val="center"/>
        <w:rPr>
          <w:b w:val="1"/>
          <w:bCs w:val="1"/>
        </w:rPr>
      </w:pPr>
      <w:r w:rsidDel="00000000" w:rsidR="00000000" w:rsidRPr="00000000">
        <w:rPr>
          <w:sz w:val="22"/>
          <w:szCs w:val="22"/>
          <w:rtl w:val="0"/>
        </w:rPr>
        <w:t xml:space="preserve">Sweden Contingency Strategy 2018</w:t>
      </w:r>
      <w:r w:rsidDel="00000000" w:rsidR="00000000" w:rsidRPr="00000000">
        <w:rPr>
          <w:rtl w:val="0"/>
        </w:rPr>
      </w:r>
    </w:p>
    <w:p w:rsidR="00000000" w:rsidDel="00000000" w:rsidP="00000000" w:rsidRDefault="00000000" w:rsidRPr="00000000" w14:paraId="000001D7">
      <w:pPr>
        <w:pageBreakBefore w:val="0"/>
        <w:jc w:val="both"/>
        <w:rPr>
          <w:b w:val="1"/>
          <w:bCs w:val="1"/>
        </w:rPr>
      </w:pPr>
      <w:r w:rsidDel="00000000" w:rsidR="00000000" w:rsidRPr="00000000">
        <w:rPr>
          <w:rtl w:val="0"/>
        </w:rPr>
      </w:r>
    </w:p>
    <w:p w:rsidR="00000000" w:rsidDel="00000000" w:rsidP="00000000" w:rsidRDefault="00000000" w:rsidRPr="00000000" w14:paraId="000001D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D9">
      <w:pPr>
        <w:pageBreakBefore w:val="0"/>
        <w:jc w:val="both"/>
        <w:rPr>
          <w:b w:val="1"/>
          <w:bCs w:val="1"/>
        </w:rPr>
      </w:pPr>
      <w:r w:rsidDel="00000000" w:rsidR="00000000" w:rsidRPr="00000000">
        <w:rPr>
          <w:rtl w:val="0"/>
        </w:rPr>
      </w:r>
    </w:p>
    <w:p w:rsidR="00000000" w:rsidDel="00000000" w:rsidP="00000000" w:rsidRDefault="00000000" w:rsidRPr="00000000" w14:paraId="000001D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E">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E7">
      <w:pPr>
        <w:jc w:val="left"/>
        <w:rPr>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573413</wp:posOffset>
            </wp:positionH>
            <wp:positionV relativeFrom="paragraph">
              <wp:posOffset>0</wp:posOffset>
            </wp:positionV>
            <wp:extent cx="5157788" cy="3435206"/>
            <wp:effectExtent b="0" l="0" r="0" t="0"/>
            <wp:wrapTopAndBottom distB="0" distT="0"/>
            <wp:docPr id="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E8">
      <w:pPr>
        <w:jc w:val="center"/>
        <w:rPr/>
      </w:pPr>
      <w:r w:rsidDel="00000000" w:rsidR="00000000" w:rsidRPr="00000000">
        <w:rPr>
          <w:sz w:val="22"/>
          <w:szCs w:val="22"/>
          <w:rtl w:val="0"/>
        </w:rPr>
        <w:t xml:space="preserve">Figure 9. Regression of Five-Year GDP Growth over SOI (2013-2018)</w:t>
      </w:r>
      <w:r w:rsidDel="00000000" w:rsidR="00000000" w:rsidRPr="00000000">
        <w:rPr>
          <w:rtl w:val="0"/>
        </w:rPr>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b w:val="1"/>
          <w:bCs w:val="1"/>
        </w:rPr>
      </w:pPr>
      <w:r w:rsidDel="00000000" w:rsidR="00000000" w:rsidRPr="00000000">
        <w:rPr>
          <w:b w:val="1"/>
          <w:bCs w:val="1"/>
          <w:rtl w:val="0"/>
        </w:rPr>
        <w:t xml:space="preserve">5.2 SOI of Sweden and Its Implications</w:t>
      </w:r>
    </w:p>
    <w:p w:rsidR="00000000" w:rsidDel="00000000" w:rsidP="00000000" w:rsidRDefault="00000000" w:rsidRPr="00000000" w14:paraId="000001EB">
      <w:pPr>
        <w:pageBreakBefore w:val="0"/>
        <w:jc w:val="both"/>
        <w:rPr/>
      </w:pPr>
      <w:r w:rsidDel="00000000" w:rsidR="00000000" w:rsidRPr="00000000">
        <w:rPr>
          <w:rtl w:val="0"/>
        </w:rPr>
        <w:t xml:space="preserve">Sweden, for instance, has a lower level of structural optimality as compared with its developed peers. As the regression in Figure 10a suggests (the orange curve represents export increase and the blue curve stands for opportunity gain of the corresponding industry), Sweden demonstrates a low level of correlation with the suggested developmental path, having an adjusted R-square of around 0.516%. Sweden ranks in the third quartile among all countries in terms of SOI and has made an average rate of economic progress among its emerging peers from 2013 to 2018 with a 5-year GDP growth rate of 23.2%,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Sweden’s stable economic progress from 2013 to 2018 can be at least partially explained by a development strategy that demonstrates a considerable but not perfect level of matches with our suggested developmental path. In specific, Sweden invested heavily in the Services/Utilities and Machinery/Construction industries, while it should have focused more on moderately complex industry groups such as Energy Drilling/Mining. </w:t>
      </w:r>
    </w:p>
    <w:p w:rsidR="00000000" w:rsidDel="00000000" w:rsidP="00000000" w:rsidRDefault="00000000" w:rsidRPr="00000000" w14:paraId="000001EC">
      <w:pPr>
        <w:pageBreakBefore w:val="0"/>
        <w:jc w:val="both"/>
        <w:rPr/>
      </w:pPr>
      <w:r w:rsidDel="00000000" w:rsidR="00000000" w:rsidRPr="00000000">
        <w:rPr>
          <w:rtl w:val="0"/>
        </w:rPr>
      </w:r>
    </w:p>
    <w:p w:rsidR="00000000" w:rsidDel="00000000" w:rsidP="00000000" w:rsidRDefault="00000000" w:rsidRPr="00000000" w14:paraId="000001ED">
      <w:pPr>
        <w:pageBreakBefore w:val="0"/>
        <w:jc w:val="both"/>
        <w:rPr/>
      </w:pPr>
      <w:r w:rsidDel="00000000" w:rsidR="00000000" w:rsidRPr="00000000">
        <w:rPr/>
        <w:drawing>
          <wp:inline distB="114300" distT="114300" distL="114300" distR="114300">
            <wp:extent cx="5734050" cy="2298700"/>
            <wp:effectExtent b="0" l="0" r="0" t="0"/>
            <wp:docPr id="15" name="image41.png"/>
            <a:graphic>
              <a:graphicData uri="http://schemas.openxmlformats.org/drawingml/2006/picture">
                <pic:pic>
                  <pic:nvPicPr>
                    <pic:cNvPr id="0" name="image41.png"/>
                    <pic:cNvPicPr preferRelativeResize="0"/>
                  </pic:nvPicPr>
                  <pic:blipFill>
                    <a:blip r:embed="rId45"/>
                    <a:srcRect b="0" l="1663" r="1663"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pPr>
      <w:r w:rsidDel="00000000" w:rsidR="00000000" w:rsidRPr="00000000">
        <w:rPr>
          <w:sz w:val="22"/>
          <w:szCs w:val="22"/>
          <w:rtl w:val="0"/>
        </w:rPr>
        <w:t xml:space="preserve">Figure 10a. SOI of Sweden (2013-2018)</w:t>
      </w:r>
      <w:r w:rsidDel="00000000" w:rsidR="00000000" w:rsidRPr="00000000">
        <w:rPr>
          <w:rtl w:val="0"/>
        </w:rPr>
      </w:r>
    </w:p>
    <w:p w:rsidR="00000000" w:rsidDel="00000000" w:rsidP="00000000" w:rsidRDefault="00000000" w:rsidRPr="00000000" w14:paraId="000001EF">
      <w:pPr>
        <w:pageBreakBefore w:val="0"/>
        <w:jc w:val="cente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For the 2019-2021 years, Sweden has a strong presence in the Animal and By-products and Machinery and Construction industries. The former seems to be overdeveloped when considering the lower opportunity gain relative to RID, however, the latter presents a good opportunity for further investment. It also could consider Energy, Drilling, and Mining and Weapons to improve its growth. Sweden has seen an average growth in GDP over those three years of 5.77%, compared to 23.2% for the average yearly growth for the five years prior.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Although higher than before, its adjusted R-squared value of 1.6% still indicates a low correlation between the GDP growth and the implemented development path. Progress is slow on a global scale during this period, but Sweden demonstrates a higher ability to adjust to negative economic shocks by improving SOI and increasing GDP growth than it did between 2013 and 2018.</w:t>
      </w:r>
    </w:p>
    <w:p w:rsidR="00000000" w:rsidDel="00000000" w:rsidP="00000000" w:rsidRDefault="00000000" w:rsidRPr="00000000" w14:paraId="000001F3">
      <w:pPr>
        <w:pageBreakBefore w:val="0"/>
        <w:jc w:val="left"/>
        <w:rPr/>
      </w:pPr>
      <w:r w:rsidDel="00000000" w:rsidR="00000000" w:rsidRPr="00000000">
        <w:rPr>
          <w:rtl w:val="0"/>
        </w:rPr>
      </w:r>
    </w:p>
    <w:p w:rsidR="00000000" w:rsidDel="00000000" w:rsidP="00000000" w:rsidRDefault="00000000" w:rsidRPr="00000000" w14:paraId="000001F4">
      <w:pPr>
        <w:pageBreakBefore w:val="0"/>
        <w:jc w:val="both"/>
        <w:rPr>
          <w:b w:val="1"/>
          <w:bCs w:val="1"/>
        </w:rPr>
      </w:pPr>
      <w:r w:rsidDel="00000000" w:rsidR="00000000" w:rsidRPr="00000000">
        <w:rPr>
          <w:b w:val="1"/>
          <w:bCs w:val="1"/>
        </w:rPr>
        <w:drawing>
          <wp:inline distB="114300" distT="114300" distL="114300" distR="114300">
            <wp:extent cx="5731200" cy="2298700"/>
            <wp:effectExtent b="0" l="0" r="0" t="0"/>
            <wp:docPr id="24"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center"/>
        <w:rPr>
          <w:b w:val="1"/>
          <w:bCs w:val="1"/>
        </w:rPr>
      </w:pPr>
      <w:r w:rsidDel="00000000" w:rsidR="00000000" w:rsidRPr="00000000">
        <w:rPr>
          <w:sz w:val="22"/>
          <w:szCs w:val="22"/>
          <w:rtl w:val="0"/>
        </w:rPr>
        <w:t xml:space="preserve">Figure 10b. SOI of Sweden (2019-2021)</w:t>
      </w:r>
      <w:r w:rsidDel="00000000" w:rsidR="00000000" w:rsidRPr="00000000">
        <w:rPr>
          <w:rtl w:val="0"/>
        </w:rPr>
      </w:r>
    </w:p>
    <w:p w:rsidR="00000000" w:rsidDel="00000000" w:rsidP="00000000" w:rsidRDefault="00000000" w:rsidRPr="00000000" w14:paraId="000001F6">
      <w:pPr>
        <w:pageBreakBefore w:val="0"/>
        <w:jc w:val="both"/>
        <w:rPr>
          <w:b w:val="1"/>
          <w:bCs w:val="1"/>
        </w:rPr>
      </w:pPr>
      <w:r w:rsidDel="00000000" w:rsidR="00000000" w:rsidRPr="00000000">
        <w:rPr>
          <w:rtl w:val="0"/>
        </w:rPr>
      </w:r>
    </w:p>
    <w:p w:rsidR="00000000" w:rsidDel="00000000" w:rsidP="00000000" w:rsidRDefault="00000000" w:rsidRPr="00000000" w14:paraId="000001F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t xml:space="preserve">In conclusion, Sweden has demonstrated a moderate level of economic growth in terms of annual GDP increase during the period from 2013 to 2018, concurrent with a decrease in economic complexity as compared with other developed economies. </w:t>
      </w:r>
      <w:r w:rsidDel="00000000" w:rsidR="00000000" w:rsidRPr="00000000">
        <w:rPr>
          <w:rtl w:val="0"/>
        </w:rPr>
        <w:t xml:space="preserve">For 2019-2021, the growth in GDP has decreased alongside a large decrease in ECI, in line with its comparable countries and higher than some of the leading economies in the world.</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t xml:space="preserve">We believe that the lack of progress during the first period , we believe, can be partially explained through the analysis of the economic and product complexity structure of Sweden on the industry group level. </w:t>
      </w:r>
      <w:r w:rsidDel="00000000" w:rsidR="00000000" w:rsidRPr="00000000">
        <w:rPr>
          <w:rtl w:val="0"/>
        </w:rPr>
        <w:t xml:space="preserve">The product classification system we adopt allows us to measure the realized industry development for various industry groups and to observe that S</w:t>
      </w:r>
      <w:r w:rsidDel="00000000" w:rsidR="00000000" w:rsidRPr="00000000">
        <w:rPr>
          <w:rtl w:val="0"/>
        </w:rPr>
        <w:t xml:space="preserve">weden consistently relied on developing the Services and Utilities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FD">
      <w:pPr>
        <w:pageBreakBefore w:val="0"/>
        <w:jc w:val="both"/>
        <w:rPr/>
      </w:pP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t xml:space="preserve">Based on our analysis of the opportunity gain and a sensitivity analysis of major industry groups for 2013-2018, Sweden can further its gains by prioritizing High-Complexity Products and Transportation. We further note that Sweden has a mismatched development strategy that indicates a low level (compared to other developed countries) of structural optimality on the complexity level, having an adjusted R-square of around 0.516%. Since a significant positive correlation exists between five-year GDP growth and the structural optimality index of an economy as we define and calculate, Sweden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t xml:space="preserve">During the second examined period from 2019 to 2021, Sweden performed weaker than before and moderately compared to other countries. We infer that during the COVID-19 period, while Sweden did not completely shut down its economy, it focused on developing an assortment of low and high complexity industries that were not aligned with the optimal portfolio. We note that Sweden did increase its investment in our earlier recommendations, High-complexity Products and Transportation, demonstrated by positive RIDs in 2021, however, it focused more on other industries, such as Animals and By-Products and Machinery and Construction. The ECI suggests that greater growth could have been achieved through Energy, Drilling, and Mining. The slow growth corresponded to an increase in the adjusted R-squared value to 1.6% in 2021 from 0.516% in 2018, demonstrating the pursued strategies contributed to the GDP. With the revised focus, Sweden has further potential to advance its economic growth to maintain its position among other countries to continue its ongoing economic expansion.</w:t>
      </w:r>
    </w:p>
    <w:p w:rsidR="00000000" w:rsidDel="00000000" w:rsidP="00000000" w:rsidRDefault="00000000" w:rsidRPr="00000000" w14:paraId="00000201">
      <w:pPr>
        <w:pageBreakBefore w:val="0"/>
        <w:jc w:val="both"/>
        <w:rPr/>
      </w:pPr>
      <w:r w:rsidDel="00000000" w:rsidR="00000000" w:rsidRPr="00000000">
        <w:rPr>
          <w:rtl w:val="0"/>
        </w:rPr>
      </w:r>
    </w:p>
    <w:p w:rsidR="00000000" w:rsidDel="00000000" w:rsidP="00000000" w:rsidRDefault="00000000" w:rsidRPr="00000000" w14:paraId="00000202">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3">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0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05">
      <w:pPr>
        <w:pageBreakBefore w:val="0"/>
        <w:jc w:val="both"/>
        <w:rPr>
          <w:color w:val="000000"/>
        </w:rPr>
      </w:pPr>
      <w:r w:rsidDel="00000000" w:rsidR="00000000" w:rsidRPr="00000000">
        <w:rPr>
          <w:color w:val="000000"/>
          <w:rtl w:val="0"/>
        </w:rPr>
        <w:t xml:space="preserve">Hausmann, R., Hidalgo, C., Bustos, S., Coscia, M., Chung, S., Jimenez, J., Simoes, A. and Yıldırım, M. (2007). </w:t>
      </w:r>
      <w:r w:rsidDel="00000000" w:rsidR="00000000" w:rsidRPr="00000000">
        <w:rPr>
          <w:i w:val="1"/>
          <w:iCs w:val="1"/>
          <w:color w:val="000000"/>
          <w:rtl w:val="0"/>
        </w:rPr>
        <w:t xml:space="preserve">The Atlas of Economic Complexity</w:t>
      </w:r>
      <w:r w:rsidDel="00000000" w:rsidR="00000000" w:rsidRPr="00000000">
        <w:rPr>
          <w:color w:val="000000"/>
          <w:rtl w:val="0"/>
        </w:rPr>
        <w:t xml:space="preserve">. [online] Atlas.cid.harvard.edu. Available at: http://atlas.cid.harvard.edu/.</w:t>
      </w:r>
    </w:p>
    <w:p w:rsidR="00000000" w:rsidDel="00000000" w:rsidP="00000000" w:rsidRDefault="00000000" w:rsidRPr="00000000" w14:paraId="00000206">
      <w:pPr>
        <w:pageBreakBefore w:val="0"/>
        <w:jc w:val="both"/>
        <w:rPr>
          <w:color w:val="000000"/>
        </w:rPr>
      </w:pPr>
      <w:r w:rsidDel="00000000" w:rsidR="00000000" w:rsidRPr="00000000">
        <w:rPr>
          <w:rtl w:val="0"/>
        </w:rPr>
      </w:r>
    </w:p>
    <w:p w:rsidR="00000000" w:rsidDel="00000000" w:rsidP="00000000" w:rsidRDefault="00000000" w:rsidRPr="00000000" w14:paraId="00000207">
      <w:pPr>
        <w:pageBreakBefore w:val="0"/>
        <w:jc w:val="both"/>
        <w:rPr>
          <w:color w:val="000000"/>
        </w:rPr>
      </w:pPr>
      <w:r w:rsidDel="00000000" w:rsidR="00000000" w:rsidRPr="00000000">
        <w:rPr>
          <w:color w:val="000000"/>
          <w:rtl w:val="0"/>
        </w:rPr>
        <w:t xml:space="preserve">Balassa, B., “The Purchasing Power Parity Doctrine - A Reapprais- al,” </w:t>
      </w:r>
      <w:r w:rsidDel="00000000" w:rsidR="00000000" w:rsidRPr="00000000">
        <w:rPr>
          <w:i w:val="1"/>
          <w:iCs w:val="1"/>
          <w:color w:val="000000"/>
          <w:rtl w:val="0"/>
        </w:rPr>
        <w:t xml:space="preserve">Journal of Political Economy </w:t>
      </w:r>
      <w:r w:rsidDel="00000000" w:rsidR="00000000" w:rsidRPr="00000000">
        <w:rPr>
          <w:b w:val="1"/>
          <w:bCs w:val="1"/>
          <w:color w:val="000000"/>
          <w:rtl w:val="0"/>
        </w:rPr>
        <w:t xml:space="preserve">72</w:t>
      </w:r>
      <w:r w:rsidDel="00000000" w:rsidR="00000000" w:rsidRPr="00000000">
        <w:rPr>
          <w:color w:val="000000"/>
          <w:rtl w:val="0"/>
        </w:rPr>
        <w:t xml:space="preserve">, 584-596 (1964). </w:t>
      </w:r>
    </w:p>
    <w:p w:rsidR="00000000" w:rsidDel="00000000" w:rsidP="00000000" w:rsidRDefault="00000000" w:rsidRPr="00000000" w14:paraId="00000208">
      <w:pPr>
        <w:pageBreakBefore w:val="0"/>
        <w:jc w:val="both"/>
        <w:rPr>
          <w:color w:val="000000"/>
        </w:rPr>
      </w:pPr>
      <w:r w:rsidDel="00000000" w:rsidR="00000000" w:rsidRPr="00000000">
        <w:rPr>
          <w:rtl w:val="0"/>
        </w:rPr>
      </w:r>
    </w:p>
    <w:p w:rsidR="00000000" w:rsidDel="00000000" w:rsidP="00000000" w:rsidRDefault="00000000" w:rsidRPr="00000000" w14:paraId="00000209">
      <w:pPr>
        <w:pageBreakBefore w:val="0"/>
        <w:jc w:val="both"/>
        <w:rPr>
          <w:color w:val="000000"/>
        </w:rPr>
      </w:pPr>
      <w:r w:rsidDel="00000000" w:rsidR="00000000" w:rsidRPr="00000000">
        <w:rPr>
          <w:color w:val="000000"/>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A">
      <w:pPr>
        <w:pageBreakBefore w:val="0"/>
        <w:jc w:val="both"/>
        <w:rPr>
          <w:color w:val="000000"/>
        </w:rPr>
      </w:pPr>
      <w:r w:rsidDel="00000000" w:rsidR="00000000" w:rsidRPr="00000000">
        <w:rPr>
          <w:rtl w:val="0"/>
        </w:rPr>
      </w:r>
    </w:p>
    <w:p w:rsidR="00000000" w:rsidDel="00000000" w:rsidP="00000000" w:rsidRDefault="00000000" w:rsidRPr="00000000" w14:paraId="0000020B">
      <w:pPr>
        <w:pageBreakBefore w:val="0"/>
        <w:jc w:val="both"/>
        <w:rPr>
          <w:color w:val="000000"/>
        </w:rPr>
      </w:pPr>
      <w:r w:rsidDel="00000000" w:rsidR="00000000" w:rsidRPr="00000000">
        <w:rPr>
          <w:color w:val="000000"/>
          <w:rtl w:val="0"/>
        </w:rPr>
        <w:t xml:space="preserve">United Nations Commodity Trade Statistics Database (http://comtrade.un.org/db/), accessed in August 2019. </w:t>
      </w:r>
    </w:p>
    <w:p w:rsidR="00000000" w:rsidDel="00000000" w:rsidP="00000000" w:rsidRDefault="00000000" w:rsidRPr="00000000" w14:paraId="0000020C">
      <w:pPr>
        <w:pageBreakBefore w:val="0"/>
        <w:jc w:val="both"/>
        <w:rPr>
          <w:color w:val="000000"/>
        </w:rPr>
      </w:pPr>
      <w:r w:rsidDel="00000000" w:rsidR="00000000" w:rsidRPr="00000000">
        <w:rPr>
          <w:rtl w:val="0"/>
        </w:rPr>
      </w:r>
    </w:p>
    <w:p w:rsidR="00000000" w:rsidDel="00000000" w:rsidP="00000000" w:rsidRDefault="00000000" w:rsidRPr="00000000" w14:paraId="0000020D">
      <w:pPr>
        <w:pageBreakBefore w:val="0"/>
        <w:jc w:val="both"/>
        <w:rPr>
          <w:color w:val="000000"/>
        </w:rPr>
      </w:pPr>
      <w:r w:rsidDel="00000000" w:rsidR="00000000" w:rsidRPr="00000000">
        <w:rPr>
          <w:color w:val="000000"/>
          <w:rtl w:val="0"/>
        </w:rPr>
        <w:t xml:space="preserve">The World Economic Forum, “The global competitiveness report,” (various years). </w:t>
      </w:r>
    </w:p>
    <w:p w:rsidR="00000000" w:rsidDel="00000000" w:rsidP="00000000" w:rsidRDefault="00000000" w:rsidRPr="00000000" w14:paraId="0000020E">
      <w:pPr>
        <w:pageBreakBefore w:val="0"/>
        <w:jc w:val="both"/>
        <w:rPr>
          <w:color w:val="000000"/>
        </w:rPr>
      </w:pPr>
      <w:r w:rsidDel="00000000" w:rsidR="00000000" w:rsidRPr="00000000">
        <w:rPr>
          <w:rtl w:val="0"/>
        </w:rPr>
      </w:r>
    </w:p>
    <w:p w:rsidR="00000000" w:rsidDel="00000000" w:rsidP="00000000" w:rsidRDefault="00000000" w:rsidRPr="00000000" w14:paraId="0000020F">
      <w:pPr>
        <w:pageBreakBefore w:val="0"/>
        <w:jc w:val="both"/>
        <w:rPr>
          <w:color w:val="000000"/>
        </w:rPr>
      </w:pPr>
      <w:r w:rsidDel="00000000" w:rsidR="00000000" w:rsidRPr="00000000">
        <w:rPr>
          <w:color w:val="000000"/>
          <w:rtl w:val="0"/>
        </w:rPr>
        <w:t xml:space="preserve">Barro, R. &amp; Lee, J-W. “A New Data Set of Educational Attainment in the World, 1950-2010,” NBER Working Paper No. 1590 (2010). </w:t>
      </w:r>
    </w:p>
    <w:p w:rsidR="00000000" w:rsidDel="00000000" w:rsidP="00000000" w:rsidRDefault="00000000" w:rsidRPr="00000000" w14:paraId="00000210">
      <w:pPr>
        <w:pageBreakBefore w:val="0"/>
        <w:jc w:val="both"/>
        <w:rPr>
          <w:color w:val="000000"/>
        </w:rPr>
      </w:pPr>
      <w:r w:rsidDel="00000000" w:rsidR="00000000" w:rsidRPr="00000000">
        <w:rPr>
          <w:rtl w:val="0"/>
        </w:rPr>
      </w:r>
    </w:p>
    <w:p w:rsidR="00000000" w:rsidDel="00000000" w:rsidP="00000000" w:rsidRDefault="00000000" w:rsidRPr="00000000" w14:paraId="00000211">
      <w:pPr>
        <w:pageBreakBefore w:val="0"/>
        <w:jc w:val="both"/>
        <w:rPr>
          <w:color w:val="000000"/>
        </w:rPr>
      </w:pPr>
      <w:r w:rsidDel="00000000" w:rsidR="00000000" w:rsidRPr="00000000">
        <w:rPr>
          <w:color w:val="000000"/>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12">
      <w:pPr>
        <w:pageBreakBefore w:val="0"/>
        <w:jc w:val="both"/>
        <w:rPr>
          <w:color w:val="000000"/>
        </w:rPr>
      </w:pPr>
      <w:r w:rsidDel="00000000" w:rsidR="00000000" w:rsidRPr="00000000">
        <w:rPr>
          <w:rtl w:val="0"/>
        </w:rPr>
      </w:r>
    </w:p>
    <w:p w:rsidR="00000000" w:rsidDel="00000000" w:rsidP="00000000" w:rsidRDefault="00000000" w:rsidRPr="00000000" w14:paraId="00000213">
      <w:pPr>
        <w:pageBreakBefore w:val="0"/>
        <w:jc w:val="both"/>
        <w:rPr>
          <w:color w:val="000000"/>
        </w:rPr>
      </w:pPr>
      <w:r w:rsidDel="00000000" w:rsidR="00000000" w:rsidRPr="00000000">
        <w:rPr>
          <w:color w:val="000000"/>
          <w:rtl w:val="0"/>
        </w:rPr>
        <w:t xml:space="preserve">Hanushek, E.A. &amp; Woessmann, L. “The Role of Cognitive Skills in Economic Development,” Journal of Economic Literature 46(3), 607- 668 (2008). </w:t>
      </w:r>
    </w:p>
    <w:p w:rsidR="00000000" w:rsidDel="00000000" w:rsidP="00000000" w:rsidRDefault="00000000" w:rsidRPr="00000000" w14:paraId="00000214">
      <w:pPr>
        <w:pageBreakBefore w:val="0"/>
        <w:jc w:val="both"/>
        <w:rPr/>
      </w:pPr>
      <w:r w:rsidDel="00000000" w:rsidR="00000000" w:rsidRPr="00000000">
        <w:rPr>
          <w:rtl w:val="0"/>
        </w:rPr>
      </w:r>
    </w:p>
    <w:sectPr>
      <w:headerReference r:id="rId47" w:type="default"/>
      <w:footerReference r:id="rId48" w:type="default"/>
      <w:footerReference r:id="rId49" w:type="first"/>
      <w:footerReference r:id="rId5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42" Type="http://schemas.openxmlformats.org/officeDocument/2006/relationships/image" Target="media/image29.jpg"/><Relationship Id="rId41" Type="http://schemas.openxmlformats.org/officeDocument/2006/relationships/image" Target="media/image25.jpg"/><Relationship Id="rId44" Type="http://schemas.openxmlformats.org/officeDocument/2006/relationships/image" Target="media/image5.png"/><Relationship Id="rId43" Type="http://schemas.openxmlformats.org/officeDocument/2006/relationships/image" Target="media/image30.jpg"/><Relationship Id="rId46" Type="http://schemas.openxmlformats.org/officeDocument/2006/relationships/image" Target="media/image7.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footer" Target="footer2.xml"/><Relationship Id="rId47" Type="http://schemas.openxmlformats.org/officeDocument/2006/relationships/header" Target="head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40.png"/><Relationship Id="rId8" Type="http://schemas.openxmlformats.org/officeDocument/2006/relationships/image" Target="media/image31.png"/><Relationship Id="rId31" Type="http://schemas.openxmlformats.org/officeDocument/2006/relationships/image" Target="media/image1.jpg"/><Relationship Id="rId30" Type="http://schemas.openxmlformats.org/officeDocument/2006/relationships/image" Target="media/image27.png"/><Relationship Id="rId33" Type="http://schemas.openxmlformats.org/officeDocument/2006/relationships/image" Target="media/image2.png"/><Relationship Id="rId32" Type="http://schemas.openxmlformats.org/officeDocument/2006/relationships/image" Target="media/image10.jpg"/><Relationship Id="rId35" Type="http://schemas.openxmlformats.org/officeDocument/2006/relationships/image" Target="media/image14.jpg"/><Relationship Id="rId34" Type="http://schemas.openxmlformats.org/officeDocument/2006/relationships/image" Target="media/image34.png"/><Relationship Id="rId37" Type="http://schemas.openxmlformats.org/officeDocument/2006/relationships/image" Target="media/image23.jpg"/><Relationship Id="rId36" Type="http://schemas.openxmlformats.org/officeDocument/2006/relationships/image" Target="media/image15.jpg"/><Relationship Id="rId39" Type="http://schemas.openxmlformats.org/officeDocument/2006/relationships/image" Target="media/image24.jpg"/><Relationship Id="rId38" Type="http://schemas.openxmlformats.org/officeDocument/2006/relationships/image" Target="media/image37.jpg"/><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9.png"/><Relationship Id="rId23" Type="http://schemas.openxmlformats.org/officeDocument/2006/relationships/image" Target="media/image38.png"/><Relationship Id="rId26" Type="http://schemas.openxmlformats.org/officeDocument/2006/relationships/image" Target="media/image4.png"/><Relationship Id="rId25" Type="http://schemas.openxmlformats.org/officeDocument/2006/relationships/image" Target="media/image13.png"/><Relationship Id="rId28" Type="http://schemas.openxmlformats.org/officeDocument/2006/relationships/image" Target="media/image16.png"/><Relationship Id="rId27" Type="http://schemas.openxmlformats.org/officeDocument/2006/relationships/image" Target="media/image28.png"/><Relationship Id="rId29" Type="http://schemas.openxmlformats.org/officeDocument/2006/relationships/image" Target="media/image18.png"/><Relationship Id="rId5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33.png"/><Relationship Id="rId13" Type="http://schemas.openxmlformats.org/officeDocument/2006/relationships/image" Target="media/image19.png"/><Relationship Id="rId12" Type="http://schemas.openxmlformats.org/officeDocument/2006/relationships/image" Target="media/image17.png"/><Relationship Id="rId15" Type="http://schemas.openxmlformats.org/officeDocument/2006/relationships/image" Target="media/image39.png"/><Relationship Id="rId14" Type="http://schemas.openxmlformats.org/officeDocument/2006/relationships/image" Target="media/image32.jpg"/><Relationship Id="rId17" Type="http://schemas.openxmlformats.org/officeDocument/2006/relationships/image" Target="media/image20.png"/><Relationship Id="rId16" Type="http://schemas.openxmlformats.org/officeDocument/2006/relationships/image" Target="media/image11.png"/><Relationship Id="rId19" Type="http://schemas.openxmlformats.org/officeDocument/2006/relationships/image" Target="media/image22.jp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