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spacing w:after="0" w:before="0" w:line="288" w:lineRule="auto"/>
        <w:rPr>
          <w:b w:val="0"/>
          <w:bCs w:val="0"/>
          <w:i w:val="1"/>
          <w:iCs w:val="1"/>
          <w:color w:val="444499"/>
          <w:sz w:val="20"/>
          <w:szCs w:val="20"/>
        </w:rPr>
      </w:pPr>
      <w:bookmarkStart w:colFirst="0" w:colLast="0" w:name="_z6ne0og04bp5" w:id="0"/>
      <w:bookmarkEnd w:id="0"/>
      <w:r w:rsidDel="00000000" w:rsidR="00000000" w:rsidRPr="00000000">
        <w:rPr>
          <w:rFonts w:ascii="Open Sans" w:cs="Open Sans" w:eastAsia="Open Sans" w:hAnsi="Open Sans"/>
          <w:b w:val="0"/>
          <w:bCs w:val="0"/>
          <w:color w:val="695d46"/>
          <w:sz w:val="24"/>
          <w:szCs w:val="24"/>
        </w:rPr>
        <w:drawing>
          <wp:inline distB="114300" distT="114300" distL="114300" distR="114300">
            <wp:extent cx="5731200" cy="101600"/>
            <wp:effectExtent b="0" l="0" r="0" t="0"/>
            <wp:docPr descr="horizontal line" id="2" name="image2.png"/>
            <a:graphic>
              <a:graphicData uri="http://schemas.openxmlformats.org/drawingml/2006/picture">
                <pic:pic>
                  <pic:nvPicPr>
                    <pic:cNvPr descr="horizontal line" id="0" name="image2.png"/>
                    <pic:cNvPicPr preferRelativeResize="0"/>
                  </pic:nvPicPr>
                  <pic:blipFill>
                    <a:blip r:embed="rId6"/>
                    <a:srcRect b="-35184" l="0" r="0" t="0"/>
                    <a:stretch>
                      <a:fillRect/>
                    </a:stretch>
                  </pic:blipFill>
                  <pic:spPr>
                    <a:xfrm>
                      <a:off x="0" y="0"/>
                      <a:ext cx="5731200" cy="101600"/>
                    </a:xfrm>
                    <a:prstGeom prst="rect"/>
                    <a:ln/>
                  </pic:spPr>
                </pic:pic>
              </a:graphicData>
            </a:graphic>
          </wp:inline>
        </w:drawing>
      </w:r>
      <w:r w:rsidDel="00000000" w:rsidR="00000000" w:rsidRPr="00000000">
        <w:rPr>
          <w:rFonts w:ascii="Open Sans" w:cs="Open Sans" w:eastAsia="Open Sans" w:hAnsi="Open Sans"/>
          <w:color w:val="695d46"/>
          <w:sz w:val="22"/>
          <w:szCs w:val="22"/>
        </w:rPr>
        <w:drawing>
          <wp:inline distB="114300" distT="114300" distL="114300" distR="114300">
            <wp:extent cx="5731200" cy="4000500"/>
            <wp:effectExtent b="0" l="0" r="0" t="0"/>
            <wp:docPr id="9" name="image20.png"/>
            <a:graphic>
              <a:graphicData uri="http://schemas.openxmlformats.org/drawingml/2006/picture">
                <pic:pic>
                  <pic:nvPicPr>
                    <pic:cNvPr id="0" name="image20.png"/>
                    <pic:cNvPicPr preferRelativeResize="0"/>
                  </pic:nvPicPr>
                  <pic:blipFill>
                    <a:blip r:embed="rId7"/>
                    <a:srcRect b="22656"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rPr>
          <w:sz w:val="16"/>
          <w:szCs w:val="16"/>
        </w:rPr>
      </w:pPr>
      <w:r w:rsidDel="00000000" w:rsidR="00000000" w:rsidRPr="00000000">
        <w:rPr>
          <w:rtl w:val="0"/>
        </w:rPr>
        <w:t xml:space="preserve">       </w:t>
      </w:r>
      <w:r w:rsidDel="00000000" w:rsidR="00000000" w:rsidRPr="00000000">
        <w:rPr>
          <w:sz w:val="16"/>
          <w:szCs w:val="16"/>
          <w:rtl w:val="0"/>
        </w:rPr>
        <w:t xml:space="preserve"> https://atlas.cid.harvard.edu/</w:t>
      </w:r>
    </w:p>
    <w:p w:rsidR="00000000" w:rsidDel="00000000" w:rsidP="00000000" w:rsidRDefault="00000000" w:rsidRPr="00000000" w14:paraId="00000003">
      <w:pPr>
        <w:pStyle w:val="Title"/>
        <w:pageBreakBefore w:val="0"/>
        <w:spacing w:before="320" w:lineRule="auto"/>
        <w:rPr>
          <w:rFonts w:ascii="PT Sans Narrow" w:cs="PT Sans Narrow" w:eastAsia="PT Sans Narrow" w:hAnsi="PT Sans Narrow"/>
          <w:b w:val="1"/>
          <w:bCs w:val="1"/>
          <w:color w:val="666666"/>
          <w:sz w:val="60"/>
          <w:szCs w:val="60"/>
        </w:rPr>
      </w:pPr>
      <w:bookmarkStart w:colFirst="0" w:colLast="0" w:name="_2gazcsgmxkub" w:id="1"/>
      <w:bookmarkEnd w:id="1"/>
      <w:r w:rsidDel="00000000" w:rsidR="00000000" w:rsidRPr="00000000">
        <w:rPr>
          <w:rFonts w:ascii="PT Sans Narrow" w:cs="PT Sans Narrow" w:eastAsia="PT Sans Narrow" w:hAnsi="PT Sans Narrow"/>
          <w:b w:val="1"/>
          <w:bCs w:val="1"/>
          <w:color w:val="666666"/>
          <w:sz w:val="60"/>
          <w:szCs w:val="60"/>
          <w:rtl w:val="0"/>
        </w:rPr>
        <w:t xml:space="preserve">Optimal Industry Development Strategy Using Economic and Product Complexity</w:t>
      </w:r>
    </w:p>
    <w:p w:rsidR="00000000" w:rsidDel="00000000" w:rsidP="00000000" w:rsidRDefault="00000000" w:rsidRPr="00000000" w14:paraId="00000004">
      <w:pPr>
        <w:pStyle w:val="Title"/>
        <w:pageBreakBefore w:val="0"/>
        <w:spacing w:before="320" w:lineRule="auto"/>
        <w:rPr>
          <w:rFonts w:ascii="PT Sans Narrow" w:cs="PT Sans Narrow" w:eastAsia="PT Sans Narrow" w:hAnsi="PT Sans Narrow"/>
          <w:b w:val="1"/>
          <w:bCs w:val="1"/>
          <w:sz w:val="60"/>
          <w:szCs w:val="60"/>
        </w:rPr>
      </w:pPr>
      <w:bookmarkStart w:colFirst="0" w:colLast="0" w:name="_q5cok54tx0k8" w:id="2"/>
      <w:bookmarkEnd w:id="2"/>
      <w:r w:rsidDel="00000000" w:rsidR="00000000" w:rsidRPr="00000000">
        <w:rPr>
          <w:rFonts w:ascii="PT Sans Narrow" w:cs="PT Sans Narrow" w:eastAsia="PT Sans Narrow" w:hAnsi="PT Sans Narrow"/>
          <w:b w:val="1"/>
          <w:bCs w:val="1"/>
          <w:sz w:val="60"/>
          <w:szCs w:val="60"/>
          <w:rtl w:val="0"/>
        </w:rPr>
        <w:t xml:space="preserve">Benin</w:t>
      </w: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spacing w:after="1440" w:line="288" w:lineRule="auto"/>
        <w:rPr>
          <w:rFonts w:ascii="Open Sans" w:cs="Open Sans" w:eastAsia="Open Sans" w:hAnsi="Open Sans"/>
          <w:sz w:val="22"/>
          <w:szCs w:val="22"/>
        </w:rPr>
      </w:pPr>
      <w:r w:rsidDel="00000000" w:rsidR="00000000" w:rsidRPr="00000000">
        <w:rPr>
          <w:rFonts w:ascii="Arial Unicode MS" w:cs="Arial Unicode MS" w:eastAsia="Arial Unicode MS" w:hAnsi="Arial Unicode MS"/>
          <w:b w:val="1"/>
          <w:bCs w:val="1"/>
          <w:sz w:val="36"/>
          <w:szCs w:val="36"/>
          <w:rtl w:val="0"/>
        </w:rPr>
        <w:t xml:space="preserve">─</w:t>
      </w:r>
      <w:r w:rsidDel="00000000" w:rsidR="00000000" w:rsidRPr="00000000">
        <w:rPr>
          <w:rtl w:val="0"/>
        </w:rPr>
      </w:r>
    </w:p>
    <w:p w:rsidR="00000000" w:rsidDel="00000000" w:rsidP="00000000" w:rsidRDefault="00000000" w:rsidRPr="00000000" w14:paraId="00000007">
      <w:pPr>
        <w:pageBreakBefore w:val="0"/>
        <w:spacing w:before="12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The Economic Complexity Lab - Columbia University</w:t>
      </w:r>
    </w:p>
    <w:p w:rsidR="00000000" w:rsidDel="00000000" w:rsidP="00000000" w:rsidRDefault="00000000" w:rsidRPr="00000000" w14:paraId="00000008">
      <w:pPr>
        <w:rPr>
          <w:sz w:val="40"/>
          <w:szCs w:val="40"/>
        </w:rPr>
      </w:pPr>
      <w:r w:rsidDel="00000000" w:rsidR="00000000" w:rsidRPr="00000000">
        <w:rPr>
          <w:rFonts w:ascii="PT Sans Narrow" w:cs="PT Sans Narrow" w:eastAsia="PT Sans Narrow" w:hAnsi="PT Sans Narrow"/>
          <w:sz w:val="28"/>
          <w:szCs w:val="28"/>
          <w:rtl w:val="0"/>
        </w:rPr>
        <w:t xml:space="preserve">Alexandra Garcia, Kelly Mi, </w:t>
      </w:r>
      <w:r w:rsidDel="00000000" w:rsidR="00000000" w:rsidRPr="00000000">
        <w:rPr>
          <w:rFonts w:ascii="PT Sans Narrow" w:cs="PT Sans Narrow" w:eastAsia="PT Sans Narrow" w:hAnsi="PT Sans Narrow"/>
          <w:sz w:val="28"/>
          <w:szCs w:val="28"/>
          <w:rtl w:val="0"/>
        </w:rPr>
        <w:t xml:space="preserve">M</w:t>
      </w:r>
      <w:r w:rsidDel="00000000" w:rsidR="00000000" w:rsidRPr="00000000">
        <w:rPr>
          <w:rFonts w:ascii="PT Sans Narrow" w:cs="PT Sans Narrow" w:eastAsia="PT Sans Narrow" w:hAnsi="PT Sans Narrow"/>
          <w:sz w:val="28"/>
          <w:szCs w:val="28"/>
          <w:rtl w:val="0"/>
        </w:rPr>
        <w:t xml:space="preserve">argarita Demkina, Allison Lin, Helena Yang,  Jane Zhang, Daniel Xu, Ryo Shibata, Navia Zhang,</w:t>
      </w:r>
      <w:r w:rsidDel="00000000" w:rsidR="00000000" w:rsidRPr="00000000">
        <w:rPr>
          <w:rFonts w:ascii="PT Sans Narrow" w:cs="PT Sans Narrow" w:eastAsia="PT Sans Narrow" w:hAnsi="PT Sans Narrow"/>
          <w:sz w:val="30"/>
          <w:szCs w:val="30"/>
          <w:rtl w:val="0"/>
        </w:rPr>
        <w:t xml:space="preserve"> </w:t>
      </w:r>
      <w:r w:rsidDel="00000000" w:rsidR="00000000" w:rsidRPr="00000000">
        <w:rPr>
          <w:rFonts w:ascii="PT Sans Narrow" w:cs="PT Sans Narrow" w:eastAsia="PT Sans Narrow" w:hAnsi="PT Sans Narrow"/>
          <w:sz w:val="16"/>
          <w:szCs w:val="16"/>
          <w:rtl w:val="0"/>
        </w:rPr>
        <w:t xml:space="preserve">Haoxian Chen, Davepriyan Gunaratnam, Rohan Macherla, Ajit Akole, Shomik Ghose, Alex Wei-Liang Ku, Sannidhya Modi, Xilin Wang</w:t>
      </w:r>
      <w:r w:rsidDel="00000000" w:rsidR="00000000" w:rsidRPr="00000000">
        <w:br w:type="page"/>
      </w:r>
      <w:r w:rsidDel="00000000" w:rsidR="00000000" w:rsidRPr="00000000">
        <w:rPr>
          <w:rtl w:val="0"/>
        </w:rPr>
      </w:r>
    </w:p>
    <w:p w:rsidR="00000000" w:rsidDel="00000000" w:rsidP="00000000" w:rsidRDefault="00000000" w:rsidRPr="00000000" w14:paraId="00000009">
      <w:pPr>
        <w:pageBreakBefore w:val="0"/>
        <w:jc w:val="center"/>
        <w:rPr>
          <w:sz w:val="40"/>
          <w:szCs w:val="40"/>
        </w:rPr>
      </w:pPr>
      <w:r w:rsidDel="00000000" w:rsidR="00000000" w:rsidRPr="00000000">
        <w:rPr>
          <w:sz w:val="40"/>
          <w:szCs w:val="40"/>
          <w:rtl w:val="0"/>
        </w:rPr>
        <w:t xml:space="preserve">Optimal Industry Development Strategy for </w:t>
      </w:r>
      <w:r w:rsidDel="00000000" w:rsidR="00000000" w:rsidRPr="00000000">
        <w:rPr>
          <w:sz w:val="40"/>
          <w:szCs w:val="40"/>
          <w:rtl w:val="0"/>
        </w:rPr>
        <w:t xml:space="preserve">Benin</w:t>
      </w:r>
      <w:r w:rsidDel="00000000" w:rsidR="00000000" w:rsidRPr="00000000">
        <w:rPr>
          <w:rtl w:val="0"/>
        </w:rPr>
      </w:r>
    </w:p>
    <w:p w:rsidR="00000000" w:rsidDel="00000000" w:rsidP="00000000" w:rsidRDefault="00000000" w:rsidRPr="00000000" w14:paraId="0000000A">
      <w:pPr>
        <w:pageBreakBefore w:val="0"/>
        <w:jc w:val="center"/>
        <w:rPr>
          <w:sz w:val="40"/>
          <w:szCs w:val="40"/>
        </w:rPr>
      </w:pPr>
      <w:r w:rsidDel="00000000" w:rsidR="00000000" w:rsidRPr="00000000">
        <w:rPr>
          <w:rtl w:val="0"/>
        </w:rPr>
      </w:r>
    </w:p>
    <w:p w:rsidR="00000000" w:rsidDel="00000000" w:rsidP="00000000" w:rsidRDefault="00000000" w:rsidRPr="00000000" w14:paraId="0000000B">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0. Executive Summary</w:t>
      </w:r>
    </w:p>
    <w:p w:rsidR="00000000" w:rsidDel="00000000" w:rsidP="00000000" w:rsidRDefault="00000000" w:rsidRPr="00000000" w14:paraId="0000000C">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D">
      <w:pPr>
        <w:pageBreakBefore w:val="0"/>
        <w:jc w:val="both"/>
        <w:rPr/>
      </w:pPr>
      <w:r w:rsidDel="00000000" w:rsidR="00000000" w:rsidRPr="00000000">
        <w:rPr>
          <w:rtl w:val="0"/>
        </w:rPr>
        <w:t xml:space="preserve">In this report, we aim to uncover the economic path </w:t>
      </w:r>
      <w:r w:rsidDel="00000000" w:rsidR="00000000" w:rsidRPr="00000000">
        <w:rPr>
          <w:rtl w:val="0"/>
        </w:rPr>
        <w:t xml:space="preserve">Benin</w:t>
      </w:r>
      <w:r w:rsidDel="00000000" w:rsidR="00000000" w:rsidRPr="00000000">
        <w:rPr>
          <w:rtl w:val="0"/>
        </w:rPr>
        <w:t xml:space="preserve"> went through during the period from 2019 to 2022. Specifically, we dive into the topic through a macroeconomic overview of </w:t>
      </w:r>
      <w:r w:rsidDel="00000000" w:rsidR="00000000" w:rsidRPr="00000000">
        <w:rPr>
          <w:rtl w:val="0"/>
        </w:rPr>
        <w:t xml:space="preserve">Benin</w:t>
      </w:r>
      <w:r w:rsidDel="00000000" w:rsidR="00000000" w:rsidRPr="00000000">
        <w:rPr>
          <w:rtl w:val="0"/>
        </w:rPr>
        <w:t xml:space="preserve"> from the perspective of Gross Domestic Product (GDP) and Economic Complexity Index (ECI), which reflect countries’ production capability and production structure, respectively. We find that during the period of our interest, </w:t>
      </w:r>
      <w:r w:rsidDel="00000000" w:rsidR="00000000" w:rsidRPr="00000000">
        <w:rPr>
          <w:rtl w:val="0"/>
        </w:rPr>
        <w:t xml:space="preserve">Benin</w:t>
      </w:r>
      <w:r w:rsidDel="00000000" w:rsidR="00000000" w:rsidRPr="00000000">
        <w:rPr>
          <w:rtl w:val="0"/>
        </w:rPr>
        <w:t xml:space="preserve"> demonstrated a </w:t>
      </w:r>
      <w:r w:rsidDel="00000000" w:rsidR="00000000" w:rsidRPr="00000000">
        <w:rPr>
          <w:rtl w:val="0"/>
        </w:rPr>
        <w:t xml:space="preserve">high</w:t>
      </w:r>
      <w:r w:rsidDel="00000000" w:rsidR="00000000" w:rsidRPr="00000000">
        <w:rPr>
          <w:rtl w:val="0"/>
        </w:rPr>
        <w:t xml:space="preserve"> level of economic growth with an average annual GDP growth rate of 5.04% between 2019 and 2022, with a </w:t>
      </w:r>
      <w:r w:rsidDel="00000000" w:rsidR="00000000" w:rsidRPr="00000000">
        <w:rPr>
          <w:rtl w:val="0"/>
        </w:rPr>
        <w:t xml:space="preserve">similar</w:t>
      </w:r>
      <w:r w:rsidDel="00000000" w:rsidR="00000000" w:rsidRPr="00000000">
        <w:rPr>
          <w:rtl w:val="0"/>
        </w:rPr>
        <w:t xml:space="preserve"> economic complexity compared to other major developed economies.</w:t>
      </w:r>
    </w:p>
    <w:p w:rsidR="00000000" w:rsidDel="00000000" w:rsidP="00000000" w:rsidRDefault="00000000" w:rsidRPr="00000000" w14:paraId="0000000E">
      <w:pPr>
        <w:pageBreakBefore w:val="0"/>
        <w:jc w:val="both"/>
        <w:rPr/>
      </w:pPr>
      <w:r w:rsidDel="00000000" w:rsidR="00000000" w:rsidRPr="00000000">
        <w:rPr>
          <w:rtl w:val="0"/>
        </w:rPr>
      </w:r>
    </w:p>
    <w:p w:rsidR="00000000" w:rsidDel="00000000" w:rsidP="00000000" w:rsidRDefault="00000000" w:rsidRPr="00000000" w14:paraId="0000000F">
      <w:pPr>
        <w:pageBreakBefore w:val="0"/>
        <w:jc w:val="both"/>
        <w:rPr/>
      </w:pPr>
      <w:r w:rsidDel="00000000" w:rsidR="00000000" w:rsidRPr="00000000">
        <w:rPr>
          <w:rtl w:val="0"/>
        </w:rPr>
        <w:t xml:space="preserve">The </w:t>
      </w:r>
      <w:r w:rsidDel="00000000" w:rsidR="00000000" w:rsidRPr="00000000">
        <w:rPr>
          <w:rtl w:val="0"/>
        </w:rPr>
        <w:t xml:space="preserve">mixed</w:t>
      </w:r>
      <w:r w:rsidDel="00000000" w:rsidR="00000000" w:rsidRPr="00000000">
        <w:rPr>
          <w:rtl w:val="0"/>
        </w:rPr>
        <w:t xml:space="preserve"> progress during the period, we believe, can be partially explained through the analysis of the economic and product complexity structure of </w:t>
      </w:r>
      <w:r w:rsidDel="00000000" w:rsidR="00000000" w:rsidRPr="00000000">
        <w:rPr>
          <w:rtl w:val="0"/>
        </w:rPr>
        <w:t xml:space="preserve">Benin</w:t>
      </w:r>
      <w:r w:rsidDel="00000000" w:rsidR="00000000" w:rsidRPr="00000000">
        <w:rPr>
          <w:rtl w:val="0"/>
        </w:rPr>
        <w:t xml:space="preserve"> on the industry group level, as well as the </w:t>
      </w:r>
      <w:r w:rsidDel="00000000" w:rsidR="00000000" w:rsidRPr="00000000">
        <w:rPr>
          <w:rtl w:val="0"/>
        </w:rPr>
        <w:t xml:space="preserve">stagnant</w:t>
      </w:r>
      <w:r w:rsidDel="00000000" w:rsidR="00000000" w:rsidRPr="00000000">
        <w:rPr>
          <w:rtl w:val="0"/>
        </w:rPr>
        <w:t xml:space="preserve"> macro and microeconomic strategies. The product classification system we adopt allows us to measure the realized industry development for various industry groups and to observe that </w:t>
      </w:r>
      <w:r w:rsidDel="00000000" w:rsidR="00000000" w:rsidRPr="00000000">
        <w:rPr>
          <w:rtl w:val="0"/>
        </w:rPr>
        <w:t xml:space="preserve">Benin</w:t>
      </w:r>
      <w:r w:rsidDel="00000000" w:rsidR="00000000" w:rsidRPr="00000000">
        <w:rPr>
          <w:rtl w:val="0"/>
        </w:rPr>
        <w:t xml:space="preserve"> </w:t>
      </w:r>
      <w:r w:rsidDel="00000000" w:rsidR="00000000" w:rsidRPr="00000000">
        <w:rPr>
          <w:rtl w:val="0"/>
        </w:rPr>
        <w:t xml:space="preserve">progressed</w:t>
      </w:r>
      <w:r w:rsidDel="00000000" w:rsidR="00000000" w:rsidRPr="00000000">
        <w:rPr>
          <w:rtl w:val="0"/>
        </w:rPr>
        <w:t xml:space="preserve"> in developing most of its industries during the period while its </w:t>
      </w:r>
      <w:r w:rsidDel="00000000" w:rsidR="00000000" w:rsidRPr="00000000">
        <w:rPr>
          <w:rtl w:val="0"/>
        </w:rPr>
        <w:t xml:space="preserve">developed</w:t>
      </w:r>
      <w:r w:rsidDel="00000000" w:rsidR="00000000" w:rsidRPr="00000000">
        <w:rPr>
          <w:rtl w:val="0"/>
        </w:rPr>
        <w:t xml:space="preserve"> counterparts and economies around the globe also adopted complex and progressive paths with variable degrees of success.</w:t>
      </w:r>
    </w:p>
    <w:p w:rsidR="00000000" w:rsidDel="00000000" w:rsidP="00000000" w:rsidRDefault="00000000" w:rsidRPr="00000000" w14:paraId="00000010">
      <w:pPr>
        <w:pageBreakBefore w:val="0"/>
        <w:jc w:val="both"/>
        <w:rPr/>
      </w:pPr>
      <w:r w:rsidDel="00000000" w:rsidR="00000000" w:rsidRPr="00000000">
        <w:rPr>
          <w:rtl w:val="0"/>
        </w:rPr>
      </w:r>
    </w:p>
    <w:p w:rsidR="00000000" w:rsidDel="00000000" w:rsidP="00000000" w:rsidRDefault="00000000" w:rsidRPr="00000000" w14:paraId="00000011">
      <w:pPr>
        <w:pageBreakBefore w:val="0"/>
        <w:jc w:val="both"/>
        <w:rPr/>
      </w:pPr>
      <w:r w:rsidDel="00000000" w:rsidR="00000000" w:rsidRPr="00000000">
        <w:rPr>
          <w:rtl w:val="0"/>
        </w:rPr>
        <w:t xml:space="preserve">Based on our analysis of the opportunity gain and sensitivity analysis of major industry groups, </w:t>
      </w:r>
      <w:r w:rsidDel="00000000" w:rsidR="00000000" w:rsidRPr="00000000">
        <w:rPr>
          <w:rtl w:val="0"/>
        </w:rPr>
        <w:t xml:space="preserve">Benin</w:t>
      </w:r>
      <w:r w:rsidDel="00000000" w:rsidR="00000000" w:rsidRPr="00000000">
        <w:rPr>
          <w:rtl w:val="0"/>
        </w:rPr>
        <w:t xml:space="preserve"> could further its gains by prioritizingPrecious Stones, Textiles, and Clothing and Accessories in 2022. We further note that </w:t>
      </w:r>
      <w:r w:rsidDel="00000000" w:rsidR="00000000" w:rsidRPr="00000000">
        <w:rPr>
          <w:rtl w:val="0"/>
        </w:rPr>
        <w:t xml:space="preserve">Benin</w:t>
      </w:r>
      <w:r w:rsidDel="00000000" w:rsidR="00000000" w:rsidRPr="00000000">
        <w:rPr>
          <w:rtl w:val="0"/>
        </w:rPr>
        <w:t xml:space="preserve"> has a </w:t>
      </w:r>
      <w:r w:rsidDel="00000000" w:rsidR="00000000" w:rsidRPr="00000000">
        <w:rPr>
          <w:rtl w:val="0"/>
        </w:rPr>
        <w:t xml:space="preserve">slightly</w:t>
      </w:r>
      <w:r w:rsidDel="00000000" w:rsidR="00000000" w:rsidRPr="00000000">
        <w:rPr>
          <w:rtl w:val="0"/>
        </w:rPr>
        <w:t xml:space="preserve"> mismatched development strategy that indicates a </w:t>
      </w:r>
      <w:r w:rsidDel="00000000" w:rsidR="00000000" w:rsidRPr="00000000">
        <w:rPr>
          <w:rtl w:val="0"/>
        </w:rPr>
        <w:t xml:space="preserve">high</w:t>
      </w:r>
      <w:r w:rsidDel="00000000" w:rsidR="00000000" w:rsidRPr="00000000">
        <w:rPr>
          <w:rtl w:val="0"/>
        </w:rPr>
        <w:t xml:space="preserve"> level (compared to other </w:t>
      </w:r>
      <w:r w:rsidDel="00000000" w:rsidR="00000000" w:rsidRPr="00000000">
        <w:rPr>
          <w:rtl w:val="0"/>
        </w:rPr>
        <w:t xml:space="preserve">developed</w:t>
      </w:r>
      <w:r w:rsidDel="00000000" w:rsidR="00000000" w:rsidRPr="00000000">
        <w:rPr>
          <w:rtl w:val="0"/>
        </w:rPr>
        <w:t xml:space="preserve"> countries) of structural optimality on the complexity level, having an adjusted R-square of around</w:t>
      </w:r>
      <w:r w:rsidDel="00000000" w:rsidR="00000000" w:rsidRPr="00000000">
        <w:rPr>
          <w:rtl w:val="0"/>
        </w:rPr>
        <w:t xml:space="preserve"> </w:t>
      </w:r>
      <w:r w:rsidDel="00000000" w:rsidR="00000000" w:rsidRPr="00000000">
        <w:rPr>
          <w:rtl w:val="0"/>
        </w:rPr>
        <w:t xml:space="preserve">73.12%</w:t>
      </w:r>
      <w:r w:rsidDel="00000000" w:rsidR="00000000" w:rsidRPr="00000000">
        <w:rPr>
          <w:rtl w:val="0"/>
        </w:rPr>
        <w:t xml:space="preserve"> </w:t>
      </w:r>
      <w:r w:rsidDel="00000000" w:rsidR="00000000" w:rsidRPr="00000000">
        <w:rPr>
          <w:rtl w:val="0"/>
        </w:rPr>
        <w:t xml:space="preserve">in 2022.</w:t>
      </w:r>
      <w:r w:rsidDel="00000000" w:rsidR="00000000" w:rsidRPr="00000000">
        <w:rPr>
          <w:rtl w:val="0"/>
        </w:rPr>
        <w:t xml:space="preserve"> </w:t>
      </w:r>
      <w:r w:rsidDel="00000000" w:rsidR="00000000" w:rsidRPr="00000000">
        <w:rPr>
          <w:rtl w:val="0"/>
        </w:rPr>
        <w:t xml:space="preserve">Since a significant positive correlation exists between GDP growth and the structural optimality index of an economy as we define and calculate, </w:t>
      </w:r>
      <w:r w:rsidDel="00000000" w:rsidR="00000000" w:rsidRPr="00000000">
        <w:rPr>
          <w:rtl w:val="0"/>
        </w:rPr>
        <w:t xml:space="preserve">Benin</w:t>
      </w:r>
      <w:r w:rsidDel="00000000" w:rsidR="00000000" w:rsidRPr="00000000">
        <w:rPr>
          <w:rtl w:val="0"/>
        </w:rPr>
        <w:t xml:space="preserve"> indeed has an </w:t>
      </w:r>
      <w:r w:rsidDel="00000000" w:rsidR="00000000" w:rsidRPr="00000000">
        <w:rPr>
          <w:rtl w:val="0"/>
        </w:rPr>
        <w:t xml:space="preserve">optimal</w:t>
      </w:r>
      <w:r w:rsidDel="00000000" w:rsidR="00000000" w:rsidRPr="00000000">
        <w:rPr>
          <w:rtl w:val="0"/>
        </w:rPr>
        <w:t xml:space="preserve"> growth experience as compared with fast-growing economies both on a regional scale and on a global scale and has the potential to further its economic gains through industrial structure optimization as suggested in the paper.  </w:t>
      </w:r>
    </w:p>
    <w:p w:rsidR="00000000" w:rsidDel="00000000" w:rsidP="00000000" w:rsidRDefault="00000000" w:rsidRPr="00000000" w14:paraId="00000012">
      <w:pPr>
        <w:pageBreakBefore w:val="0"/>
        <w:jc w:val="both"/>
        <w:rPr/>
      </w:pPr>
      <w:r w:rsidDel="00000000" w:rsidR="00000000" w:rsidRPr="00000000">
        <w:rPr>
          <w:rtl w:val="0"/>
        </w:rPr>
      </w:r>
    </w:p>
    <w:p w:rsidR="00000000" w:rsidDel="00000000" w:rsidP="00000000" w:rsidRDefault="00000000" w:rsidRPr="00000000" w14:paraId="00000013">
      <w:pPr>
        <w:pageBreakBefore w:val="0"/>
        <w:jc w:val="both"/>
        <w:rPr/>
      </w:pPr>
      <w:r w:rsidDel="00000000" w:rsidR="00000000" w:rsidRPr="00000000">
        <w:rPr>
          <w:rtl w:val="0"/>
        </w:rPr>
        <w:t xml:space="preserve">The three years between 2019 and 2022 showed a significant improvement in </w:t>
      </w:r>
      <w:r w:rsidDel="00000000" w:rsidR="00000000" w:rsidRPr="00000000">
        <w:rPr>
          <w:rtl w:val="0"/>
        </w:rPr>
        <w:t xml:space="preserve">Benin</w:t>
      </w:r>
      <w:r w:rsidDel="00000000" w:rsidR="00000000" w:rsidRPr="00000000">
        <w:rPr>
          <w:rtl w:val="0"/>
        </w:rPr>
        <w:t xml:space="preserve">'s economic growth, boosting its position on the global scale. Its GDP recovered to above the pre-pandemic levels, and it saw a </w:t>
      </w:r>
      <w:r w:rsidDel="00000000" w:rsidR="00000000" w:rsidRPr="00000000">
        <w:rPr>
          <w:rtl w:val="0"/>
        </w:rPr>
        <w:t xml:space="preserve">significant boost</w:t>
      </w:r>
      <w:r w:rsidDel="00000000" w:rsidR="00000000" w:rsidRPr="00000000">
        <w:rPr>
          <w:rtl w:val="0"/>
        </w:rPr>
        <w:t xml:space="preserve"> in the ECI, particularly compared to its peer countries. Its current strategy still has the viable potential upside to increase its performance and optimize its structure further.</w:t>
      </w:r>
    </w:p>
    <w:p w:rsidR="00000000" w:rsidDel="00000000" w:rsidP="00000000" w:rsidRDefault="00000000" w:rsidRPr="00000000" w14:paraId="00000014">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15">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 Report Overview</w:t>
      </w:r>
    </w:p>
    <w:p w:rsidR="00000000" w:rsidDel="00000000" w:rsidP="00000000" w:rsidRDefault="00000000" w:rsidRPr="00000000" w14:paraId="00000016">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7">
      <w:pPr>
        <w:pageBreakBefore w:val="0"/>
        <w:jc w:val="both"/>
        <w:rPr/>
      </w:pPr>
      <w:r w:rsidDel="00000000" w:rsidR="00000000" w:rsidRPr="00000000">
        <w:rPr>
          <w:rtl w:val="0"/>
        </w:rPr>
        <w:t xml:space="preserve">In this report, we aim to uncover the economic path </w:t>
      </w:r>
      <w:r w:rsidDel="00000000" w:rsidR="00000000" w:rsidRPr="00000000">
        <w:rPr>
          <w:rtl w:val="0"/>
        </w:rPr>
        <w:t xml:space="preserve">Benin</w:t>
      </w:r>
      <w:r w:rsidDel="00000000" w:rsidR="00000000" w:rsidRPr="00000000">
        <w:rPr>
          <w:rtl w:val="0"/>
        </w:rPr>
        <w:t xml:space="preserve"> went through during the period from 2019 to 2022. Specifically, we dive into the topic through a macroeconomic overview of </w:t>
      </w:r>
      <w:r w:rsidDel="00000000" w:rsidR="00000000" w:rsidRPr="00000000">
        <w:rPr>
          <w:rtl w:val="0"/>
        </w:rPr>
        <w:t xml:space="preserve">Benin</w:t>
      </w:r>
      <w:r w:rsidDel="00000000" w:rsidR="00000000" w:rsidRPr="00000000">
        <w:rPr>
          <w:rtl w:val="0"/>
        </w:rPr>
        <w:t xml:space="preserve"> from the perspective of Gross Domestic Product (GDP) and Economic Complexity Index (ECI), which reflect countries’ production capability and production structure, respectively. We then analyze the industrial framework and changes of </w:t>
      </w:r>
      <w:r w:rsidDel="00000000" w:rsidR="00000000" w:rsidRPr="00000000">
        <w:rPr>
          <w:rtl w:val="0"/>
        </w:rPr>
        <w:t xml:space="preserve">Benin</w:t>
      </w:r>
      <w:r w:rsidDel="00000000" w:rsidR="00000000" w:rsidRPr="00000000">
        <w:rPr>
          <w:rtl w:val="0"/>
        </w:rPr>
        <w:t xml:space="preserve"> during the period based on quantitative measures such as the Product Complexity Index (PCI) and Product Family Complexity Index (PCI), followed by a detailed analysis of how such changes have matched with development strategies as quantitatively measured by opportunity gains on an industry-level. We conclude our report with macro-level results and predictions of </w:t>
      </w:r>
      <w:r w:rsidDel="00000000" w:rsidR="00000000" w:rsidRPr="00000000">
        <w:rPr>
          <w:rtl w:val="0"/>
        </w:rPr>
        <w:t xml:space="preserve">Benin</w:t>
      </w:r>
      <w:r w:rsidDel="00000000" w:rsidR="00000000" w:rsidRPr="00000000">
        <w:rPr>
          <w:rtl w:val="0"/>
        </w:rPr>
        <w:t xml:space="preserve">, as deduced from regression models we have established on a global scale, which take into account countries’ stances in their product space.</w:t>
      </w:r>
    </w:p>
    <w:p w:rsidR="00000000" w:rsidDel="00000000" w:rsidP="00000000" w:rsidRDefault="00000000" w:rsidRPr="00000000" w14:paraId="00000018">
      <w:pPr>
        <w:pageBreakBefore w:val="0"/>
        <w:jc w:val="both"/>
        <w:rPr/>
      </w:pPr>
      <w:r w:rsidDel="00000000" w:rsidR="00000000" w:rsidRPr="00000000">
        <w:rPr>
          <w:rtl w:val="0"/>
        </w:rPr>
      </w:r>
    </w:p>
    <w:p w:rsidR="00000000" w:rsidDel="00000000" w:rsidP="00000000" w:rsidRDefault="00000000" w:rsidRPr="00000000" w14:paraId="00000019">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A">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2. Macroeconomic Results</w:t>
      </w:r>
    </w:p>
    <w:p w:rsidR="00000000" w:rsidDel="00000000" w:rsidP="00000000" w:rsidRDefault="00000000" w:rsidRPr="00000000" w14:paraId="0000001B">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C">
      <w:pPr>
        <w:pageBreakBefore w:val="0"/>
        <w:jc w:val="both"/>
        <w:rPr/>
      </w:pPr>
      <w:r w:rsidDel="00000000" w:rsidR="00000000" w:rsidRPr="00000000">
        <w:rPr>
          <w:b w:val="1"/>
          <w:bCs w:val="1"/>
          <w:rtl w:val="0"/>
        </w:rPr>
        <w:t xml:space="preserve">2.1 GDP Ranking and Changes</w:t>
      </w:r>
      <w:r w:rsidDel="00000000" w:rsidR="00000000" w:rsidRPr="00000000">
        <w:rPr>
          <w:rtl w:val="0"/>
        </w:rPr>
      </w:r>
    </w:p>
    <w:p w:rsidR="00000000" w:rsidDel="00000000" w:rsidP="00000000" w:rsidRDefault="00000000" w:rsidRPr="00000000" w14:paraId="0000001D">
      <w:pPr>
        <w:pageBreakBefore w:val="0"/>
        <w:jc w:val="both"/>
        <w:rPr/>
      </w:pPr>
      <w:r w:rsidDel="00000000" w:rsidR="00000000" w:rsidRPr="00000000">
        <w:rPr>
          <w:rtl w:val="0"/>
        </w:rPr>
        <w:t xml:space="preserve">Figure 1 shows the GDP levels for </w:t>
      </w:r>
      <w:r w:rsidDel="00000000" w:rsidR="00000000" w:rsidRPr="00000000">
        <w:rPr>
          <w:rtl w:val="0"/>
        </w:rPr>
        <w:t xml:space="preserve">Benin</w:t>
      </w:r>
      <w:r w:rsidDel="00000000" w:rsidR="00000000" w:rsidRPr="00000000">
        <w:rPr>
          <w:rtl w:val="0"/>
        </w:rPr>
        <w:t xml:space="preserve"> and its peer countries (</w:t>
      </w:r>
      <w:r w:rsidDel="00000000" w:rsidR="00000000" w:rsidRPr="00000000">
        <w:rPr>
          <w:rtl w:val="0"/>
        </w:rPr>
        <w:t xml:space="preserve">Niger</w:t>
      </w:r>
      <w:r w:rsidDel="00000000" w:rsidR="00000000" w:rsidRPr="00000000">
        <w:rPr>
          <w:rtl w:val="0"/>
        </w:rPr>
        <w:t xml:space="preserve">, </w:t>
      </w:r>
      <w:r w:rsidDel="00000000" w:rsidR="00000000" w:rsidRPr="00000000">
        <w:rPr>
          <w:rtl w:val="0"/>
        </w:rPr>
        <w:t xml:space="preserve">Burkina Faso</w:t>
      </w:r>
      <w:r w:rsidDel="00000000" w:rsidR="00000000" w:rsidRPr="00000000">
        <w:rPr>
          <w:rtl w:val="0"/>
        </w:rPr>
        <w:t xml:space="preserve">, and </w:t>
      </w:r>
      <w:r w:rsidDel="00000000" w:rsidR="00000000" w:rsidRPr="00000000">
        <w:rPr>
          <w:rtl w:val="0"/>
        </w:rPr>
        <w:t xml:space="preserve">Togo</w:t>
      </w:r>
      <w:r w:rsidDel="00000000" w:rsidR="00000000" w:rsidRPr="00000000">
        <w:rPr>
          <w:rtl w:val="0"/>
        </w:rPr>
        <w:t xml:space="preserve">) from 2019 to 2022. Similar to the other countries, </w:t>
      </w:r>
      <w:r w:rsidDel="00000000" w:rsidR="00000000" w:rsidRPr="00000000">
        <w:rPr>
          <w:rtl w:val="0"/>
        </w:rPr>
        <w:t xml:space="preserve">Benin</w:t>
      </w:r>
      <w:r w:rsidDel="00000000" w:rsidR="00000000" w:rsidRPr="00000000">
        <w:rPr>
          <w:rtl w:val="0"/>
        </w:rPr>
        <w:t xml:space="preserve"> displayed a drop in GDP from 2019 to 2020 because of the pandemic, with all GDPs rebounding in 2021. Over these four years, </w:t>
      </w:r>
      <w:r w:rsidDel="00000000" w:rsidR="00000000" w:rsidRPr="00000000">
        <w:rPr>
          <w:rtl w:val="0"/>
        </w:rPr>
        <w:t xml:space="preserve">Benin</w:t>
      </w:r>
      <w:r w:rsidDel="00000000" w:rsidR="00000000" w:rsidRPr="00000000">
        <w:rPr>
          <w:rtl w:val="0"/>
        </w:rPr>
        <w:t xml:space="preserve">’s average annual GDP growth rate (5.04%) is the greatest</w:t>
      </w:r>
      <w:r w:rsidDel="00000000" w:rsidR="00000000" w:rsidRPr="00000000">
        <w:rPr>
          <w:rtl w:val="0"/>
        </w:rPr>
        <w:t xml:space="preserve">,</w:t>
      </w:r>
      <w:r w:rsidDel="00000000" w:rsidR="00000000" w:rsidRPr="00000000">
        <w:rPr>
          <w:rtl w:val="0"/>
        </w:rPr>
        <w:t xml:space="preserve"> as </w:t>
      </w:r>
      <w:r w:rsidDel="00000000" w:rsidR="00000000" w:rsidRPr="00000000">
        <w:rPr>
          <w:rtl w:val="0"/>
        </w:rPr>
        <w:t xml:space="preserve">Niger</w:t>
      </w:r>
      <w:r w:rsidDel="00000000" w:rsidR="00000000" w:rsidRPr="00000000">
        <w:rPr>
          <w:rtl w:val="0"/>
        </w:rPr>
        <w:t xml:space="preserve">’s rate (2.15%), </w:t>
      </w:r>
      <w:r w:rsidDel="00000000" w:rsidR="00000000" w:rsidRPr="00000000">
        <w:rPr>
          <w:rtl w:val="0"/>
        </w:rPr>
        <w:t xml:space="preserve">Burkina Faso</w:t>
      </w:r>
      <w:r w:rsidDel="00000000" w:rsidR="00000000" w:rsidRPr="00000000">
        <w:rPr>
          <w:rtl w:val="0"/>
        </w:rPr>
        <w:t xml:space="preserve">’s (4.15%), and </w:t>
      </w:r>
      <w:r w:rsidDel="00000000" w:rsidR="00000000" w:rsidRPr="00000000">
        <w:rPr>
          <w:rtl w:val="0"/>
        </w:rPr>
        <w:t xml:space="preserve">Togo</w:t>
      </w:r>
      <w:r w:rsidDel="00000000" w:rsidR="00000000" w:rsidRPr="00000000">
        <w:rPr>
          <w:rtl w:val="0"/>
        </w:rPr>
        <w:t xml:space="preserve">’s rates (3.99%) are less. It is notable that the GDP levels in </w:t>
      </w:r>
      <w:r w:rsidDel="00000000" w:rsidR="00000000" w:rsidRPr="00000000">
        <w:rPr>
          <w:rtl w:val="0"/>
        </w:rPr>
        <w:t xml:space="preserve">Benin</w:t>
      </w:r>
      <w:r w:rsidDel="00000000" w:rsidR="00000000" w:rsidRPr="00000000">
        <w:rPr>
          <w:rtl w:val="0"/>
        </w:rPr>
        <w:t xml:space="preserve"> and </w:t>
      </w:r>
      <w:r w:rsidDel="00000000" w:rsidR="00000000" w:rsidRPr="00000000">
        <w:rPr>
          <w:rtl w:val="0"/>
        </w:rPr>
        <w:t xml:space="preserve">Niger</w:t>
      </w:r>
      <w:r w:rsidDel="00000000" w:rsidR="00000000" w:rsidRPr="00000000">
        <w:rPr>
          <w:rtl w:val="0"/>
        </w:rPr>
        <w:t xml:space="preserve"> almost evened out after 2021.</w:t>
      </w:r>
    </w:p>
    <w:p w:rsidR="00000000" w:rsidDel="00000000" w:rsidP="00000000" w:rsidRDefault="00000000" w:rsidRPr="00000000" w14:paraId="0000001E">
      <w:pPr>
        <w:pageBreakBefore w:val="0"/>
        <w:jc w:val="both"/>
        <w:rPr/>
      </w:pPr>
      <w:r w:rsidDel="00000000" w:rsidR="00000000" w:rsidRPr="00000000">
        <w:rPr>
          <w:rtl w:val="0"/>
        </w:rPr>
      </w:r>
    </w:p>
    <w:p w:rsidR="00000000" w:rsidDel="00000000" w:rsidP="00000000" w:rsidRDefault="00000000" w:rsidRPr="00000000" w14:paraId="0000001F">
      <w:pPr>
        <w:jc w:val="center"/>
        <w:rPr>
          <w:i w:val="1"/>
          <w:iCs w:val="1"/>
          <w:color w:val="444499"/>
          <w:sz w:val="20"/>
          <w:szCs w:val="20"/>
        </w:rPr>
      </w:pPr>
      <w:r w:rsidDel="00000000" w:rsidR="00000000" w:rsidRPr="00000000">
        <w:rPr/>
        <w:drawing>
          <wp:inline distB="114300" distT="114300" distL="114300" distR="114300">
            <wp:extent cx="3295650" cy="2724150"/>
            <wp:effectExtent b="0" l="0" r="0" t="0"/>
            <wp:docPr id="6" name="image12.png"/>
            <a:graphic>
              <a:graphicData uri="http://schemas.openxmlformats.org/drawingml/2006/picture">
                <pic:pic>
                  <pic:nvPicPr>
                    <pic:cNvPr id="0" name="image12.png"/>
                    <pic:cNvPicPr preferRelativeResize="0"/>
                  </pic:nvPicPr>
                  <pic:blipFill>
                    <a:blip r:embed="rId8"/>
                    <a:srcRect b="-1837" l="0" r="0" t="0"/>
                    <a:stretch>
                      <a:fillRect/>
                    </a:stretch>
                  </pic:blipFill>
                  <pic:spPr>
                    <a:xfrm>
                      <a:off x="0" y="0"/>
                      <a:ext cx="3295650" cy="272415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pageBreakBefore w:val="0"/>
        <w:jc w:val="center"/>
        <w:rPr>
          <w:sz w:val="22"/>
          <w:szCs w:val="22"/>
        </w:rPr>
      </w:pPr>
      <w:r w:rsidDel="00000000" w:rsidR="00000000" w:rsidRPr="00000000">
        <w:rPr>
          <w:sz w:val="22"/>
          <w:szCs w:val="22"/>
          <w:rtl w:val="0"/>
        </w:rPr>
        <w:t xml:space="preserve">Figure 1. GDP Comparison Among Peer Countries  (2019-2022)</w:t>
      </w:r>
    </w:p>
    <w:p w:rsidR="00000000" w:rsidDel="00000000" w:rsidP="00000000" w:rsidRDefault="00000000" w:rsidRPr="00000000" w14:paraId="00000021">
      <w:pPr>
        <w:pageBreakBefore w:val="0"/>
        <w:jc w:val="left"/>
        <w:rPr/>
      </w:pPr>
      <w:r w:rsidDel="00000000" w:rsidR="00000000" w:rsidRPr="00000000">
        <w:rPr>
          <w:rtl w:val="0"/>
        </w:rPr>
      </w:r>
    </w:p>
    <w:p w:rsidR="00000000" w:rsidDel="00000000" w:rsidP="00000000" w:rsidRDefault="00000000" w:rsidRPr="00000000" w14:paraId="00000022">
      <w:pPr>
        <w:pageBreakBefore w:val="0"/>
        <w:jc w:val="left"/>
        <w:rPr/>
      </w:pPr>
      <w:r w:rsidDel="00000000" w:rsidR="00000000" w:rsidRPr="00000000">
        <w:rPr>
          <w:rtl w:val="0"/>
        </w:rPr>
      </w:r>
    </w:p>
    <w:p w:rsidR="00000000" w:rsidDel="00000000" w:rsidP="00000000" w:rsidRDefault="00000000" w:rsidRPr="00000000" w14:paraId="00000023">
      <w:pPr>
        <w:pageBreakBefore w:val="0"/>
        <w:jc w:val="both"/>
        <w:rPr>
          <w:b w:val="1"/>
          <w:bCs w:val="1"/>
        </w:rPr>
      </w:pPr>
      <w:r w:rsidDel="00000000" w:rsidR="00000000" w:rsidRPr="00000000">
        <w:rPr>
          <w:b w:val="1"/>
          <w:bCs w:val="1"/>
          <w:rtl w:val="0"/>
        </w:rPr>
        <w:t xml:space="preserve">2.2 ECI Ranking and Changes</w:t>
      </w:r>
    </w:p>
    <w:p w:rsidR="00000000" w:rsidDel="00000000" w:rsidP="00000000" w:rsidRDefault="00000000" w:rsidRPr="00000000" w14:paraId="00000024">
      <w:pPr>
        <w:pageBreakBefore w:val="0"/>
        <w:jc w:val="both"/>
        <w:rPr/>
      </w:pPr>
      <w:r w:rsidDel="00000000" w:rsidR="00000000" w:rsidRPr="00000000">
        <w:rPr>
          <w:rtl w:val="0"/>
        </w:rPr>
        <w:t xml:space="preserve">The Economic Complexity Index (ECI), as defined by Ricardo Hausmann and Cesar Hidalgo in 2009 to explain the knowledge accumulated in a country's population, is illustrated in Figure 2.</w:t>
      </w:r>
    </w:p>
    <w:p w:rsidR="00000000" w:rsidDel="00000000" w:rsidP="00000000" w:rsidRDefault="00000000" w:rsidRPr="00000000" w14:paraId="00000025">
      <w:pPr>
        <w:pageBreakBefore w:val="0"/>
        <w:jc w:val="both"/>
        <w:rPr/>
      </w:pPr>
      <w:r w:rsidDel="00000000" w:rsidR="00000000" w:rsidRPr="00000000">
        <w:rPr>
          <w:rtl w:val="0"/>
        </w:rPr>
      </w:r>
    </w:p>
    <w:p w:rsidR="00000000" w:rsidDel="00000000" w:rsidP="00000000" w:rsidRDefault="00000000" w:rsidRPr="00000000" w14:paraId="00000026">
      <w:pPr>
        <w:pageBreakBefore w:val="0"/>
        <w:jc w:val="both"/>
        <w:rPr/>
      </w:pPr>
      <w:r w:rsidDel="00000000" w:rsidR="00000000" w:rsidRPr="00000000">
        <w:rPr>
          <w:rtl w:val="0"/>
        </w:rPr>
        <w:t xml:space="preserve">The comparable countries saw a large</w:t>
      </w:r>
      <w:r w:rsidDel="00000000" w:rsidR="00000000" w:rsidRPr="00000000">
        <w:rPr>
          <w:rtl w:val="0"/>
        </w:rPr>
        <w:t xml:space="preserve"> change in ECI level between 2019 and 2020, with a slight decrease between 2020 and 2021</w:t>
      </w:r>
      <w:r w:rsidDel="00000000" w:rsidR="00000000" w:rsidRPr="00000000">
        <w:rPr>
          <w:rtl w:val="0"/>
        </w:rPr>
        <w:t xml:space="preserve">. </w:t>
      </w:r>
      <w:r w:rsidDel="00000000" w:rsidR="00000000" w:rsidRPr="00000000">
        <w:rPr>
          <w:rtl w:val="0"/>
        </w:rPr>
        <w:t xml:space="preserve">Benin</w:t>
      </w:r>
      <w:r w:rsidDel="00000000" w:rsidR="00000000" w:rsidRPr="00000000">
        <w:rPr>
          <w:rtl w:val="0"/>
        </w:rPr>
        <w:t xml:space="preserve"> has seen a 181.47% increase in its ECI, which is greater than Niger's (178.83%) but less than Burkina Faso's (204.08%), and Togo's (205.18%).</w:t>
      </w:r>
    </w:p>
    <w:p w:rsidR="00000000" w:rsidDel="00000000" w:rsidP="00000000" w:rsidRDefault="00000000" w:rsidRPr="00000000" w14:paraId="00000027">
      <w:pPr>
        <w:pageBreakBefore w:val="0"/>
        <w:jc w:val="both"/>
        <w:rPr/>
      </w:pPr>
      <w:r w:rsidDel="00000000" w:rsidR="00000000" w:rsidRPr="00000000">
        <w:rPr>
          <w:rtl w:val="0"/>
        </w:rPr>
      </w:r>
    </w:p>
    <w:p w:rsidR="00000000" w:rsidDel="00000000" w:rsidP="00000000" w:rsidRDefault="00000000" w:rsidRPr="00000000" w14:paraId="00000028">
      <w:pPr>
        <w:pageBreakBefore w:val="0"/>
        <w:jc w:val="center"/>
        <w:rPr/>
      </w:pPr>
      <w:r w:rsidDel="00000000" w:rsidR="00000000" w:rsidRPr="00000000">
        <w:rPr/>
        <w:drawing>
          <wp:inline distB="114300" distT="114300" distL="114300" distR="114300">
            <wp:extent cx="3421856" cy="2281238"/>
            <wp:effectExtent b="0" l="0" r="0" t="0"/>
            <wp:docPr id="4" name="image11.png"/>
            <a:graphic>
              <a:graphicData uri="http://schemas.openxmlformats.org/drawingml/2006/picture">
                <pic:pic>
                  <pic:nvPicPr>
                    <pic:cNvPr id="0" name="image11.png"/>
                    <pic:cNvPicPr preferRelativeResize="0"/>
                  </pic:nvPicPr>
                  <pic:blipFill>
                    <a:blip r:embed="rId9"/>
                    <a:srcRect b="5556" l="0" r="0" t="5556"/>
                    <a:stretch>
                      <a:fillRect/>
                    </a:stretch>
                  </pic:blipFill>
                  <pic:spPr>
                    <a:xfrm>
                      <a:off x="0" y="0"/>
                      <a:ext cx="3421856" cy="2281238"/>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29">
      <w:pPr>
        <w:pageBreakBefore w:val="0"/>
        <w:jc w:val="center"/>
        <w:rPr/>
      </w:pPr>
      <w:r w:rsidDel="00000000" w:rsidR="00000000" w:rsidRPr="00000000">
        <w:rPr>
          <w:rtl w:val="0"/>
        </w:rPr>
        <w:t xml:space="preserve">   </w:t>
      </w:r>
      <w:r w:rsidDel="00000000" w:rsidR="00000000" w:rsidRPr="00000000">
        <w:rPr>
          <w:sz w:val="22"/>
          <w:szCs w:val="22"/>
          <w:rtl w:val="0"/>
        </w:rPr>
        <w:t xml:space="preserve">    Figure 2. ECI Comparison Among Peer Countries (2019-2022) </w:t>
      </w:r>
      <w:r w:rsidDel="00000000" w:rsidR="00000000" w:rsidRPr="00000000">
        <w:rPr>
          <w:rtl w:val="0"/>
        </w:rPr>
        <w:t xml:space="preserve">                        </w:t>
      </w:r>
    </w:p>
    <w:p w:rsidR="00000000" w:rsidDel="00000000" w:rsidP="00000000" w:rsidRDefault="00000000" w:rsidRPr="00000000" w14:paraId="0000002A">
      <w:pPr>
        <w:pageBreakBefore w:val="0"/>
        <w:jc w:val="left"/>
        <w:rPr/>
      </w:pPr>
      <w:r w:rsidDel="00000000" w:rsidR="00000000" w:rsidRPr="00000000">
        <w:rPr>
          <w:rtl w:val="0"/>
        </w:rPr>
      </w:r>
    </w:p>
    <w:p w:rsidR="00000000" w:rsidDel="00000000" w:rsidP="00000000" w:rsidRDefault="00000000" w:rsidRPr="00000000" w14:paraId="0000002B">
      <w:pPr>
        <w:pageBreakBefore w:val="0"/>
        <w:jc w:val="both"/>
        <w:rPr/>
      </w:pPr>
      <w:r w:rsidDel="00000000" w:rsidR="00000000" w:rsidRPr="00000000">
        <w:rPr>
          <w:rtl w:val="0"/>
        </w:rPr>
        <w:t xml:space="preserve">Figure 3 offers a further comparison of GDP Growth and ECI over the time span from 2019 to 2022 for </w:t>
      </w:r>
      <w:r w:rsidDel="00000000" w:rsidR="00000000" w:rsidRPr="00000000">
        <w:rPr>
          <w:rtl w:val="0"/>
        </w:rPr>
        <w:t xml:space="preserve">Benin</w:t>
      </w:r>
      <w:r w:rsidDel="00000000" w:rsidR="00000000" w:rsidRPr="00000000">
        <w:rPr>
          <w:rtl w:val="0"/>
        </w:rPr>
        <w:t xml:space="preserve">. T</w:t>
      </w:r>
      <w:r w:rsidDel="00000000" w:rsidR="00000000" w:rsidRPr="00000000">
        <w:rPr>
          <w:rtl w:val="0"/>
        </w:rPr>
        <w:t xml:space="preserve">he GDP growth during the period from 2019 to 2022 is accompanied by a similarly volatile increase in ECI.</w:t>
      </w:r>
      <w:r w:rsidDel="00000000" w:rsidR="00000000" w:rsidRPr="00000000">
        <w:rPr>
          <w:rtl w:val="0"/>
        </w:rPr>
        <w:t xml:space="preserve"> T</w:t>
      </w:r>
      <w:r w:rsidDel="00000000" w:rsidR="00000000" w:rsidRPr="00000000">
        <w:rPr>
          <w:rtl w:val="0"/>
        </w:rPr>
        <w:t xml:space="preserve">he GDP followed ECI trends, which can be interpreted as advancements in production.</w:t>
      </w:r>
      <w:r w:rsidDel="00000000" w:rsidR="00000000" w:rsidRPr="00000000">
        <w:rPr>
          <w:rtl w:val="0"/>
        </w:rPr>
        <w:t xml:space="preserve"> In order to provide a more concrete answer to why this has happened, we will dive into an analysis of </w:t>
      </w:r>
      <w:r w:rsidDel="00000000" w:rsidR="00000000" w:rsidRPr="00000000">
        <w:rPr>
          <w:rtl w:val="0"/>
        </w:rPr>
        <w:t xml:space="preserve">Benin</w:t>
      </w:r>
      <w:r w:rsidDel="00000000" w:rsidR="00000000" w:rsidRPr="00000000">
        <w:rPr>
          <w:rtl w:val="0"/>
        </w:rPr>
        <w:t xml:space="preserve">’s production structure and its product space designs in the next few sections.</w:t>
      </w:r>
    </w:p>
    <w:p w:rsidR="00000000" w:rsidDel="00000000" w:rsidP="00000000" w:rsidRDefault="00000000" w:rsidRPr="00000000" w14:paraId="0000002C">
      <w:pPr>
        <w:pageBreakBefore w:val="0"/>
        <w:jc w:val="both"/>
        <w:rPr/>
      </w:pPr>
      <w:r w:rsidDel="00000000" w:rsidR="00000000" w:rsidRPr="00000000">
        <w:rPr>
          <w:rtl w:val="0"/>
        </w:rPr>
      </w:r>
    </w:p>
    <w:p w:rsidR="00000000" w:rsidDel="00000000" w:rsidP="00000000" w:rsidRDefault="00000000" w:rsidRPr="00000000" w14:paraId="0000002D">
      <w:pPr>
        <w:jc w:val="center"/>
        <w:rPr/>
      </w:pPr>
      <w:r w:rsidDel="00000000" w:rsidR="00000000" w:rsidRPr="00000000">
        <w:rPr/>
        <w:drawing>
          <wp:inline distB="114300" distT="114300" distL="114300" distR="114300">
            <wp:extent cx="3848100" cy="2715109"/>
            <wp:effectExtent b="0" l="0" r="0" t="0"/>
            <wp:docPr id="11"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3848100" cy="2715109"/>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jc w:val="center"/>
        <w:rPr>
          <w:b w:val="0"/>
          <w:bCs w:val="0"/>
          <w:i w:val="1"/>
          <w:iCs w:val="1"/>
          <w:color w:val="444499"/>
          <w:sz w:val="20"/>
          <w:szCs w:val="20"/>
        </w:rPr>
      </w:pPr>
      <w:r w:rsidDel="00000000" w:rsidR="00000000" w:rsidRPr="00000000">
        <w:rPr>
          <w:sz w:val="22"/>
          <w:szCs w:val="22"/>
          <w:rtl w:val="0"/>
        </w:rPr>
        <w:t xml:space="preserve">Figure 3. GDP Growth and ECI for</w:t>
      </w:r>
      <w:r w:rsidDel="00000000" w:rsidR="00000000" w:rsidRPr="00000000">
        <w:rPr>
          <w:sz w:val="22"/>
          <w:szCs w:val="22"/>
          <w:rtl w:val="0"/>
        </w:rPr>
        <w:t xml:space="preserve"> Benin</w:t>
      </w:r>
      <w:r w:rsidDel="00000000" w:rsidR="00000000" w:rsidRPr="00000000">
        <w:rPr>
          <w:sz w:val="22"/>
          <w:szCs w:val="22"/>
          <w:rtl w:val="0"/>
        </w:rPr>
        <w:t xml:space="preserve"> (2019-2022)</w:t>
      </w:r>
      <w:r w:rsidDel="00000000" w:rsidR="00000000" w:rsidRPr="00000000">
        <w:rPr>
          <w:rtl w:val="0"/>
        </w:rPr>
      </w:r>
    </w:p>
    <w:p w:rsidR="00000000" w:rsidDel="00000000" w:rsidP="00000000" w:rsidRDefault="00000000" w:rsidRPr="00000000" w14:paraId="0000002F">
      <w:pPr>
        <w:pageBreakBefore w:val="0"/>
        <w:jc w:val="both"/>
        <w:rPr>
          <w:b w:val="1"/>
          <w:bCs w:val="1"/>
        </w:rPr>
      </w:pPr>
      <w:r w:rsidDel="00000000" w:rsidR="00000000" w:rsidRPr="00000000">
        <w:rPr>
          <w:rtl w:val="0"/>
        </w:rPr>
      </w:r>
    </w:p>
    <w:p w:rsidR="00000000" w:rsidDel="00000000" w:rsidP="00000000" w:rsidRDefault="00000000" w:rsidRPr="00000000" w14:paraId="00000030">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1">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3. Production Analysis</w:t>
      </w:r>
    </w:p>
    <w:p w:rsidR="00000000" w:rsidDel="00000000" w:rsidP="00000000" w:rsidRDefault="00000000" w:rsidRPr="00000000" w14:paraId="00000032">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33">
      <w:pPr>
        <w:pageBreakBefore w:val="0"/>
        <w:jc w:val="both"/>
        <w:rPr>
          <w:b w:val="1"/>
          <w:bCs w:val="1"/>
        </w:rPr>
      </w:pPr>
      <w:r w:rsidDel="00000000" w:rsidR="00000000" w:rsidRPr="00000000">
        <w:rPr>
          <w:b w:val="1"/>
          <w:bCs w:val="1"/>
          <w:rtl w:val="0"/>
        </w:rPr>
        <w:t xml:space="preserve">3.1 Product Categorization</w:t>
      </w:r>
    </w:p>
    <w:p w:rsidR="00000000" w:rsidDel="00000000" w:rsidP="00000000" w:rsidRDefault="00000000" w:rsidRPr="00000000" w14:paraId="00000034">
      <w:pPr>
        <w:pageBreakBefore w:val="0"/>
        <w:jc w:val="both"/>
        <w:rPr/>
      </w:pPr>
      <w:r w:rsidDel="00000000" w:rsidR="00000000" w:rsidRPr="00000000">
        <w:rPr>
          <w:rtl w:val="0"/>
        </w:rPr>
        <w:t xml:space="preserve">Our main data source in this research is the UN Comtrade Website (https://comtrade.un.org),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Products in our data source are labeled from 010000-999999, with the first two digits representing a general category to which the product belongs. Based on the 99 categories extracted from the label, we further group the products into the 18 most widely-accepted industries, as summarized in Table 1.</w:t>
      </w:r>
    </w:p>
    <w:p w:rsidR="00000000" w:rsidDel="00000000" w:rsidP="00000000" w:rsidRDefault="00000000" w:rsidRPr="00000000" w14:paraId="00000035">
      <w:pPr>
        <w:pageBreakBefore w:val="0"/>
        <w:jc w:val="both"/>
        <w:rPr/>
      </w:pPr>
      <w:r w:rsidDel="00000000" w:rsidR="00000000" w:rsidRPr="00000000">
        <w:rPr>
          <w:rtl w:val="0"/>
        </w:rPr>
      </w:r>
    </w:p>
    <w:p w:rsidR="00000000" w:rsidDel="00000000" w:rsidP="00000000" w:rsidRDefault="00000000" w:rsidRPr="00000000" w14:paraId="00000036">
      <w:pPr>
        <w:pageBreakBefore w:val="0"/>
        <w:jc w:val="both"/>
        <w:rPr/>
      </w:pPr>
      <w:r w:rsidDel="00000000" w:rsidR="00000000" w:rsidRPr="00000000">
        <w:rPr>
          <w:rtl w:val="0"/>
        </w:rPr>
        <w:t xml:space="preserve">Note that the High-complexity Products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technological gap with advanced economies, which has become a topic of wide concern today. Indeed, when we rank the 18 categories based on PfCI (an equivalent concept of PCI as calculated based on the 18 categorized product groups), the High-complexity Products industry has the highest PfCI among all industry groups. </w:t>
      </w:r>
    </w:p>
    <w:p w:rsidR="00000000" w:rsidDel="00000000" w:rsidP="00000000" w:rsidRDefault="00000000" w:rsidRPr="00000000" w14:paraId="00000037">
      <w:pPr>
        <w:pageBreakBefore w:val="0"/>
        <w:jc w:val="both"/>
        <w:rPr/>
      </w:pPr>
      <w:r w:rsidDel="00000000" w:rsidR="00000000" w:rsidRPr="00000000">
        <w:rPr>
          <w:rtl w:val="0"/>
        </w:rPr>
      </w:r>
    </w:p>
    <w:tbl>
      <w:tblPr>
        <w:tblStyle w:val="Table1"/>
        <w:tblW w:w="9010.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723"/>
        <w:gridCol w:w="6287"/>
        <w:tblGridChange w:id="0">
          <w:tblGrid>
            <w:gridCol w:w="2723"/>
            <w:gridCol w:w="6287"/>
          </w:tblGrid>
        </w:tblGridChange>
      </w:tblGrid>
      <w:tr>
        <w:trPr>
          <w:cantSplit w:val="0"/>
          <w:tblHeader w:val="0"/>
        </w:trPr>
        <w:tc>
          <w:tcPr/>
          <w:p w:rsidR="00000000" w:rsidDel="00000000" w:rsidP="00000000" w:rsidRDefault="00000000" w:rsidRPr="00000000" w14:paraId="00000038">
            <w:pPr>
              <w:pageBreakBefore w:val="0"/>
              <w:jc w:val="both"/>
              <w:rPr>
                <w:b w:val="0"/>
                <w:bCs w:val="0"/>
              </w:rPr>
            </w:pPr>
            <w:r w:rsidDel="00000000" w:rsidR="00000000" w:rsidRPr="00000000">
              <w:rPr>
                <w:b w:val="0"/>
                <w:bCs w:val="0"/>
                <w:rtl w:val="0"/>
              </w:rPr>
              <w:t xml:space="preserve">Category</w:t>
            </w:r>
          </w:p>
        </w:tc>
        <w:tc>
          <w:tcPr/>
          <w:p w:rsidR="00000000" w:rsidDel="00000000" w:rsidP="00000000" w:rsidRDefault="00000000" w:rsidRPr="00000000" w14:paraId="00000039">
            <w:pPr>
              <w:pageBreakBefore w:val="0"/>
              <w:jc w:val="both"/>
              <w:rPr>
                <w:b w:val="0"/>
                <w:bCs w:val="0"/>
              </w:rPr>
            </w:pPr>
            <w:r w:rsidDel="00000000" w:rsidR="00000000" w:rsidRPr="00000000">
              <w:rPr>
                <w:b w:val="0"/>
                <w:bCs w:val="0"/>
                <w:rtl w:val="0"/>
              </w:rPr>
              <w:t xml:space="preserve">Description</w:t>
            </w:r>
          </w:p>
        </w:tc>
      </w:tr>
      <w:tr>
        <w:trPr>
          <w:cantSplit w:val="0"/>
          <w:tblHeader w:val="0"/>
        </w:trPr>
        <w:tc>
          <w:tcPr/>
          <w:p w:rsidR="00000000" w:rsidDel="00000000" w:rsidP="00000000" w:rsidRDefault="00000000" w:rsidRPr="00000000" w14:paraId="0000003A">
            <w:pPr>
              <w:pageBreakBefore w:val="0"/>
              <w:jc w:val="both"/>
              <w:rPr>
                <w:sz w:val="20"/>
                <w:szCs w:val="20"/>
              </w:rPr>
            </w:pPr>
            <w:r w:rsidDel="00000000" w:rsidR="00000000" w:rsidRPr="00000000">
              <w:rPr>
                <w:sz w:val="20"/>
                <w:szCs w:val="20"/>
                <w:rtl w:val="0"/>
              </w:rPr>
              <w:t xml:space="preserve">Animals and By-products</w:t>
            </w:r>
          </w:p>
        </w:tc>
        <w:tc>
          <w:tcPr/>
          <w:p w:rsidR="00000000" w:rsidDel="00000000" w:rsidP="00000000" w:rsidRDefault="00000000" w:rsidRPr="00000000" w14:paraId="0000003B">
            <w:pPr>
              <w:pageBreakBefore w:val="0"/>
              <w:jc w:val="both"/>
              <w:rPr>
                <w:sz w:val="20"/>
                <w:szCs w:val="20"/>
              </w:rPr>
            </w:pPr>
            <w:r w:rsidDel="00000000" w:rsidR="00000000" w:rsidRPr="00000000">
              <w:rPr>
                <w:sz w:val="20"/>
                <w:szCs w:val="20"/>
                <w:rtl w:val="0"/>
              </w:rPr>
              <w:t xml:space="preserve">All kinds of meat, livestock and related by-products </w:t>
            </w:r>
          </w:p>
        </w:tc>
      </w:tr>
      <w:tr>
        <w:trPr>
          <w:cantSplit w:val="0"/>
          <w:tblHeader w:val="0"/>
        </w:trPr>
        <w:tc>
          <w:tcPr/>
          <w:p w:rsidR="00000000" w:rsidDel="00000000" w:rsidP="00000000" w:rsidRDefault="00000000" w:rsidRPr="00000000" w14:paraId="0000003C">
            <w:pPr>
              <w:pageBreakBefore w:val="0"/>
              <w:jc w:val="both"/>
              <w:rPr>
                <w:sz w:val="20"/>
                <w:szCs w:val="20"/>
              </w:rPr>
            </w:pPr>
            <w:r w:rsidDel="00000000" w:rsidR="00000000" w:rsidRPr="00000000">
              <w:rPr>
                <w:sz w:val="20"/>
                <w:szCs w:val="20"/>
                <w:rtl w:val="0"/>
              </w:rPr>
              <w:t xml:space="preserve">Vegetables, Fruits and Plants</w:t>
            </w:r>
          </w:p>
        </w:tc>
        <w:tc>
          <w:tcPr/>
          <w:p w:rsidR="00000000" w:rsidDel="00000000" w:rsidP="00000000" w:rsidRDefault="00000000" w:rsidRPr="00000000" w14:paraId="0000003D">
            <w:pPr>
              <w:pageBreakBefore w:val="0"/>
              <w:jc w:val="both"/>
              <w:rPr>
                <w:sz w:val="20"/>
                <w:szCs w:val="20"/>
              </w:rPr>
            </w:pPr>
            <w:r w:rsidDel="00000000" w:rsidR="00000000" w:rsidRPr="00000000">
              <w:rPr>
                <w:sz w:val="20"/>
                <w:szCs w:val="20"/>
                <w:rtl w:val="0"/>
              </w:rPr>
              <w:t xml:space="preserve">All kinds of plants, edible vegetables and fruits </w:t>
            </w:r>
          </w:p>
        </w:tc>
      </w:tr>
      <w:tr>
        <w:trPr>
          <w:cantSplit w:val="0"/>
          <w:tblHeader w:val="0"/>
        </w:trPr>
        <w:tc>
          <w:tcPr/>
          <w:p w:rsidR="00000000" w:rsidDel="00000000" w:rsidP="00000000" w:rsidRDefault="00000000" w:rsidRPr="00000000" w14:paraId="0000003E">
            <w:pPr>
              <w:pageBreakBefore w:val="0"/>
              <w:jc w:val="both"/>
              <w:rPr>
                <w:sz w:val="20"/>
                <w:szCs w:val="20"/>
              </w:rPr>
            </w:pPr>
            <w:r w:rsidDel="00000000" w:rsidR="00000000" w:rsidRPr="00000000">
              <w:rPr>
                <w:sz w:val="20"/>
                <w:szCs w:val="20"/>
                <w:rtl w:val="0"/>
              </w:rPr>
              <w:t xml:space="preserve">Food and Preparations</w:t>
            </w:r>
          </w:p>
        </w:tc>
        <w:tc>
          <w:tcPr/>
          <w:p w:rsidR="00000000" w:rsidDel="00000000" w:rsidP="00000000" w:rsidRDefault="00000000" w:rsidRPr="00000000" w14:paraId="0000003F">
            <w:pPr>
              <w:pageBreakBefore w:val="0"/>
              <w:jc w:val="both"/>
              <w:rPr>
                <w:sz w:val="20"/>
                <w:szCs w:val="20"/>
              </w:rPr>
            </w:pPr>
            <w:r w:rsidDel="00000000" w:rsidR="00000000" w:rsidRPr="00000000">
              <w:rPr>
                <w:sz w:val="20"/>
                <w:szCs w:val="20"/>
                <w:rtl w:val="0"/>
              </w:rPr>
              <w:t xml:space="preserve">Edible preparations, raw cooking materials and appliances</w:t>
            </w:r>
          </w:p>
        </w:tc>
      </w:tr>
      <w:tr>
        <w:trPr>
          <w:cantSplit w:val="0"/>
          <w:tblHeader w:val="0"/>
        </w:trPr>
        <w:tc>
          <w:tcPr/>
          <w:p w:rsidR="00000000" w:rsidDel="00000000" w:rsidP="00000000" w:rsidRDefault="00000000" w:rsidRPr="00000000" w14:paraId="00000040">
            <w:pPr>
              <w:pageBreakBefore w:val="0"/>
              <w:jc w:val="both"/>
              <w:rPr>
                <w:sz w:val="20"/>
                <w:szCs w:val="20"/>
              </w:rPr>
            </w:pPr>
            <w:r w:rsidDel="00000000" w:rsidR="00000000" w:rsidRPr="00000000">
              <w:rPr>
                <w:sz w:val="20"/>
                <w:szCs w:val="20"/>
                <w:rtl w:val="0"/>
              </w:rPr>
              <w:t xml:space="preserve">Clothing and Accessories</w:t>
            </w:r>
          </w:p>
        </w:tc>
        <w:tc>
          <w:tcPr/>
          <w:p w:rsidR="00000000" w:rsidDel="00000000" w:rsidP="00000000" w:rsidRDefault="00000000" w:rsidRPr="00000000" w14:paraId="00000041">
            <w:pPr>
              <w:pageBreakBefore w:val="0"/>
              <w:jc w:val="both"/>
              <w:rPr>
                <w:sz w:val="20"/>
                <w:szCs w:val="20"/>
              </w:rPr>
            </w:pPr>
            <w:r w:rsidDel="00000000" w:rsidR="00000000" w:rsidRPr="00000000">
              <w:rPr>
                <w:sz w:val="20"/>
                <w:szCs w:val="20"/>
                <w:rtl w:val="0"/>
              </w:rPr>
              <w:t xml:space="preserve">All kinds of fabrics, filament, clothing and accessories</w:t>
            </w:r>
          </w:p>
        </w:tc>
      </w:tr>
      <w:tr>
        <w:trPr>
          <w:cantSplit w:val="0"/>
          <w:tblHeader w:val="0"/>
        </w:trPr>
        <w:tc>
          <w:tcPr/>
          <w:p w:rsidR="00000000" w:rsidDel="00000000" w:rsidP="00000000" w:rsidRDefault="00000000" w:rsidRPr="00000000" w14:paraId="00000042">
            <w:pPr>
              <w:pageBreakBefore w:val="0"/>
              <w:jc w:val="both"/>
              <w:rPr>
                <w:sz w:val="20"/>
                <w:szCs w:val="20"/>
              </w:rPr>
            </w:pPr>
            <w:r w:rsidDel="00000000" w:rsidR="00000000" w:rsidRPr="00000000">
              <w:rPr>
                <w:sz w:val="20"/>
                <w:szCs w:val="20"/>
                <w:rtl w:val="0"/>
              </w:rPr>
              <w:t xml:space="preserve">Textiles</w:t>
            </w:r>
          </w:p>
        </w:tc>
        <w:tc>
          <w:tcPr/>
          <w:p w:rsidR="00000000" w:rsidDel="00000000" w:rsidP="00000000" w:rsidRDefault="00000000" w:rsidRPr="00000000" w14:paraId="00000043">
            <w:pPr>
              <w:pageBreakBefore w:val="0"/>
              <w:jc w:val="both"/>
              <w:rPr>
                <w:sz w:val="20"/>
                <w:szCs w:val="20"/>
              </w:rPr>
            </w:pPr>
            <w:r w:rsidDel="00000000" w:rsidR="00000000" w:rsidRPr="00000000">
              <w:rPr>
                <w:sz w:val="20"/>
                <w:szCs w:val="20"/>
                <w:rtl w:val="0"/>
              </w:rPr>
              <w:t xml:space="preserve">All kinds of textile articles and related products</w:t>
            </w:r>
          </w:p>
        </w:tc>
      </w:tr>
      <w:tr>
        <w:trPr>
          <w:cantSplit w:val="0"/>
          <w:tblHeader w:val="0"/>
        </w:trPr>
        <w:tc>
          <w:tcPr/>
          <w:p w:rsidR="00000000" w:rsidDel="00000000" w:rsidP="00000000" w:rsidRDefault="00000000" w:rsidRPr="00000000" w14:paraId="00000044">
            <w:pPr>
              <w:pageBreakBefore w:val="0"/>
              <w:jc w:val="both"/>
              <w:rPr>
                <w:sz w:val="20"/>
                <w:szCs w:val="20"/>
              </w:rPr>
            </w:pPr>
            <w:r w:rsidDel="00000000" w:rsidR="00000000" w:rsidRPr="00000000">
              <w:rPr>
                <w:sz w:val="20"/>
                <w:szCs w:val="20"/>
                <w:rtl w:val="0"/>
              </w:rPr>
              <w:t xml:space="preserve">Wood Products</w:t>
            </w:r>
          </w:p>
        </w:tc>
        <w:tc>
          <w:tcPr/>
          <w:p w:rsidR="00000000" w:rsidDel="00000000" w:rsidP="00000000" w:rsidRDefault="00000000" w:rsidRPr="00000000" w14:paraId="00000045">
            <w:pPr>
              <w:pageBreakBefore w:val="0"/>
              <w:jc w:val="both"/>
              <w:rPr>
                <w:sz w:val="20"/>
                <w:szCs w:val="20"/>
              </w:rPr>
            </w:pPr>
            <w:r w:rsidDel="00000000" w:rsidR="00000000" w:rsidRPr="00000000">
              <w:rPr>
                <w:sz w:val="20"/>
                <w:szCs w:val="20"/>
                <w:rtl w:val="0"/>
              </w:rPr>
              <w:t xml:space="preserve">Book, paper and other elementary products related to wood</w:t>
            </w:r>
          </w:p>
        </w:tc>
      </w:tr>
      <w:tr>
        <w:trPr>
          <w:cantSplit w:val="0"/>
          <w:tblHeader w:val="0"/>
        </w:trPr>
        <w:tc>
          <w:tcPr/>
          <w:p w:rsidR="00000000" w:rsidDel="00000000" w:rsidP="00000000" w:rsidRDefault="00000000" w:rsidRPr="00000000" w14:paraId="00000046">
            <w:pPr>
              <w:pageBreakBefore w:val="0"/>
              <w:jc w:val="both"/>
              <w:rPr>
                <w:sz w:val="20"/>
                <w:szCs w:val="20"/>
              </w:rPr>
            </w:pPr>
            <w:r w:rsidDel="00000000" w:rsidR="00000000" w:rsidRPr="00000000">
              <w:rPr>
                <w:sz w:val="20"/>
                <w:szCs w:val="20"/>
                <w:rtl w:val="0"/>
              </w:rPr>
              <w:t xml:space="preserve">Metals</w:t>
            </w:r>
          </w:p>
        </w:tc>
        <w:tc>
          <w:tcPr/>
          <w:p w:rsidR="00000000" w:rsidDel="00000000" w:rsidP="00000000" w:rsidRDefault="00000000" w:rsidRPr="00000000" w14:paraId="00000047">
            <w:pPr>
              <w:pageBreakBefore w:val="0"/>
              <w:jc w:val="both"/>
              <w:rPr>
                <w:sz w:val="20"/>
                <w:szCs w:val="20"/>
              </w:rPr>
            </w:pPr>
            <w:r w:rsidDel="00000000" w:rsidR="00000000" w:rsidRPr="00000000">
              <w:rPr>
                <w:sz w:val="20"/>
                <w:szCs w:val="20"/>
                <w:rtl w:val="0"/>
              </w:rPr>
              <w:t xml:space="preserve">Mining of all sorts of raw Metals</w:t>
            </w:r>
          </w:p>
        </w:tc>
      </w:tr>
      <w:tr>
        <w:trPr>
          <w:cantSplit w:val="0"/>
          <w:tblHeader w:val="0"/>
        </w:trPr>
        <w:tc>
          <w:tcPr/>
          <w:p w:rsidR="00000000" w:rsidDel="00000000" w:rsidP="00000000" w:rsidRDefault="00000000" w:rsidRPr="00000000" w14:paraId="00000048">
            <w:pPr>
              <w:pageBreakBefore w:val="0"/>
              <w:rPr>
                <w:sz w:val="20"/>
                <w:szCs w:val="20"/>
              </w:rPr>
            </w:pPr>
            <w:r w:rsidDel="00000000" w:rsidR="00000000" w:rsidRPr="00000000">
              <w:rPr>
                <w:sz w:val="20"/>
                <w:szCs w:val="20"/>
                <w:rtl w:val="0"/>
              </w:rPr>
              <w:t xml:space="preserve">Refined and Processed Stones</w:t>
            </w:r>
          </w:p>
        </w:tc>
        <w:tc>
          <w:tcPr/>
          <w:p w:rsidR="00000000" w:rsidDel="00000000" w:rsidP="00000000" w:rsidRDefault="00000000" w:rsidRPr="00000000" w14:paraId="00000049">
            <w:pPr>
              <w:pageBreakBefore w:val="0"/>
              <w:jc w:val="both"/>
              <w:rPr>
                <w:sz w:val="20"/>
                <w:szCs w:val="20"/>
              </w:rPr>
            </w:pPr>
            <w:r w:rsidDel="00000000" w:rsidR="00000000" w:rsidRPr="00000000">
              <w:rPr>
                <w:sz w:val="20"/>
                <w:szCs w:val="20"/>
                <w:rtl w:val="0"/>
              </w:rPr>
              <w:t xml:space="preserve">Refined or processed stone products such as pearl and ceramics</w:t>
            </w:r>
          </w:p>
        </w:tc>
      </w:tr>
      <w:tr>
        <w:trPr>
          <w:cantSplit w:val="0"/>
          <w:tblHeader w:val="0"/>
        </w:trPr>
        <w:tc>
          <w:tcPr/>
          <w:p w:rsidR="00000000" w:rsidDel="00000000" w:rsidP="00000000" w:rsidRDefault="00000000" w:rsidRPr="00000000" w14:paraId="0000004A">
            <w:pPr>
              <w:pageBreakBefore w:val="0"/>
              <w:jc w:val="both"/>
              <w:rPr>
                <w:sz w:val="20"/>
                <w:szCs w:val="20"/>
              </w:rPr>
            </w:pPr>
            <w:r w:rsidDel="00000000" w:rsidR="00000000" w:rsidRPr="00000000">
              <w:rPr>
                <w:sz w:val="20"/>
                <w:szCs w:val="20"/>
                <w:rtl w:val="0"/>
              </w:rPr>
              <w:t xml:space="preserve">Energy Drilling and Mining</w:t>
            </w:r>
          </w:p>
        </w:tc>
        <w:tc>
          <w:tcPr/>
          <w:p w:rsidR="00000000" w:rsidDel="00000000" w:rsidP="00000000" w:rsidRDefault="00000000" w:rsidRPr="00000000" w14:paraId="0000004B">
            <w:pPr>
              <w:pageBreakBefore w:val="0"/>
              <w:jc w:val="both"/>
              <w:rPr>
                <w:sz w:val="20"/>
                <w:szCs w:val="20"/>
              </w:rPr>
            </w:pPr>
            <w:r w:rsidDel="00000000" w:rsidR="00000000" w:rsidRPr="00000000">
              <w:rPr>
                <w:sz w:val="20"/>
                <w:szCs w:val="20"/>
                <w:rtl w:val="0"/>
              </w:rPr>
              <w:t xml:space="preserve">Mining industry for energy, minerals, stone materials, etc.</w:t>
            </w:r>
          </w:p>
        </w:tc>
      </w:tr>
      <w:tr>
        <w:trPr>
          <w:cantSplit w:val="0"/>
          <w:tblHeader w:val="0"/>
        </w:trPr>
        <w:tc>
          <w:tcPr/>
          <w:p w:rsidR="00000000" w:rsidDel="00000000" w:rsidP="00000000" w:rsidRDefault="00000000" w:rsidRPr="00000000" w14:paraId="0000004C">
            <w:pPr>
              <w:pageBreakBefore w:val="0"/>
              <w:jc w:val="both"/>
              <w:rPr>
                <w:sz w:val="20"/>
                <w:szCs w:val="20"/>
              </w:rPr>
            </w:pPr>
            <w:r w:rsidDel="00000000" w:rsidR="00000000" w:rsidRPr="00000000">
              <w:rPr>
                <w:sz w:val="20"/>
                <w:szCs w:val="20"/>
                <w:rtl w:val="0"/>
              </w:rPr>
              <w:t xml:space="preserve">Daily Instruments</w:t>
            </w:r>
          </w:p>
        </w:tc>
        <w:tc>
          <w:tcPr/>
          <w:p w:rsidR="00000000" w:rsidDel="00000000" w:rsidP="00000000" w:rsidRDefault="00000000" w:rsidRPr="00000000" w14:paraId="0000004D">
            <w:pPr>
              <w:pageBreakBefore w:val="0"/>
              <w:jc w:val="both"/>
              <w:rPr>
                <w:sz w:val="20"/>
                <w:szCs w:val="20"/>
              </w:rPr>
            </w:pPr>
            <w:r w:rsidDel="00000000" w:rsidR="00000000" w:rsidRPr="00000000">
              <w:rPr>
                <w:sz w:val="20"/>
                <w:szCs w:val="20"/>
                <w:rtl w:val="0"/>
              </w:rPr>
              <w:t xml:space="preserve">Basic daily instruments such as sport requisites, timing and measuring tools</w:t>
            </w:r>
          </w:p>
        </w:tc>
      </w:tr>
      <w:tr>
        <w:trPr>
          <w:cantSplit w:val="0"/>
          <w:tblHeader w:val="0"/>
        </w:trPr>
        <w:tc>
          <w:tcPr/>
          <w:p w:rsidR="00000000" w:rsidDel="00000000" w:rsidP="00000000" w:rsidRDefault="00000000" w:rsidRPr="00000000" w14:paraId="0000004E">
            <w:pPr>
              <w:pageBreakBefore w:val="0"/>
              <w:jc w:val="both"/>
              <w:rPr>
                <w:sz w:val="20"/>
                <w:szCs w:val="20"/>
              </w:rPr>
            </w:pPr>
            <w:r w:rsidDel="00000000" w:rsidR="00000000" w:rsidRPr="00000000">
              <w:rPr>
                <w:sz w:val="20"/>
                <w:szCs w:val="20"/>
                <w:rtl w:val="0"/>
              </w:rPr>
              <w:t xml:space="preserve">Raw Manufacturing</w:t>
            </w:r>
          </w:p>
        </w:tc>
        <w:tc>
          <w:tcPr/>
          <w:p w:rsidR="00000000" w:rsidDel="00000000" w:rsidP="00000000" w:rsidRDefault="00000000" w:rsidRPr="00000000" w14:paraId="0000004F">
            <w:pPr>
              <w:pageBreakBefore w:val="0"/>
              <w:jc w:val="both"/>
              <w:rPr>
                <w:sz w:val="20"/>
                <w:szCs w:val="20"/>
              </w:rPr>
            </w:pPr>
            <w:r w:rsidDel="00000000" w:rsidR="00000000" w:rsidRPr="00000000">
              <w:rPr>
                <w:sz w:val="20"/>
                <w:szCs w:val="20"/>
                <w:rtl w:val="0"/>
              </w:rPr>
              <w:t xml:space="preserve">Basic products made from plastic, rubber, leather, etc.</w:t>
            </w:r>
          </w:p>
        </w:tc>
      </w:tr>
      <w:tr>
        <w:trPr>
          <w:cantSplit w:val="0"/>
          <w:tblHeader w:val="0"/>
        </w:trPr>
        <w:tc>
          <w:tcPr/>
          <w:p w:rsidR="00000000" w:rsidDel="00000000" w:rsidP="00000000" w:rsidRDefault="00000000" w:rsidRPr="00000000" w14:paraId="00000050">
            <w:pPr>
              <w:pageBreakBefore w:val="0"/>
              <w:jc w:val="both"/>
              <w:rPr>
                <w:sz w:val="20"/>
                <w:szCs w:val="20"/>
              </w:rPr>
            </w:pPr>
            <w:r w:rsidDel="00000000" w:rsidR="00000000" w:rsidRPr="00000000">
              <w:rPr>
                <w:sz w:val="20"/>
                <w:szCs w:val="20"/>
                <w:rtl w:val="0"/>
              </w:rPr>
              <w:t xml:space="preserve">Chemical Manufacturing</w:t>
            </w:r>
          </w:p>
        </w:tc>
        <w:tc>
          <w:tcPr/>
          <w:p w:rsidR="00000000" w:rsidDel="00000000" w:rsidP="00000000" w:rsidRDefault="00000000" w:rsidRPr="00000000" w14:paraId="00000051">
            <w:pPr>
              <w:pageBreakBefore w:val="0"/>
              <w:jc w:val="both"/>
              <w:rPr>
                <w:sz w:val="20"/>
                <w:szCs w:val="20"/>
              </w:rPr>
            </w:pPr>
            <w:r w:rsidDel="00000000" w:rsidR="00000000" w:rsidRPr="00000000">
              <w:rPr>
                <w:sz w:val="20"/>
                <w:szCs w:val="20"/>
                <w:rtl w:val="0"/>
              </w:rPr>
              <w:t xml:space="preserve">Advanced chemical products and pharmaceutical products</w:t>
            </w:r>
          </w:p>
        </w:tc>
      </w:tr>
      <w:tr>
        <w:trPr>
          <w:cantSplit w:val="0"/>
          <w:tblHeader w:val="0"/>
        </w:trPr>
        <w:tc>
          <w:tcPr/>
          <w:p w:rsidR="00000000" w:rsidDel="00000000" w:rsidP="00000000" w:rsidRDefault="00000000" w:rsidRPr="00000000" w14:paraId="00000052">
            <w:pPr>
              <w:pageBreakBefore w:val="0"/>
              <w:jc w:val="both"/>
              <w:rPr>
                <w:sz w:val="20"/>
                <w:szCs w:val="20"/>
              </w:rPr>
            </w:pPr>
            <w:r w:rsidDel="00000000" w:rsidR="00000000" w:rsidRPr="00000000">
              <w:rPr>
                <w:sz w:val="20"/>
                <w:szCs w:val="20"/>
                <w:rtl w:val="0"/>
              </w:rPr>
              <w:t xml:space="preserve">Chemicals</w:t>
            </w:r>
          </w:p>
        </w:tc>
        <w:tc>
          <w:tcPr/>
          <w:p w:rsidR="00000000" w:rsidDel="00000000" w:rsidP="00000000" w:rsidRDefault="00000000" w:rsidRPr="00000000" w14:paraId="00000053">
            <w:pPr>
              <w:pageBreakBefore w:val="0"/>
              <w:jc w:val="both"/>
              <w:rPr>
                <w:sz w:val="20"/>
                <w:szCs w:val="20"/>
              </w:rPr>
            </w:pPr>
            <w:r w:rsidDel="00000000" w:rsidR="00000000" w:rsidRPr="00000000">
              <w:rPr>
                <w:sz w:val="20"/>
                <w:szCs w:val="20"/>
                <w:rtl w:val="0"/>
              </w:rPr>
              <w:t xml:space="preserve">Raw chemical materials and by-products</w:t>
            </w:r>
          </w:p>
        </w:tc>
      </w:tr>
      <w:tr>
        <w:trPr>
          <w:cantSplit w:val="0"/>
          <w:tblHeader w:val="0"/>
        </w:trPr>
        <w:tc>
          <w:tcPr/>
          <w:p w:rsidR="00000000" w:rsidDel="00000000" w:rsidP="00000000" w:rsidRDefault="00000000" w:rsidRPr="00000000" w14:paraId="00000054">
            <w:pPr>
              <w:pageBreakBefore w:val="0"/>
              <w:tabs>
                <w:tab w:val="left" w:leader="none" w:pos="1718"/>
              </w:tabs>
              <w:jc w:val="both"/>
              <w:rPr>
                <w:sz w:val="20"/>
                <w:szCs w:val="20"/>
              </w:rPr>
            </w:pPr>
            <w:r w:rsidDel="00000000" w:rsidR="00000000" w:rsidRPr="00000000">
              <w:rPr>
                <w:sz w:val="20"/>
                <w:szCs w:val="20"/>
                <w:rtl w:val="0"/>
              </w:rPr>
              <w:t xml:space="preserve">Machinery and Construction</w:t>
            </w:r>
          </w:p>
        </w:tc>
        <w:tc>
          <w:tcPr/>
          <w:p w:rsidR="00000000" w:rsidDel="00000000" w:rsidP="00000000" w:rsidRDefault="00000000" w:rsidRPr="00000000" w14:paraId="00000055">
            <w:pPr>
              <w:pageBreakBefore w:val="0"/>
              <w:jc w:val="both"/>
              <w:rPr>
                <w:sz w:val="20"/>
                <w:szCs w:val="20"/>
              </w:rPr>
            </w:pPr>
            <w:r w:rsidDel="00000000" w:rsidR="00000000" w:rsidRPr="00000000">
              <w:rPr>
                <w:sz w:val="20"/>
                <w:szCs w:val="20"/>
                <w:rtl w:val="0"/>
              </w:rPr>
              <w:t xml:space="preserve">Machinery and mechanical appliances, including electrical equipment</w:t>
            </w:r>
          </w:p>
        </w:tc>
      </w:tr>
      <w:tr>
        <w:trPr>
          <w:cantSplit w:val="0"/>
          <w:tblHeader w:val="0"/>
        </w:trPr>
        <w:tc>
          <w:tcPr/>
          <w:p w:rsidR="00000000" w:rsidDel="00000000" w:rsidP="00000000" w:rsidRDefault="00000000" w:rsidRPr="00000000" w14:paraId="00000056">
            <w:pPr>
              <w:pageBreakBefore w:val="0"/>
              <w:jc w:val="both"/>
              <w:rPr>
                <w:sz w:val="20"/>
                <w:szCs w:val="20"/>
              </w:rPr>
            </w:pPr>
            <w:r w:rsidDel="00000000" w:rsidR="00000000" w:rsidRPr="00000000">
              <w:rPr>
                <w:sz w:val="20"/>
                <w:szCs w:val="20"/>
                <w:rtl w:val="0"/>
              </w:rPr>
              <w:t xml:space="preserve">Transportation</w:t>
            </w:r>
          </w:p>
        </w:tc>
        <w:tc>
          <w:tcPr/>
          <w:p w:rsidR="00000000" w:rsidDel="00000000" w:rsidP="00000000" w:rsidRDefault="00000000" w:rsidRPr="00000000" w14:paraId="00000057">
            <w:pPr>
              <w:pageBreakBefore w:val="0"/>
              <w:jc w:val="both"/>
              <w:rPr>
                <w:sz w:val="20"/>
                <w:szCs w:val="20"/>
              </w:rPr>
            </w:pPr>
            <w:r w:rsidDel="00000000" w:rsidR="00000000" w:rsidRPr="00000000">
              <w:rPr>
                <w:sz w:val="20"/>
                <w:szCs w:val="20"/>
                <w:rtl w:val="0"/>
              </w:rPr>
              <w:t xml:space="preserve">Vehicles and locomotives including aircraft, ship, railway, etc.</w:t>
            </w:r>
          </w:p>
        </w:tc>
      </w:tr>
      <w:tr>
        <w:trPr>
          <w:cantSplit w:val="0"/>
          <w:tblHeader w:val="0"/>
        </w:trPr>
        <w:tc>
          <w:tcPr/>
          <w:p w:rsidR="00000000" w:rsidDel="00000000" w:rsidP="00000000" w:rsidRDefault="00000000" w:rsidRPr="00000000" w14:paraId="00000058">
            <w:pPr>
              <w:pageBreakBefore w:val="0"/>
              <w:jc w:val="both"/>
              <w:rPr>
                <w:sz w:val="20"/>
                <w:szCs w:val="20"/>
              </w:rPr>
            </w:pPr>
            <w:r w:rsidDel="00000000" w:rsidR="00000000" w:rsidRPr="00000000">
              <w:rPr>
                <w:sz w:val="20"/>
                <w:szCs w:val="20"/>
                <w:rtl w:val="0"/>
              </w:rPr>
              <w:t xml:space="preserve">Weapons</w:t>
            </w:r>
          </w:p>
        </w:tc>
        <w:tc>
          <w:tcPr/>
          <w:p w:rsidR="00000000" w:rsidDel="00000000" w:rsidP="00000000" w:rsidRDefault="00000000" w:rsidRPr="00000000" w14:paraId="00000059">
            <w:pPr>
              <w:pageBreakBefore w:val="0"/>
              <w:jc w:val="both"/>
              <w:rPr>
                <w:sz w:val="20"/>
                <w:szCs w:val="20"/>
              </w:rPr>
            </w:pPr>
            <w:r w:rsidDel="00000000" w:rsidR="00000000" w:rsidRPr="00000000">
              <w:rPr>
                <w:sz w:val="20"/>
                <w:szCs w:val="20"/>
                <w:rtl w:val="0"/>
              </w:rPr>
              <w:t xml:space="preserve">Explosives, arms and ammunition</w:t>
            </w:r>
          </w:p>
        </w:tc>
      </w:tr>
      <w:tr>
        <w:trPr>
          <w:cantSplit w:val="0"/>
          <w:tblHeader w:val="0"/>
        </w:trPr>
        <w:tc>
          <w:tcPr/>
          <w:p w:rsidR="00000000" w:rsidDel="00000000" w:rsidP="00000000" w:rsidRDefault="00000000" w:rsidRPr="00000000" w14:paraId="0000005A">
            <w:pPr>
              <w:pageBreakBefore w:val="0"/>
              <w:jc w:val="both"/>
              <w:rPr>
                <w:sz w:val="20"/>
                <w:szCs w:val="20"/>
              </w:rPr>
            </w:pPr>
            <w:r w:rsidDel="00000000" w:rsidR="00000000" w:rsidRPr="00000000">
              <w:rPr>
                <w:sz w:val="20"/>
                <w:szCs w:val="20"/>
                <w:rtl w:val="0"/>
              </w:rPr>
              <w:t xml:space="preserve">Services and Utilities</w:t>
            </w:r>
          </w:p>
        </w:tc>
        <w:tc>
          <w:tcPr/>
          <w:p w:rsidR="00000000" w:rsidDel="00000000" w:rsidP="00000000" w:rsidRDefault="00000000" w:rsidRPr="00000000" w14:paraId="0000005B">
            <w:pPr>
              <w:pageBreakBefore w:val="0"/>
              <w:jc w:val="both"/>
              <w:rPr>
                <w:sz w:val="20"/>
                <w:szCs w:val="20"/>
              </w:rPr>
            </w:pPr>
            <w:r w:rsidDel="00000000" w:rsidR="00000000" w:rsidRPr="00000000">
              <w:rPr>
                <w:sz w:val="20"/>
                <w:szCs w:val="20"/>
                <w:rtl w:val="0"/>
              </w:rPr>
              <w:t xml:space="preserve">Financial, business, legal, communication, travel Services and Utilities, etc.</w:t>
            </w:r>
          </w:p>
        </w:tc>
      </w:tr>
      <w:tr>
        <w:trPr>
          <w:cantSplit w:val="0"/>
          <w:trHeight w:val="199" w:hRule="atLeast"/>
          <w:tblHeader w:val="0"/>
        </w:trPr>
        <w:tc>
          <w:tcPr/>
          <w:p w:rsidR="00000000" w:rsidDel="00000000" w:rsidP="00000000" w:rsidRDefault="00000000" w:rsidRPr="00000000" w14:paraId="0000005C">
            <w:pPr>
              <w:pageBreakBefore w:val="0"/>
              <w:jc w:val="both"/>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5D">
            <w:pPr>
              <w:pageBreakBefore w:val="0"/>
              <w:jc w:val="both"/>
              <w:rPr>
                <w:sz w:val="20"/>
                <w:szCs w:val="20"/>
              </w:rPr>
            </w:pPr>
            <w:r w:rsidDel="00000000" w:rsidR="00000000" w:rsidRPr="00000000">
              <w:rPr>
                <w:sz w:val="20"/>
                <w:szCs w:val="20"/>
                <w:rtl w:val="0"/>
              </w:rPr>
              <w:t xml:space="preserve">Agglomeration of advanced products with highest PCIs</w:t>
            </w:r>
          </w:p>
        </w:tc>
      </w:tr>
    </w:tbl>
    <w:p w:rsidR="00000000" w:rsidDel="00000000" w:rsidP="00000000" w:rsidRDefault="00000000" w:rsidRPr="00000000" w14:paraId="0000005E">
      <w:pPr>
        <w:pageBreakBefore w:val="0"/>
        <w:jc w:val="center"/>
        <w:rPr>
          <w:sz w:val="22"/>
          <w:szCs w:val="22"/>
        </w:rPr>
      </w:pPr>
      <w:r w:rsidDel="00000000" w:rsidR="00000000" w:rsidRPr="00000000">
        <w:rPr>
          <w:sz w:val="22"/>
          <w:szCs w:val="22"/>
          <w:rtl w:val="0"/>
        </w:rPr>
        <w:t xml:space="preserve">Table 1. Categorization of Products</w:t>
      </w:r>
    </w:p>
    <w:p w:rsidR="00000000" w:rsidDel="00000000" w:rsidP="00000000" w:rsidRDefault="00000000" w:rsidRPr="00000000" w14:paraId="0000005F">
      <w:pPr>
        <w:pageBreakBefore w:val="0"/>
        <w:jc w:val="both"/>
        <w:rPr/>
      </w:pPr>
      <w:r w:rsidDel="00000000" w:rsidR="00000000" w:rsidRPr="00000000">
        <w:rPr>
          <w:rtl w:val="0"/>
        </w:rPr>
      </w:r>
    </w:p>
    <w:p w:rsidR="00000000" w:rsidDel="00000000" w:rsidP="00000000" w:rsidRDefault="00000000" w:rsidRPr="00000000" w14:paraId="00000060">
      <w:pPr>
        <w:pageBreakBefore w:val="0"/>
        <w:jc w:val="both"/>
        <w:rPr/>
      </w:pPr>
      <w:r w:rsidDel="00000000" w:rsidR="00000000" w:rsidRPr="00000000">
        <w:rPr>
          <w:rtl w:val="0"/>
        </w:rPr>
        <w:t xml:space="preserve">We further observe a positive correlation between the GDP and the export of High-complexity Products. A higher adjusted R-square exists between GDP and High-complexity Products exports, indicating that more successful economics, as measured by GDP, tend to be those that are capable of producing and exporting High-complexity Products as we define them. Tables 2a and 2b show the OLS results in a universe of 107 and 21 typical countries respectively.</w:t>
      </w:r>
    </w:p>
    <w:p w:rsidR="00000000" w:rsidDel="00000000" w:rsidP="00000000" w:rsidRDefault="00000000" w:rsidRPr="00000000" w14:paraId="00000061">
      <w:pPr>
        <w:pageBreakBefore w:val="0"/>
        <w:jc w:val="both"/>
        <w:rPr/>
      </w:pPr>
      <w:r w:rsidDel="00000000" w:rsidR="00000000" w:rsidRPr="00000000">
        <w:rPr>
          <w:rtl w:val="0"/>
        </w:rPr>
      </w:r>
    </w:p>
    <w:p w:rsidR="00000000" w:rsidDel="00000000" w:rsidP="00000000" w:rsidRDefault="00000000" w:rsidRPr="00000000" w14:paraId="00000062">
      <w:pPr>
        <w:pageBreakBefore w:val="0"/>
        <w:jc w:val="center"/>
        <w:rPr/>
      </w:pPr>
      <w:r w:rsidDel="00000000" w:rsidR="00000000" w:rsidRPr="00000000">
        <w:rPr>
          <w:rtl w:val="0"/>
        </w:rPr>
      </w:r>
    </w:p>
    <w:tbl>
      <w:tblPr>
        <w:tblStyle w:val="Table2"/>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63">
            <w:pPr>
              <w:pageBreakBefore w:val="0"/>
              <w:jc w:val="center"/>
              <w:rPr/>
            </w:pPr>
            <w:r w:rsidDel="00000000" w:rsidR="00000000" w:rsidRPr="00000000">
              <w:rPr>
                <w:rtl w:val="0"/>
              </w:rPr>
            </w:r>
          </w:p>
        </w:tc>
        <w:tc>
          <w:tcPr/>
          <w:p w:rsidR="00000000" w:rsidDel="00000000" w:rsidP="00000000" w:rsidRDefault="00000000" w:rsidRPr="00000000" w14:paraId="00000064">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5">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66">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67">
            <w:pPr>
              <w:pageBreakBefore w:val="0"/>
              <w:jc w:val="center"/>
              <w:rPr>
                <w:b w:val="0"/>
                <w:bCs w:val="0"/>
                <w:sz w:val="20"/>
                <w:szCs w:val="20"/>
              </w:rPr>
            </w:pPr>
            <w:r w:rsidDel="00000000" w:rsidR="00000000" w:rsidRPr="00000000">
              <w:rPr>
                <w:b w:val="0"/>
                <w:bCs w:val="0"/>
                <w:sz w:val="20"/>
                <w:szCs w:val="20"/>
                <w:rtl w:val="0"/>
              </w:rPr>
              <w:t xml:space="preserve">Adj. R-squared</w:t>
            </w:r>
          </w:p>
        </w:tc>
        <w:tc>
          <w:tcPr>
            <w:vAlign w:val="bottom"/>
          </w:tcPr>
          <w:p w:rsidR="00000000" w:rsidDel="00000000" w:rsidP="00000000" w:rsidRDefault="00000000" w:rsidRPr="00000000" w14:paraId="00000068">
            <w:pPr>
              <w:jc w:val="center"/>
              <w:rPr>
                <w:sz w:val="22"/>
                <w:szCs w:val="22"/>
              </w:rPr>
            </w:pPr>
            <w:r w:rsidDel="00000000" w:rsidR="00000000" w:rsidRPr="00000000">
              <w:rPr>
                <w:sz w:val="22"/>
                <w:szCs w:val="22"/>
                <w:rtl w:val="0"/>
              </w:rPr>
              <w:t xml:space="preserve">0.075</w:t>
            </w:r>
          </w:p>
        </w:tc>
        <w:tc>
          <w:tcPr>
            <w:vAlign w:val="bottom"/>
          </w:tcPr>
          <w:p w:rsidR="00000000" w:rsidDel="00000000" w:rsidP="00000000" w:rsidRDefault="00000000" w:rsidRPr="00000000" w14:paraId="00000069">
            <w:pPr>
              <w:pageBreakBefore w:val="0"/>
              <w:jc w:val="center"/>
              <w:rPr>
                <w:sz w:val="22"/>
                <w:szCs w:val="22"/>
              </w:rPr>
            </w:pPr>
            <w:r w:rsidDel="00000000" w:rsidR="00000000" w:rsidRPr="00000000">
              <w:rPr>
                <w:sz w:val="22"/>
                <w:szCs w:val="22"/>
                <w:rtl w:val="0"/>
              </w:rPr>
              <w:t xml:space="preserve">0.006</w:t>
            </w:r>
          </w:p>
        </w:tc>
        <w:tc>
          <w:tcPr>
            <w:vAlign w:val="bottom"/>
          </w:tcPr>
          <w:p w:rsidR="00000000" w:rsidDel="00000000" w:rsidP="00000000" w:rsidRDefault="00000000" w:rsidRPr="00000000" w14:paraId="0000006A">
            <w:pPr>
              <w:pageBreakBefore w:val="0"/>
              <w:jc w:val="center"/>
              <w:rPr>
                <w:sz w:val="22"/>
                <w:szCs w:val="22"/>
              </w:rPr>
            </w:pPr>
            <w:r w:rsidDel="00000000" w:rsidR="00000000" w:rsidRPr="00000000">
              <w:rPr>
                <w:sz w:val="22"/>
                <w:szCs w:val="22"/>
                <w:rtl w:val="0"/>
              </w:rPr>
              <w:t xml:space="preserve">0.002</w:t>
            </w:r>
          </w:p>
        </w:tc>
      </w:tr>
      <w:tr>
        <w:trPr>
          <w:cantSplit w:val="0"/>
          <w:tblHeader w:val="0"/>
        </w:trPr>
        <w:tc>
          <w:tcPr/>
          <w:p w:rsidR="00000000" w:rsidDel="00000000" w:rsidP="00000000" w:rsidRDefault="00000000" w:rsidRPr="00000000" w14:paraId="0000006B">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6C">
            <w:pPr>
              <w:pageBreakBefore w:val="0"/>
              <w:jc w:val="center"/>
              <w:rPr>
                <w:sz w:val="22"/>
                <w:szCs w:val="22"/>
                <w:highlight w:val="white"/>
              </w:rPr>
            </w:pPr>
            <w:r w:rsidDel="00000000" w:rsidR="00000000" w:rsidRPr="00000000">
              <w:rPr>
                <w:sz w:val="22"/>
                <w:szCs w:val="22"/>
                <w:highlight w:val="white"/>
                <w:rtl w:val="0"/>
              </w:rPr>
              <w:t xml:space="preserve">9.556</w:t>
            </w:r>
          </w:p>
        </w:tc>
        <w:tc>
          <w:tcPr>
            <w:vAlign w:val="bottom"/>
          </w:tcPr>
          <w:p w:rsidR="00000000" w:rsidDel="00000000" w:rsidP="00000000" w:rsidRDefault="00000000" w:rsidRPr="00000000" w14:paraId="0000006D">
            <w:pPr>
              <w:pageBreakBefore w:val="0"/>
              <w:jc w:val="center"/>
              <w:rPr>
                <w:sz w:val="22"/>
                <w:szCs w:val="22"/>
                <w:highlight w:val="white"/>
              </w:rPr>
            </w:pPr>
            <w:r w:rsidDel="00000000" w:rsidR="00000000" w:rsidRPr="00000000">
              <w:rPr>
                <w:sz w:val="22"/>
                <w:szCs w:val="22"/>
                <w:highlight w:val="white"/>
                <w:rtl w:val="0"/>
              </w:rPr>
              <w:t xml:space="preserve">1.638</w:t>
            </w:r>
          </w:p>
        </w:tc>
        <w:tc>
          <w:tcPr>
            <w:vAlign w:val="bottom"/>
          </w:tcPr>
          <w:p w:rsidR="00000000" w:rsidDel="00000000" w:rsidP="00000000" w:rsidRDefault="00000000" w:rsidRPr="00000000" w14:paraId="0000006E">
            <w:pPr>
              <w:pageBreakBefore w:val="0"/>
              <w:jc w:val="center"/>
              <w:rPr>
                <w:sz w:val="22"/>
                <w:szCs w:val="22"/>
              </w:rPr>
            </w:pPr>
            <w:r w:rsidDel="00000000" w:rsidR="00000000" w:rsidRPr="00000000">
              <w:rPr>
                <w:sz w:val="22"/>
                <w:szCs w:val="22"/>
                <w:rtl w:val="0"/>
              </w:rPr>
              <w:t xml:space="preserve">1.175</w:t>
            </w:r>
          </w:p>
        </w:tc>
      </w:tr>
      <w:tr>
        <w:trPr>
          <w:cantSplit w:val="0"/>
          <w:tblHeader w:val="0"/>
        </w:trPr>
        <w:tc>
          <w:tcPr/>
          <w:p w:rsidR="00000000" w:rsidDel="00000000" w:rsidP="00000000" w:rsidRDefault="00000000" w:rsidRPr="00000000" w14:paraId="0000006F">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70">
            <w:pPr>
              <w:pageBreakBefore w:val="0"/>
              <w:jc w:val="center"/>
              <w:rPr>
                <w:sz w:val="22"/>
                <w:szCs w:val="22"/>
              </w:rPr>
            </w:pPr>
            <w:r w:rsidDel="00000000" w:rsidR="00000000" w:rsidRPr="00000000">
              <w:rPr>
                <w:sz w:val="22"/>
                <w:szCs w:val="22"/>
                <w:rtl w:val="0"/>
              </w:rPr>
              <w:t xml:space="preserve">107</w:t>
            </w:r>
          </w:p>
        </w:tc>
        <w:tc>
          <w:tcPr>
            <w:vAlign w:val="bottom"/>
          </w:tcPr>
          <w:p w:rsidR="00000000" w:rsidDel="00000000" w:rsidP="00000000" w:rsidRDefault="00000000" w:rsidRPr="00000000" w14:paraId="00000071">
            <w:pPr>
              <w:jc w:val="center"/>
              <w:rPr>
                <w:sz w:val="22"/>
                <w:szCs w:val="22"/>
              </w:rPr>
            </w:pPr>
            <w:r w:rsidDel="00000000" w:rsidR="00000000" w:rsidRPr="00000000">
              <w:rPr>
                <w:sz w:val="22"/>
                <w:szCs w:val="22"/>
                <w:rtl w:val="0"/>
              </w:rPr>
              <w:t xml:space="preserve">107</w:t>
            </w:r>
          </w:p>
        </w:tc>
        <w:tc>
          <w:tcPr>
            <w:vAlign w:val="bottom"/>
          </w:tcPr>
          <w:p w:rsidR="00000000" w:rsidDel="00000000" w:rsidP="00000000" w:rsidRDefault="00000000" w:rsidRPr="00000000" w14:paraId="00000072">
            <w:pPr>
              <w:jc w:val="center"/>
              <w:rPr>
                <w:sz w:val="22"/>
                <w:szCs w:val="22"/>
              </w:rPr>
            </w:pPr>
            <w:r w:rsidDel="00000000" w:rsidR="00000000" w:rsidRPr="00000000">
              <w:rPr>
                <w:sz w:val="22"/>
                <w:szCs w:val="22"/>
                <w:rtl w:val="0"/>
              </w:rPr>
              <w:t xml:space="preserve">107</w:t>
            </w:r>
          </w:p>
        </w:tc>
      </w:tr>
    </w:tbl>
    <w:p w:rsidR="00000000" w:rsidDel="00000000" w:rsidP="00000000" w:rsidRDefault="00000000" w:rsidRPr="00000000" w14:paraId="00000073">
      <w:pPr>
        <w:pageBreakBefore w:val="0"/>
        <w:jc w:val="center"/>
        <w:rPr>
          <w:sz w:val="22"/>
          <w:szCs w:val="22"/>
        </w:rPr>
      </w:pPr>
      <w:r w:rsidDel="00000000" w:rsidR="00000000" w:rsidRPr="00000000">
        <w:rPr>
          <w:sz w:val="22"/>
          <w:szCs w:val="22"/>
          <w:rtl w:val="0"/>
        </w:rPr>
        <w:t xml:space="preserve">Table 2a. OLS Regression Results of GDP against Percentage Volume of </w:t>
      </w:r>
      <w:r w:rsidDel="00000000" w:rsidR="00000000" w:rsidRPr="00000000">
        <w:rPr>
          <w:sz w:val="22"/>
          <w:szCs w:val="22"/>
          <w:rtl w:val="0"/>
        </w:rPr>
        <w:t xml:space="preserve">Exports </w:t>
      </w:r>
      <w:r w:rsidDel="00000000" w:rsidR="00000000" w:rsidRPr="00000000">
        <w:rPr>
          <w:rtl w:val="0"/>
        </w:rPr>
      </w:r>
    </w:p>
    <w:p w:rsidR="00000000" w:rsidDel="00000000" w:rsidP="00000000" w:rsidRDefault="00000000" w:rsidRPr="00000000" w14:paraId="00000074">
      <w:pPr>
        <w:pageBreakBefore w:val="0"/>
        <w:jc w:val="center"/>
        <w:rPr/>
      </w:pPr>
      <w:r w:rsidDel="00000000" w:rsidR="00000000" w:rsidRPr="00000000">
        <w:rPr>
          <w:rtl w:val="0"/>
        </w:rPr>
      </w:r>
    </w:p>
    <w:tbl>
      <w:tblPr>
        <w:tblStyle w:val="Table3"/>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75">
            <w:pPr>
              <w:pageBreakBefore w:val="0"/>
              <w:jc w:val="center"/>
              <w:rPr/>
            </w:pPr>
            <w:r w:rsidDel="00000000" w:rsidR="00000000" w:rsidRPr="00000000">
              <w:rPr>
                <w:rtl w:val="0"/>
              </w:rPr>
            </w:r>
          </w:p>
        </w:tc>
        <w:tc>
          <w:tcPr/>
          <w:p w:rsidR="00000000" w:rsidDel="00000000" w:rsidP="00000000" w:rsidRDefault="00000000" w:rsidRPr="00000000" w14:paraId="00000076">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77">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78">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79">
            <w:pPr>
              <w:pageBreakBefore w:val="0"/>
              <w:jc w:val="center"/>
              <w:rPr>
                <w:b w:val="0"/>
                <w:bCs w:val="0"/>
                <w:sz w:val="20"/>
                <w:szCs w:val="20"/>
              </w:rPr>
            </w:pPr>
            <w:r w:rsidDel="00000000" w:rsidR="00000000" w:rsidRPr="00000000">
              <w:rPr>
                <w:b w:val="0"/>
                <w:bCs w:val="0"/>
                <w:sz w:val="20"/>
                <w:szCs w:val="20"/>
                <w:rtl w:val="0"/>
              </w:rPr>
              <w:t xml:space="preserve">Adj. R-squared</w:t>
            </w:r>
          </w:p>
        </w:tc>
        <w:tc>
          <w:tcPr>
            <w:vAlign w:val="bottom"/>
          </w:tcPr>
          <w:p w:rsidR="00000000" w:rsidDel="00000000" w:rsidP="00000000" w:rsidRDefault="00000000" w:rsidRPr="00000000" w14:paraId="0000007A">
            <w:pPr>
              <w:pageBreakBefore w:val="0"/>
              <w:jc w:val="center"/>
              <w:rPr>
                <w:sz w:val="22"/>
                <w:szCs w:val="22"/>
              </w:rPr>
            </w:pPr>
            <w:r w:rsidDel="00000000" w:rsidR="00000000" w:rsidRPr="00000000">
              <w:rPr>
                <w:sz w:val="22"/>
                <w:szCs w:val="22"/>
                <w:rtl w:val="0"/>
              </w:rPr>
              <w:t xml:space="preserve">0.149</w:t>
            </w:r>
          </w:p>
        </w:tc>
        <w:tc>
          <w:tcPr>
            <w:vAlign w:val="bottom"/>
          </w:tcPr>
          <w:p w:rsidR="00000000" w:rsidDel="00000000" w:rsidP="00000000" w:rsidRDefault="00000000" w:rsidRPr="00000000" w14:paraId="0000007B">
            <w:pPr>
              <w:pageBreakBefore w:val="0"/>
              <w:jc w:val="center"/>
              <w:rPr>
                <w:sz w:val="22"/>
                <w:szCs w:val="22"/>
              </w:rPr>
            </w:pPr>
            <w:r w:rsidDel="00000000" w:rsidR="00000000" w:rsidRPr="00000000">
              <w:rPr>
                <w:sz w:val="22"/>
                <w:szCs w:val="22"/>
                <w:rtl w:val="0"/>
              </w:rPr>
              <w:t xml:space="preserve">0.003</w:t>
            </w:r>
          </w:p>
        </w:tc>
        <w:tc>
          <w:tcPr>
            <w:vAlign w:val="bottom"/>
          </w:tcPr>
          <w:p w:rsidR="00000000" w:rsidDel="00000000" w:rsidP="00000000" w:rsidRDefault="00000000" w:rsidRPr="00000000" w14:paraId="0000007C">
            <w:pPr>
              <w:pageBreakBefore w:val="0"/>
              <w:jc w:val="center"/>
              <w:rPr>
                <w:sz w:val="22"/>
                <w:szCs w:val="22"/>
              </w:rPr>
            </w:pPr>
            <w:r w:rsidDel="00000000" w:rsidR="00000000" w:rsidRPr="00000000">
              <w:rPr>
                <w:sz w:val="22"/>
                <w:szCs w:val="22"/>
                <w:rtl w:val="0"/>
              </w:rPr>
              <w:t xml:space="preserve">-0.012</w:t>
            </w:r>
          </w:p>
        </w:tc>
      </w:tr>
      <w:tr>
        <w:trPr>
          <w:cantSplit w:val="0"/>
          <w:tblHeader w:val="0"/>
        </w:trPr>
        <w:tc>
          <w:tcPr/>
          <w:p w:rsidR="00000000" w:rsidDel="00000000" w:rsidP="00000000" w:rsidRDefault="00000000" w:rsidRPr="00000000" w14:paraId="0000007D">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7E">
            <w:pPr>
              <w:pageBreakBefore w:val="0"/>
              <w:jc w:val="center"/>
              <w:rPr>
                <w:sz w:val="22"/>
                <w:szCs w:val="22"/>
                <w:highlight w:val="white"/>
              </w:rPr>
            </w:pPr>
            <w:r w:rsidDel="00000000" w:rsidR="00000000" w:rsidRPr="00000000">
              <w:rPr>
                <w:sz w:val="22"/>
                <w:szCs w:val="22"/>
                <w:highlight w:val="white"/>
                <w:rtl w:val="0"/>
              </w:rPr>
              <w:t xml:space="preserve">4.510</w:t>
            </w:r>
          </w:p>
        </w:tc>
        <w:tc>
          <w:tcPr>
            <w:vAlign w:val="bottom"/>
          </w:tcPr>
          <w:p w:rsidR="00000000" w:rsidDel="00000000" w:rsidP="00000000" w:rsidRDefault="00000000" w:rsidRPr="00000000" w14:paraId="0000007F">
            <w:pPr>
              <w:pageBreakBefore w:val="0"/>
              <w:jc w:val="center"/>
              <w:rPr>
                <w:sz w:val="22"/>
                <w:szCs w:val="22"/>
                <w:highlight w:val="white"/>
              </w:rPr>
            </w:pPr>
            <w:r w:rsidDel="00000000" w:rsidR="00000000" w:rsidRPr="00000000">
              <w:rPr>
                <w:sz w:val="22"/>
                <w:szCs w:val="22"/>
                <w:highlight w:val="white"/>
                <w:rtl w:val="0"/>
              </w:rPr>
              <w:t xml:space="preserve">1.059</w:t>
            </w:r>
          </w:p>
        </w:tc>
        <w:tc>
          <w:tcPr>
            <w:vAlign w:val="bottom"/>
          </w:tcPr>
          <w:p w:rsidR="00000000" w:rsidDel="00000000" w:rsidP="00000000" w:rsidRDefault="00000000" w:rsidRPr="00000000" w14:paraId="00000080">
            <w:pPr>
              <w:pageBreakBefore w:val="0"/>
              <w:jc w:val="center"/>
              <w:rPr>
                <w:sz w:val="22"/>
                <w:szCs w:val="22"/>
              </w:rPr>
            </w:pPr>
            <w:r w:rsidDel="00000000" w:rsidR="00000000" w:rsidRPr="00000000">
              <w:rPr>
                <w:sz w:val="22"/>
                <w:szCs w:val="22"/>
                <w:rtl w:val="0"/>
              </w:rPr>
              <w:t xml:space="preserve">0.7542</w:t>
            </w:r>
          </w:p>
        </w:tc>
      </w:tr>
      <w:tr>
        <w:trPr>
          <w:cantSplit w:val="0"/>
          <w:tblHeader w:val="0"/>
        </w:trPr>
        <w:tc>
          <w:tcPr/>
          <w:p w:rsidR="00000000" w:rsidDel="00000000" w:rsidP="00000000" w:rsidRDefault="00000000" w:rsidRPr="00000000" w14:paraId="00000081">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82">
            <w:pPr>
              <w:pageBreakBefore w:val="0"/>
              <w:jc w:val="center"/>
              <w:rPr>
                <w:sz w:val="22"/>
                <w:szCs w:val="22"/>
              </w:rPr>
            </w:pPr>
            <w:r w:rsidDel="00000000" w:rsidR="00000000" w:rsidRPr="00000000">
              <w:rPr>
                <w:sz w:val="22"/>
                <w:szCs w:val="22"/>
                <w:rtl w:val="0"/>
              </w:rPr>
              <w:t xml:space="preserve">21</w:t>
            </w:r>
          </w:p>
        </w:tc>
        <w:tc>
          <w:tcPr>
            <w:vAlign w:val="bottom"/>
          </w:tcPr>
          <w:p w:rsidR="00000000" w:rsidDel="00000000" w:rsidP="00000000" w:rsidRDefault="00000000" w:rsidRPr="00000000" w14:paraId="00000083">
            <w:pPr>
              <w:pageBreakBefore w:val="0"/>
              <w:jc w:val="center"/>
              <w:rPr>
                <w:sz w:val="22"/>
                <w:szCs w:val="22"/>
              </w:rPr>
            </w:pPr>
            <w:r w:rsidDel="00000000" w:rsidR="00000000" w:rsidRPr="00000000">
              <w:rPr>
                <w:sz w:val="22"/>
                <w:szCs w:val="22"/>
                <w:rtl w:val="0"/>
              </w:rPr>
              <w:t xml:space="preserve">21</w:t>
            </w:r>
          </w:p>
        </w:tc>
        <w:tc>
          <w:tcPr>
            <w:vAlign w:val="bottom"/>
          </w:tcPr>
          <w:p w:rsidR="00000000" w:rsidDel="00000000" w:rsidP="00000000" w:rsidRDefault="00000000" w:rsidRPr="00000000" w14:paraId="00000084">
            <w:pPr>
              <w:pageBreakBefore w:val="0"/>
              <w:jc w:val="center"/>
              <w:rPr>
                <w:sz w:val="22"/>
                <w:szCs w:val="22"/>
              </w:rPr>
            </w:pPr>
            <w:r w:rsidDel="00000000" w:rsidR="00000000" w:rsidRPr="00000000">
              <w:rPr>
                <w:sz w:val="22"/>
                <w:szCs w:val="22"/>
                <w:rtl w:val="0"/>
              </w:rPr>
              <w:t xml:space="preserve">21</w:t>
            </w:r>
          </w:p>
        </w:tc>
      </w:tr>
    </w:tbl>
    <w:p w:rsidR="00000000" w:rsidDel="00000000" w:rsidP="00000000" w:rsidRDefault="00000000" w:rsidRPr="00000000" w14:paraId="00000085">
      <w:pPr>
        <w:pageBreakBefore w:val="0"/>
        <w:jc w:val="center"/>
        <w:rPr>
          <w:sz w:val="22"/>
          <w:szCs w:val="22"/>
        </w:rPr>
      </w:pPr>
      <w:r w:rsidDel="00000000" w:rsidR="00000000" w:rsidRPr="00000000">
        <w:rPr>
          <w:sz w:val="22"/>
          <w:szCs w:val="22"/>
          <w:rtl w:val="0"/>
        </w:rPr>
        <w:t xml:space="preserve">Table 2b. OLS Regression Results of GDP against Volume of Percentage Exports</w:t>
      </w:r>
    </w:p>
    <w:p w:rsidR="00000000" w:rsidDel="00000000" w:rsidP="00000000" w:rsidRDefault="00000000" w:rsidRPr="00000000" w14:paraId="00000086">
      <w:pPr>
        <w:pageBreakBefore w:val="0"/>
        <w:jc w:val="center"/>
        <w:rPr>
          <w:sz w:val="22"/>
          <w:szCs w:val="22"/>
        </w:rPr>
      </w:pPr>
      <w:r w:rsidDel="00000000" w:rsidR="00000000" w:rsidRPr="00000000">
        <w:rPr>
          <w:rtl w:val="0"/>
        </w:rPr>
      </w:r>
    </w:p>
    <w:p w:rsidR="00000000" w:rsidDel="00000000" w:rsidP="00000000" w:rsidRDefault="00000000" w:rsidRPr="00000000" w14:paraId="00000087">
      <w:pPr>
        <w:pageBreakBefore w:val="0"/>
        <w:jc w:val="both"/>
        <w:rPr>
          <w:b w:val="1"/>
          <w:bCs w:val="1"/>
        </w:rPr>
      </w:pPr>
      <w:r w:rsidDel="00000000" w:rsidR="00000000" w:rsidRPr="00000000">
        <w:rPr>
          <w:rtl w:val="0"/>
        </w:rPr>
      </w:r>
    </w:p>
    <w:p w:rsidR="00000000" w:rsidDel="00000000" w:rsidP="00000000" w:rsidRDefault="00000000" w:rsidRPr="00000000" w14:paraId="00000088">
      <w:pPr>
        <w:pageBreakBefore w:val="0"/>
        <w:jc w:val="both"/>
        <w:rPr>
          <w:b w:val="1"/>
          <w:bCs w:val="1"/>
        </w:rPr>
      </w:pPr>
      <w:r w:rsidDel="00000000" w:rsidR="00000000" w:rsidRPr="00000000">
        <w:rPr>
          <w:b w:val="1"/>
          <w:bCs w:val="1"/>
          <w:rtl w:val="0"/>
        </w:rPr>
        <w:t xml:space="preserve">3.2 Realized Industry Development</w:t>
      </w:r>
    </w:p>
    <w:p w:rsidR="00000000" w:rsidDel="00000000" w:rsidP="00000000" w:rsidRDefault="00000000" w:rsidRPr="00000000" w14:paraId="00000089">
      <w:pPr>
        <w:pageBreakBefore w:val="0"/>
        <w:jc w:val="both"/>
        <w:rPr/>
      </w:pPr>
      <w:r w:rsidDel="00000000" w:rsidR="00000000" w:rsidRPr="00000000">
        <w:rPr>
          <w:rtl w:val="0"/>
        </w:rPr>
        <w:t xml:space="preserve">Based on the aforementioned product categorization, we aim to capture </w:t>
      </w:r>
      <w:r w:rsidDel="00000000" w:rsidR="00000000" w:rsidRPr="00000000">
        <w:rPr>
          <w:rtl w:val="0"/>
        </w:rPr>
        <w:t xml:space="preserve">Benin'</w:t>
      </w:r>
      <w:r w:rsidDel="00000000" w:rsidR="00000000" w:rsidRPr="00000000">
        <w:rPr>
          <w:rtl w:val="0"/>
        </w:rPr>
        <w:t xml:space="preserve">s realized industry production strategy between 2019 and 2022 on a complexity level. In Hausmann and Hidalgo (2009), distance is defined to be a measure of how far a country is from a certain product, not in its product space. We extend this concept to all product groups and quantify how technically equipped a country is to develop the corresponding product groups. In other words, the shorter the distance between a country and a product group, the more capable a country is of developing products within that group. Defining this net distance change as the Realized Industry Development (RID), our export data allow us to calculate the RID of </w:t>
      </w:r>
      <w:r w:rsidDel="00000000" w:rsidR="00000000" w:rsidRPr="00000000">
        <w:rPr>
          <w:rtl w:val="0"/>
        </w:rPr>
        <w:t xml:space="preserve">Benin</w:t>
      </w:r>
      <w:r w:rsidDel="00000000" w:rsidR="00000000" w:rsidRPr="00000000">
        <w:rPr>
          <w:rtl w:val="0"/>
        </w:rPr>
        <w:t xml:space="preserve"> and the 18 product groups in 2022 through the difference, where a positive RID indicates a shortening of the distance (i.e., advancement of the industry), and a negative RID indicates the reverse. It is notable that all industries had positive RID in 2022.</w:t>
      </w:r>
    </w:p>
    <w:p w:rsidR="00000000" w:rsidDel="00000000" w:rsidP="00000000" w:rsidRDefault="00000000" w:rsidRPr="00000000" w14:paraId="0000008A">
      <w:pPr>
        <w:pageBreakBefore w:val="0"/>
        <w:jc w:val="both"/>
        <w:rPr/>
      </w:pPr>
      <w:r w:rsidDel="00000000" w:rsidR="00000000" w:rsidRPr="00000000">
        <w:rPr>
          <w:rtl w:val="0"/>
        </w:rPr>
      </w:r>
    </w:p>
    <w:p w:rsidR="00000000" w:rsidDel="00000000" w:rsidP="00000000" w:rsidRDefault="00000000" w:rsidRPr="00000000" w14:paraId="0000008B">
      <w:pPr>
        <w:pageBreakBefore w:val="0"/>
        <w:jc w:val="center"/>
        <w:rPr>
          <w:sz w:val="22"/>
          <w:szCs w:val="22"/>
        </w:rPr>
      </w:pPr>
      <w:r w:rsidDel="00000000" w:rsidR="00000000" w:rsidRPr="00000000">
        <w:rPr>
          <w:sz w:val="22"/>
          <w:szCs w:val="22"/>
        </w:rPr>
        <w:drawing>
          <wp:inline distB="114300" distT="114300" distL="114300" distR="114300">
            <wp:extent cx="2692238" cy="3171537"/>
            <wp:effectExtent b="0" l="0" r="0" t="0"/>
            <wp:docPr id="15" name="image13.png"/>
            <a:graphic>
              <a:graphicData uri="http://schemas.openxmlformats.org/drawingml/2006/picture">
                <pic:pic>
                  <pic:nvPicPr>
                    <pic:cNvPr id="0" name="image13.png"/>
                    <pic:cNvPicPr preferRelativeResize="0"/>
                  </pic:nvPicPr>
                  <pic:blipFill>
                    <a:blip r:embed="rId11"/>
                    <a:srcRect b="16160" l="0" r="0" t="16160"/>
                    <a:stretch>
                      <a:fillRect/>
                    </a:stretch>
                  </pic:blipFill>
                  <pic:spPr>
                    <a:xfrm>
                      <a:off x="0" y="0"/>
                      <a:ext cx="2692238" cy="3171537"/>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pageBreakBefore w:val="0"/>
        <w:jc w:val="center"/>
        <w:rPr>
          <w:b w:val="1"/>
          <w:bCs w:val="1"/>
        </w:rPr>
      </w:pPr>
      <w:r w:rsidDel="00000000" w:rsidR="00000000" w:rsidRPr="00000000">
        <w:rPr>
          <w:sz w:val="22"/>
          <w:szCs w:val="22"/>
          <w:rtl w:val="0"/>
        </w:rPr>
        <w:t xml:space="preserve">Table 3. Realized Industry Development (RID) of </w:t>
      </w:r>
      <w:r w:rsidDel="00000000" w:rsidR="00000000" w:rsidRPr="00000000">
        <w:rPr>
          <w:sz w:val="22"/>
          <w:szCs w:val="22"/>
          <w:rtl w:val="0"/>
        </w:rPr>
        <w:t xml:space="preserve">Benin</w:t>
      </w:r>
      <w:r w:rsidDel="00000000" w:rsidR="00000000" w:rsidRPr="00000000">
        <w:rPr>
          <w:rtl w:val="0"/>
        </w:rPr>
      </w:r>
    </w:p>
    <w:p w:rsidR="00000000" w:rsidDel="00000000" w:rsidP="00000000" w:rsidRDefault="00000000" w:rsidRPr="00000000" w14:paraId="0000008D">
      <w:pPr>
        <w:pageBreakBefore w:val="0"/>
        <w:jc w:val="both"/>
        <w:rPr>
          <w:b w:val="1"/>
          <w:bCs w:val="1"/>
        </w:rPr>
      </w:pPr>
      <w:r w:rsidDel="00000000" w:rsidR="00000000" w:rsidRPr="00000000">
        <w:rPr>
          <w:b w:val="1"/>
          <w:bCs w:val="1"/>
          <w:rtl w:val="0"/>
        </w:rPr>
        <w:t xml:space="preserve">3.3 Regional and Global Comparison</w:t>
      </w:r>
    </w:p>
    <w:p w:rsidR="00000000" w:rsidDel="00000000" w:rsidP="00000000" w:rsidRDefault="00000000" w:rsidRPr="00000000" w14:paraId="0000008E">
      <w:pPr>
        <w:pageBreakBefore w:val="0"/>
        <w:jc w:val="both"/>
        <w:rPr/>
      </w:pPr>
      <w:r w:rsidDel="00000000" w:rsidR="00000000" w:rsidRPr="00000000">
        <w:rPr>
          <w:rtl w:val="0"/>
        </w:rPr>
        <w:t xml:space="preserve">Table 4a below summarizes how the production strategy adopted by </w:t>
      </w:r>
      <w:r w:rsidDel="00000000" w:rsidR="00000000" w:rsidRPr="00000000">
        <w:rPr>
          <w:rtl w:val="0"/>
        </w:rPr>
        <w:t xml:space="preserve">Benin</w:t>
      </w:r>
      <w:r w:rsidDel="00000000" w:rsidR="00000000" w:rsidRPr="00000000">
        <w:rPr>
          <w:rtl w:val="0"/>
        </w:rPr>
        <w:t xml:space="preserve"> compares with selected leading economies in the world across different years, as measured in RID. Leading economies such as France, Greece, and Portugal gave a considerable level of attention to more advanced product groups such as Chemicals and Transportation in 2022.</w:t>
      </w:r>
    </w:p>
    <w:p w:rsidR="00000000" w:rsidDel="00000000" w:rsidP="00000000" w:rsidRDefault="00000000" w:rsidRPr="00000000" w14:paraId="0000008F">
      <w:pPr>
        <w:pageBreakBefore w:val="0"/>
        <w:jc w:val="both"/>
        <w:rPr/>
      </w:pPr>
      <w:r w:rsidDel="00000000" w:rsidR="00000000" w:rsidRPr="00000000">
        <w:rPr>
          <w:rtl w:val="0"/>
        </w:rPr>
      </w:r>
    </w:p>
    <w:p w:rsidR="00000000" w:rsidDel="00000000" w:rsidP="00000000" w:rsidRDefault="00000000" w:rsidRPr="00000000" w14:paraId="00000090">
      <w:pPr>
        <w:pageBreakBefore w:val="0"/>
        <w:jc w:val="both"/>
        <w:rPr/>
      </w:pPr>
      <w:r w:rsidDel="00000000" w:rsidR="00000000" w:rsidRPr="00000000">
        <w:rPr/>
        <w:drawing>
          <wp:inline distB="114300" distT="114300" distL="114300" distR="114300">
            <wp:extent cx="5731200" cy="1244600"/>
            <wp:effectExtent b="0" l="0" r="0" t="0"/>
            <wp:docPr id="19"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57312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jc w:val="center"/>
        <w:rPr>
          <w:sz w:val="22"/>
          <w:szCs w:val="22"/>
        </w:rPr>
      </w:pPr>
      <w:r w:rsidDel="00000000" w:rsidR="00000000" w:rsidRPr="00000000">
        <w:rPr>
          <w:sz w:val="22"/>
          <w:szCs w:val="22"/>
          <w:rtl w:val="0"/>
        </w:rPr>
        <w:t xml:space="preserve">Table 4a. RID Comparison across Leading Economies (2022)</w:t>
      </w:r>
    </w:p>
    <w:p w:rsidR="00000000" w:rsidDel="00000000" w:rsidP="00000000" w:rsidRDefault="00000000" w:rsidRPr="00000000" w14:paraId="00000092">
      <w:pPr>
        <w:jc w:val="center"/>
        <w:rPr>
          <w:sz w:val="22"/>
          <w:szCs w:val="22"/>
        </w:rPr>
      </w:pPr>
      <w:r w:rsidDel="00000000" w:rsidR="00000000" w:rsidRPr="00000000">
        <w:rPr>
          <w:rtl w:val="0"/>
        </w:rPr>
      </w:r>
    </w:p>
    <w:p w:rsidR="00000000" w:rsidDel="00000000" w:rsidP="00000000" w:rsidRDefault="00000000" w:rsidRPr="00000000" w14:paraId="00000093">
      <w:pPr>
        <w:jc w:val="both"/>
        <w:rPr/>
      </w:pPr>
      <w:r w:rsidDel="00000000" w:rsidR="00000000" w:rsidRPr="00000000">
        <w:rPr>
          <w:rtl w:val="0"/>
        </w:rPr>
        <w:t xml:space="preserve">Table 4b further examines </w:t>
      </w:r>
      <w:r w:rsidDel="00000000" w:rsidR="00000000" w:rsidRPr="00000000">
        <w:rPr>
          <w:rtl w:val="0"/>
        </w:rPr>
        <w:t xml:space="preserve">Benin</w:t>
      </w:r>
      <w:r w:rsidDel="00000000" w:rsidR="00000000" w:rsidRPr="00000000">
        <w:rPr>
          <w:rtl w:val="0"/>
        </w:rPr>
        <w:t xml:space="preserve">'s development strategy against those of emerging economies on a global scale. Reasonably, emerging economies such as China and Singapore have devoted the majority of their efforts to intermediate industry groups.</w:t>
      </w:r>
      <w:r w:rsidDel="00000000" w:rsidR="00000000" w:rsidRPr="00000000">
        <w:rPr>
          <w:rtl w:val="0"/>
        </w:rPr>
      </w:r>
    </w:p>
    <w:p w:rsidR="00000000" w:rsidDel="00000000" w:rsidP="00000000" w:rsidRDefault="00000000" w:rsidRPr="00000000" w14:paraId="00000094">
      <w:pPr>
        <w:jc w:val="center"/>
        <w:rPr/>
      </w:pPr>
      <w:r w:rsidDel="00000000" w:rsidR="00000000" w:rsidRPr="00000000">
        <w:rPr/>
        <w:drawing>
          <wp:inline distB="114300" distT="114300" distL="114300" distR="114300">
            <wp:extent cx="4116225" cy="1297016"/>
            <wp:effectExtent b="0" l="0" r="0" t="0"/>
            <wp:docPr id="3"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4116225" cy="1297016"/>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jc w:val="center"/>
        <w:rPr/>
      </w:pPr>
      <w:r w:rsidDel="00000000" w:rsidR="00000000" w:rsidRPr="00000000">
        <w:rPr>
          <w:sz w:val="22"/>
          <w:szCs w:val="22"/>
          <w:rtl w:val="0"/>
        </w:rPr>
        <w:t xml:space="preserve">Table 4b. RID Comparison across Emerging Economies (2022)</w:t>
      </w:r>
      <w:r w:rsidDel="00000000" w:rsidR="00000000" w:rsidRPr="00000000">
        <w:rPr>
          <w:rtl w:val="0"/>
        </w:rPr>
      </w:r>
    </w:p>
    <w:p w:rsidR="00000000" w:rsidDel="00000000" w:rsidP="00000000" w:rsidRDefault="00000000" w:rsidRPr="00000000" w14:paraId="00000096">
      <w:pPr>
        <w:pageBreakBefore w:val="0"/>
        <w:jc w:val="center"/>
        <w:rPr>
          <w:sz w:val="22"/>
          <w:szCs w:val="22"/>
        </w:rPr>
      </w:pPr>
      <w:r w:rsidDel="00000000" w:rsidR="00000000" w:rsidRPr="00000000">
        <w:rPr>
          <w:rtl w:val="0"/>
        </w:rPr>
      </w:r>
    </w:p>
    <w:p w:rsidR="00000000" w:rsidDel="00000000" w:rsidP="00000000" w:rsidRDefault="00000000" w:rsidRPr="00000000" w14:paraId="00000097">
      <w:pPr>
        <w:pageBreakBefore w:val="0"/>
        <w:jc w:val="both"/>
        <w:rPr/>
      </w:pPr>
      <w:r w:rsidDel="00000000" w:rsidR="00000000" w:rsidRPr="00000000">
        <w:rPr>
          <w:rtl w:val="0"/>
        </w:rPr>
      </w:r>
    </w:p>
    <w:p w:rsidR="00000000" w:rsidDel="00000000" w:rsidP="00000000" w:rsidRDefault="00000000" w:rsidRPr="00000000" w14:paraId="00000098">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99">
      <w:pPr>
        <w:pageBreakBefore w:val="0"/>
        <w:jc w:val="both"/>
        <w:rPr>
          <w:b w:val="1"/>
          <w:bCs w:val="1"/>
        </w:rPr>
      </w:pPr>
      <w:r w:rsidDel="00000000" w:rsidR="00000000" w:rsidRPr="00000000">
        <w:rPr>
          <w:rtl w:val="0"/>
        </w:rPr>
      </w:r>
    </w:p>
    <w:p w:rsidR="00000000" w:rsidDel="00000000" w:rsidP="00000000" w:rsidRDefault="00000000" w:rsidRPr="00000000" w14:paraId="0000009A">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9B">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4. Product Space Design</w:t>
      </w:r>
    </w:p>
    <w:p w:rsidR="00000000" w:rsidDel="00000000" w:rsidP="00000000" w:rsidRDefault="00000000" w:rsidRPr="00000000" w14:paraId="0000009C">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9D">
      <w:pPr>
        <w:pageBreakBefore w:val="0"/>
        <w:jc w:val="both"/>
        <w:rPr>
          <w:b w:val="1"/>
          <w:bCs w:val="1"/>
        </w:rPr>
      </w:pPr>
      <w:r w:rsidDel="00000000" w:rsidR="00000000" w:rsidRPr="00000000">
        <w:rPr>
          <w:b w:val="1"/>
          <w:bCs w:val="1"/>
          <w:rtl w:val="0"/>
        </w:rPr>
        <w:t xml:space="preserve">4.1 Suggested Development Vector</w:t>
      </w:r>
    </w:p>
    <w:p w:rsidR="00000000" w:rsidDel="00000000" w:rsidP="00000000" w:rsidRDefault="00000000" w:rsidRPr="00000000" w14:paraId="0000009E">
      <w:pPr>
        <w:pageBreakBefore w:val="0"/>
        <w:jc w:val="both"/>
        <w:rPr>
          <w:sz w:val="22"/>
          <w:szCs w:val="22"/>
        </w:rPr>
      </w:pPr>
      <w:r w:rsidDel="00000000" w:rsidR="00000000" w:rsidRPr="00000000">
        <w:rPr>
          <w:rtl w:val="0"/>
        </w:rPr>
        <w:t xml:space="preserve">As outlined above, distance gives us an idea of how far each new product is from a country’s current mix of exports. As defined in Hausmann and Hidalgo (2009), distance is “the weighted proportion of products connected to goods p that country c is not exporting, i.e., MCP = 0.” Based on this definition, the distance between a country and any product that the country is currently exporting (i.e., the country is a significant exporter of the product as compared to the global average) is zero. Similarly, opportunity gain quantifies the contribution of a new product in terms of opening up the doors to more and more complex products. Intuitively, a product that a country is currently exporting (i.e., MCP = 1) has an opportunity gain of zero. An unreasonable investment in a certain product p would lead to a relative decrement in the export of more profitable products and therefore lead to a negative opportunity gain of product p. The opportunity gain is not the only estimator of a country’s level of economic development. However, among countries with comparable economic strength, those having higher ECI, or in other words, more reasonable economic structures are often in better shape.</w:t>
      </w:r>
      <w:r w:rsidDel="00000000" w:rsidR="00000000" w:rsidRPr="00000000">
        <w:rPr/>
        <w:drawing>
          <wp:inline distB="114300" distT="114300" distL="114300" distR="114300">
            <wp:extent cx="5731200" cy="2197100"/>
            <wp:effectExtent b="0" l="0" r="0" t="0"/>
            <wp:docPr id="5"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7312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jc w:val="center"/>
        <w:rPr>
          <w:sz w:val="22"/>
          <w:szCs w:val="22"/>
        </w:rPr>
      </w:pPr>
      <w:r w:rsidDel="00000000" w:rsidR="00000000" w:rsidRPr="00000000">
        <w:rPr>
          <w:sz w:val="22"/>
          <w:szCs w:val="22"/>
          <w:rtl w:val="0"/>
        </w:rPr>
        <w:t xml:space="preserve">Table 5. Opportunity Gain Ranking on a Comparable Scale (</w:t>
      </w:r>
      <w:r w:rsidDel="00000000" w:rsidR="00000000" w:rsidRPr="00000000">
        <w:rPr>
          <w:sz w:val="22"/>
          <w:szCs w:val="22"/>
          <w:rtl w:val="0"/>
        </w:rPr>
        <w:t xml:space="preserve">20</w:t>
      </w:r>
      <w:r w:rsidDel="00000000" w:rsidR="00000000" w:rsidRPr="00000000">
        <w:rPr>
          <w:sz w:val="22"/>
          <w:szCs w:val="22"/>
          <w:rtl w:val="0"/>
        </w:rPr>
        <w:t xml:space="preserve">22)</w:t>
      </w:r>
    </w:p>
    <w:p w:rsidR="00000000" w:rsidDel="00000000" w:rsidP="00000000" w:rsidRDefault="00000000" w:rsidRPr="00000000" w14:paraId="000000A0">
      <w:pPr>
        <w:pageBreakBefore w:val="0"/>
        <w:jc w:val="center"/>
        <w:rPr/>
      </w:pPr>
      <w:r w:rsidDel="00000000" w:rsidR="00000000" w:rsidRPr="00000000">
        <w:rPr>
          <w:rtl w:val="0"/>
        </w:rPr>
      </w:r>
    </w:p>
    <w:p w:rsidR="00000000" w:rsidDel="00000000" w:rsidP="00000000" w:rsidRDefault="00000000" w:rsidRPr="00000000" w14:paraId="000000A1">
      <w:pPr>
        <w:pageBreakBefore w:val="0"/>
        <w:jc w:val="both"/>
        <w:rPr/>
      </w:pPr>
      <w:r w:rsidDel="00000000" w:rsidR="00000000" w:rsidRPr="00000000">
        <w:rPr>
          <w:rtl w:val="0"/>
        </w:rPr>
        <w:t xml:space="preserve">We define the ranking of opportunity gain for a country c, as the Suggested Development Vector (SDV) of c. Table 5 summarizes how the SDV of </w:t>
      </w:r>
      <w:r w:rsidDel="00000000" w:rsidR="00000000" w:rsidRPr="00000000">
        <w:rPr>
          <w:rtl w:val="0"/>
        </w:rPr>
        <w:t xml:space="preserve">Benin</w:t>
      </w:r>
      <w:r w:rsidDel="00000000" w:rsidR="00000000" w:rsidRPr="00000000">
        <w:rPr>
          <w:rtl w:val="0"/>
        </w:rPr>
        <w:t xml:space="preserve"> compares with a selected group of</w:t>
      </w:r>
      <w:r w:rsidDel="00000000" w:rsidR="00000000" w:rsidRPr="00000000">
        <w:rPr>
          <w:rtl w:val="0"/>
        </w:rPr>
        <w:t xml:space="preserve"> comparable economies</w:t>
      </w:r>
      <w:r w:rsidDel="00000000" w:rsidR="00000000" w:rsidRPr="00000000">
        <w:rPr>
          <w:rtl w:val="0"/>
        </w:rPr>
        <w:t xml:space="preserve"> in the world, with the industry groups ranked in decreasing order of significance. </w:t>
      </w:r>
    </w:p>
    <w:p w:rsidR="00000000" w:rsidDel="00000000" w:rsidP="00000000" w:rsidRDefault="00000000" w:rsidRPr="00000000" w14:paraId="000000A2">
      <w:pPr>
        <w:pageBreakBefore w:val="0"/>
        <w:jc w:val="both"/>
        <w:rPr/>
      </w:pPr>
      <w:r w:rsidDel="00000000" w:rsidR="00000000" w:rsidRPr="00000000">
        <w:rPr>
          <w:rtl w:val="0"/>
        </w:rPr>
      </w:r>
    </w:p>
    <w:p w:rsidR="00000000" w:rsidDel="00000000" w:rsidP="00000000" w:rsidRDefault="00000000" w:rsidRPr="00000000" w14:paraId="000000A3">
      <w:pPr>
        <w:pageBreakBefore w:val="0"/>
        <w:jc w:val="both"/>
        <w:rPr/>
      </w:pPr>
      <w:r w:rsidDel="00000000" w:rsidR="00000000" w:rsidRPr="00000000">
        <w:rPr>
          <w:rtl w:val="0"/>
        </w:rPr>
        <w:t xml:space="preserve">Dark blue indicates positive opportunity gains, light blue indicates zero opportunity gains, and white indicates negative opportunity gains.</w:t>
      </w:r>
      <w:r w:rsidDel="00000000" w:rsidR="00000000" w:rsidRPr="00000000">
        <w:rPr>
          <w:rtl w:val="0"/>
        </w:rPr>
        <w:t xml:space="preserve"> L</w:t>
      </w:r>
      <w:r w:rsidDel="00000000" w:rsidR="00000000" w:rsidRPr="00000000">
        <w:rPr>
          <w:rtl w:val="0"/>
        </w:rPr>
        <w:t xml:space="preserve">eading countries barely have any industries with positive opportunity gain.</w:t>
      </w:r>
      <w:r w:rsidDel="00000000" w:rsidR="00000000" w:rsidRPr="00000000">
        <w:rPr>
          <w:rtl w:val="0"/>
        </w:rPr>
        <w:t xml:space="preserve"> In other words, those countries are already in the most stable and efficient economic structure. Without the necessity of economic transition, those countries merely need to maintain a steady and balanced economic development. In contrast, </w:t>
      </w:r>
      <w:r w:rsidDel="00000000" w:rsidR="00000000" w:rsidRPr="00000000">
        <w:rPr>
          <w:rtl w:val="0"/>
        </w:rPr>
        <w:t xml:space="preserve">developing countries</w:t>
      </w:r>
      <w:r w:rsidDel="00000000" w:rsidR="00000000" w:rsidRPr="00000000">
        <w:rPr>
          <w:rtl w:val="0"/>
        </w:rPr>
        <w:t xml:space="preserve"> have nearly half of industries with positive opportunity gain. The comparable countries share common interests in Energy Drilling and Mining and Animals and By-products industries. It can be concluded that </w:t>
      </w:r>
      <w:r w:rsidDel="00000000" w:rsidR="00000000" w:rsidRPr="00000000">
        <w:rPr>
          <w:rtl w:val="0"/>
        </w:rPr>
        <w:t xml:space="preserve">Benin</w:t>
      </w:r>
      <w:r w:rsidDel="00000000" w:rsidR="00000000" w:rsidRPr="00000000">
        <w:rPr>
          <w:rtl w:val="0"/>
        </w:rPr>
        <w:t xml:space="preserve"> shares some characteristics of developing countries, with a balanced economic structure that leans towards primary-level industries.</w:t>
      </w:r>
    </w:p>
    <w:p w:rsidR="00000000" w:rsidDel="00000000" w:rsidP="00000000" w:rsidRDefault="00000000" w:rsidRPr="00000000" w14:paraId="000000A4">
      <w:pPr>
        <w:jc w:val="center"/>
        <w:rPr/>
      </w:pPr>
      <w:r w:rsidDel="00000000" w:rsidR="00000000" w:rsidRPr="00000000">
        <w:rPr>
          <w:rtl w:val="0"/>
        </w:rPr>
      </w:r>
    </w:p>
    <w:p w:rsidR="00000000" w:rsidDel="00000000" w:rsidP="00000000" w:rsidRDefault="00000000" w:rsidRPr="00000000" w14:paraId="000000A5">
      <w:pPr>
        <w:jc w:val="both"/>
        <w:rPr>
          <w:sz w:val="22"/>
          <w:szCs w:val="22"/>
        </w:rPr>
      </w:pPr>
      <w:r w:rsidDel="00000000" w:rsidR="00000000" w:rsidRPr="00000000">
        <w:rPr/>
        <w:drawing>
          <wp:inline distB="114300" distT="114300" distL="114300" distR="114300">
            <wp:extent cx="5731200" cy="2273300"/>
            <wp:effectExtent b="0" l="0" r="0" t="0"/>
            <wp:docPr id="16" name="image8.jpg"/>
            <a:graphic>
              <a:graphicData uri="http://schemas.openxmlformats.org/drawingml/2006/picture">
                <pic:pic>
                  <pic:nvPicPr>
                    <pic:cNvPr id="0" name="image8.jpg"/>
                    <pic:cNvPicPr preferRelativeResize="0"/>
                  </pic:nvPicPr>
                  <pic:blipFill>
                    <a:blip r:embed="rId15"/>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jc w:val="center"/>
        <w:rPr/>
      </w:pPr>
      <w:r w:rsidDel="00000000" w:rsidR="00000000" w:rsidRPr="00000000">
        <w:rPr>
          <w:sz w:val="22"/>
          <w:szCs w:val="22"/>
          <w:rtl w:val="0"/>
        </w:rPr>
        <w:t xml:space="preserve">Table 6. SDV of Other Sample Countries (2019)</w:t>
      </w:r>
      <w:r w:rsidDel="00000000" w:rsidR="00000000" w:rsidRPr="00000000">
        <w:rPr>
          <w:rtl w:val="0"/>
        </w:rPr>
      </w:r>
    </w:p>
    <w:p w:rsidR="00000000" w:rsidDel="00000000" w:rsidP="00000000" w:rsidRDefault="00000000" w:rsidRPr="00000000" w14:paraId="000000A7">
      <w:pPr>
        <w:pageBreakBefore w:val="0"/>
        <w:jc w:val="center"/>
        <w:rPr>
          <w:sz w:val="22"/>
          <w:szCs w:val="22"/>
        </w:rPr>
      </w:pPr>
      <w:r w:rsidDel="00000000" w:rsidR="00000000" w:rsidRPr="00000000">
        <w:rPr>
          <w:rtl w:val="0"/>
        </w:rPr>
      </w:r>
    </w:p>
    <w:p w:rsidR="00000000" w:rsidDel="00000000" w:rsidP="00000000" w:rsidRDefault="00000000" w:rsidRPr="00000000" w14:paraId="000000A8">
      <w:pPr>
        <w:pageBreakBefore w:val="0"/>
        <w:jc w:val="center"/>
        <w:rPr/>
      </w:pPr>
      <w:r w:rsidDel="00000000" w:rsidR="00000000" w:rsidRPr="00000000">
        <w:rPr>
          <w:rtl w:val="0"/>
        </w:rPr>
      </w:r>
    </w:p>
    <w:p w:rsidR="00000000" w:rsidDel="00000000" w:rsidP="00000000" w:rsidRDefault="00000000" w:rsidRPr="00000000" w14:paraId="000000A9">
      <w:pPr>
        <w:pageBreakBefore w:val="0"/>
        <w:jc w:val="both"/>
        <w:rPr/>
      </w:pPr>
      <w:r w:rsidDel="00000000" w:rsidR="00000000" w:rsidRPr="00000000">
        <w:rPr>
          <w:b w:val="1"/>
          <w:bCs w:val="1"/>
          <w:rtl w:val="0"/>
        </w:rPr>
        <w:t xml:space="preserve">4.2 Budgeted Industry Development Strategy and Interpretation</w:t>
      </w:r>
      <w:r w:rsidDel="00000000" w:rsidR="00000000" w:rsidRPr="00000000">
        <w:rPr>
          <w:rtl w:val="0"/>
        </w:rPr>
      </w:r>
    </w:p>
    <w:p w:rsidR="00000000" w:rsidDel="00000000" w:rsidP="00000000" w:rsidRDefault="00000000" w:rsidRPr="00000000" w14:paraId="000000AA">
      <w:pPr>
        <w:pageBreakBefore w:val="0"/>
        <w:jc w:val="both"/>
        <w:rPr/>
      </w:pPr>
      <w:r w:rsidDel="00000000" w:rsidR="00000000" w:rsidRPr="00000000">
        <w:rPr>
          <w:rtl w:val="0"/>
        </w:rPr>
        <w:t xml:space="preserve">Th</w:t>
      </w:r>
      <w:r w:rsidDel="00000000" w:rsidR="00000000" w:rsidRPr="00000000">
        <w:rPr>
          <w:rtl w:val="0"/>
        </w:rPr>
        <w:t xml:space="preserve">e optimal budgeted industry development strategy aims to solve the most efficient allocations under the budgeted constraint of different situations of heuristic total export growth. In order to obtain such an allocation portfolio, we formulate an optimization problem as the following:</w:t>
      </w:r>
    </w:p>
    <w:p w:rsidR="00000000" w:rsidDel="00000000" w:rsidP="00000000" w:rsidRDefault="00000000" w:rsidRPr="00000000" w14:paraId="000000AB">
      <w:pPr>
        <w:pageBreakBefore w:val="0"/>
        <w:jc w:val="both"/>
        <w:rPr/>
      </w:pPr>
      <w:r w:rsidDel="00000000" w:rsidR="00000000" w:rsidRPr="00000000">
        <w:rPr>
          <w:rtl w:val="0"/>
        </w:rPr>
      </w:r>
    </w:p>
    <w:p w:rsidR="00000000" w:rsidDel="00000000" w:rsidP="00000000" w:rsidRDefault="00000000" w:rsidRPr="00000000" w14:paraId="000000AC">
      <w:pPr>
        <w:pageBreakBefore w:val="0"/>
        <w:jc w:val="center"/>
        <w:rPr>
          <w:b w:val="0"/>
          <w:bCs w:val="0"/>
          <w:i w:val="1"/>
          <w:iCs w:val="1"/>
          <w:color w:val="444499"/>
          <w:sz w:val="20"/>
          <w:szCs w:val="20"/>
        </w:rPr>
      </w:pPr>
      <w:r w:rsidDel="00000000" w:rsidR="00000000" w:rsidRPr="00000000">
        <w:rPr/>
        <w:drawing>
          <wp:inline distB="114300" distT="114300" distL="114300" distR="114300">
            <wp:extent cx="2528888" cy="1141284"/>
            <wp:effectExtent b="0" l="0" r="0" t="0"/>
            <wp:docPr id="10"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2528888" cy="1141284"/>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pageBreakBefore w:val="0"/>
        <w:jc w:val="center"/>
        <w:rPr/>
      </w:pPr>
      <w:r w:rsidDel="00000000" w:rsidR="00000000" w:rsidRPr="00000000">
        <w:rPr>
          <w:rtl w:val="0"/>
        </w:rPr>
      </w:r>
    </w:p>
    <w:p w:rsidR="00000000" w:rsidDel="00000000" w:rsidP="00000000" w:rsidRDefault="00000000" w:rsidRPr="00000000" w14:paraId="000000AE">
      <w:pPr>
        <w:pageBreakBefore w:val="0"/>
        <w:spacing w:before="0" w:lineRule="auto"/>
        <w:jc w:val="both"/>
        <w:rPr/>
      </w:pPr>
      <w:r w:rsidDel="00000000" w:rsidR="00000000" w:rsidRPr="00000000">
        <w:rPr>
          <w:rtl w:val="0"/>
        </w:rPr>
        <w:t xml:space="preserve">where k(x) is the second largest eigenvector of </w:t>
      </w:r>
      <m:oMath>
        <m:sSub>
          <m:sSubPr>
            <m:ctrlPr>
              <w:rPr/>
            </m:ctrlPr>
          </m:sSubPr>
          <m:e>
            <m:r>
              <w:rPr/>
              <m:t xml:space="preserve">M</m:t>
            </m:r>
          </m:e>
          <m:sub>
            <m:r>
              <w:rPr/>
              <m:t xml:space="preserve">CC'</m:t>
            </m:r>
          </m:sub>
        </m:sSub>
      </m:oMath>
      <w:r w:rsidDel="00000000" w:rsidR="00000000" w:rsidRPr="00000000">
        <w:rPr>
          <w:rtl w:val="0"/>
        </w:rPr>
        <w:t xml:space="preserve"> after adding </w:t>
      </w:r>
      <m:oMath>
        <m:r>
          <w:rPr/>
          <m:t xml:space="preserve">x</m:t>
        </m:r>
      </m:oMath>
      <w:r w:rsidDel="00000000" w:rsidR="00000000" w:rsidRPr="00000000">
        <w:rPr>
          <w:rtl w:val="0"/>
        </w:rPr>
        <w:t xml:space="preserve"> to the original export vector, </w:t>
      </w:r>
      <w:r w:rsidDel="00000000" w:rsidR="00000000" w:rsidRPr="00000000">
        <w:rPr>
          <w:i w:val="1"/>
          <w:iCs w:val="1"/>
          <w:rtl w:val="0"/>
        </w:rPr>
        <w:t xml:space="preserve">C</w:t>
      </w:r>
      <w:r w:rsidDel="00000000" w:rsidR="00000000" w:rsidRPr="00000000">
        <w:rPr>
          <w:rtl w:val="0"/>
        </w:rPr>
        <w:t xml:space="preserve"> is the country that we are interested in, </w:t>
      </w:r>
      <w:r w:rsidDel="00000000" w:rsidR="00000000" w:rsidRPr="00000000">
        <w:rPr>
          <w:i w:val="1"/>
          <w:iCs w:val="1"/>
          <w:rtl w:val="0"/>
        </w:rPr>
        <w:t xml:space="preserve">P</w:t>
      </w:r>
      <w:r w:rsidDel="00000000" w:rsidR="00000000" w:rsidRPr="00000000">
        <w:rPr>
          <w:rtl w:val="0"/>
        </w:rPr>
        <w:t xml:space="preserve"> is the product space, </w:t>
      </w:r>
      <w:r w:rsidDel="00000000" w:rsidR="00000000" w:rsidRPr="00000000">
        <w:rPr>
          <w:i w:val="1"/>
          <w:iCs w:val="1"/>
          <w:rtl w:val="0"/>
        </w:rPr>
        <w:t xml:space="preserve">B</w:t>
      </w:r>
      <w:r w:rsidDel="00000000" w:rsidR="00000000" w:rsidRPr="00000000">
        <w:rPr>
          <w:rtl w:val="0"/>
        </w:rPr>
        <w:t xml:space="preserve"> is the heuristic budget. </w:t>
      </w:r>
    </w:p>
    <w:p w:rsidR="00000000" w:rsidDel="00000000" w:rsidP="00000000" w:rsidRDefault="00000000" w:rsidRPr="00000000" w14:paraId="000000AF">
      <w:pPr>
        <w:pageBreakBefore w:val="0"/>
        <w:jc w:val="both"/>
        <w:rPr/>
      </w:pPr>
      <w:r w:rsidDel="00000000" w:rsidR="00000000" w:rsidRPr="00000000">
        <w:rPr>
          <w:rtl w:val="0"/>
        </w:rPr>
        <w:t xml:space="preserve"> </w:t>
      </w:r>
    </w:p>
    <w:p w:rsidR="00000000" w:rsidDel="00000000" w:rsidP="00000000" w:rsidRDefault="00000000" w:rsidRPr="00000000" w14:paraId="000000B0">
      <w:pPr>
        <w:pageBreakBefore w:val="0"/>
        <w:jc w:val="both"/>
        <w:rPr/>
      </w:pPr>
      <w:r w:rsidDel="00000000" w:rsidR="00000000" w:rsidRPr="00000000">
        <w:rPr>
          <w:rtl w:val="0"/>
        </w:rPr>
        <w:t xml:space="preserve">If we can solve this problem, then we can know what the largest ECI to which a country can improve. Accordingly, the optimal solution </w:t>
      </w:r>
      <m:oMath>
        <m:r>
          <w:rPr/>
          <m:t xml:space="preserve">x*</m:t>
        </m:r>
      </m:oMath>
      <w:r w:rsidDel="00000000" w:rsidR="00000000" w:rsidRPr="00000000">
        <w:rPr>
          <w:rtl w:val="0"/>
        </w:rPr>
        <w:t xml:space="preserve"> that we obtain here is exactly our optimal allocation. However, the biggest problem is that the objective function is not convex. Therefore, we cannot apply the classical tools for convex optimization to this problem. In order to solve this problem, our idea is to use a greedy algorithm. The way that we apply the greedy algorithm is that firstly we separate the total budget into k equal parts, and then for the first equal part we try to search for the product that can optimize our objective function by iterating through each </w:t>
      </w:r>
      <m:oMath>
        <m:r>
          <w:rPr/>
          <m:t xml:space="preserve">p</m:t>
        </m:r>
        <m:r>
          <w:rPr/>
          <m:t>∈</m:t>
        </m:r>
        <m:r>
          <w:rPr/>
          <m:t xml:space="preserve">P</m:t>
        </m:r>
      </m:oMath>
      <w:r w:rsidDel="00000000" w:rsidR="00000000" w:rsidRPr="00000000">
        <w:rPr>
          <w:rtl w:val="0"/>
        </w:rPr>
        <w:t xml:space="preserve">. After we find the optimal product p for this equal part, we add the amount back to the export value of this product p and update the ECI for this country. If we observe that ECI does not change after iterating all the products, then we can add up one more equal part to invest. Until we find there is an ECI increment, we add the amount now to that product. The equal rest parts can be done in the same way. </w:t>
      </w:r>
    </w:p>
    <w:p w:rsidR="00000000" w:rsidDel="00000000" w:rsidP="00000000" w:rsidRDefault="00000000" w:rsidRPr="00000000" w14:paraId="000000B1">
      <w:pPr>
        <w:pageBreakBefore w:val="0"/>
        <w:jc w:val="both"/>
        <w:rPr/>
      </w:pPr>
      <w:r w:rsidDel="00000000" w:rsidR="00000000" w:rsidRPr="00000000">
        <w:rPr>
          <w:rtl w:val="0"/>
        </w:rPr>
        <w:t xml:space="preserve"> </w:t>
      </w:r>
    </w:p>
    <w:p w:rsidR="00000000" w:rsidDel="00000000" w:rsidP="00000000" w:rsidRDefault="00000000" w:rsidRPr="00000000" w14:paraId="000000B2">
      <w:pPr>
        <w:pageBreakBefore w:val="0"/>
        <w:jc w:val="both"/>
        <w:rPr/>
      </w:pPr>
      <w:r w:rsidDel="00000000" w:rsidR="00000000" w:rsidRPr="00000000">
        <w:rPr>
          <w:rtl w:val="0"/>
        </w:rPr>
        <w:t xml:space="preserve">By definition, a greedy algorithm is a kind of local search algorithm that is possible to run into a local minimum. Therefore, for local search algorithms, one typical way to keep it away from the local minimum is to enhance the vision of the algorithm by looking more steps forward. In our setting, whenever we obtain an increment of ECI, we mark down the required amount of export growth. Simultaneously, we continue searching for the next ECI increment point, compare the ratios of these two possibilities and pick the largest one. The ratio is defined as the following:</w:t>
      </w:r>
    </w:p>
    <w:p w:rsidR="00000000" w:rsidDel="00000000" w:rsidP="00000000" w:rsidRDefault="00000000" w:rsidRPr="00000000" w14:paraId="000000B3">
      <w:pPr>
        <w:pageBreakBefore w:val="0"/>
        <w:jc w:val="center"/>
        <w:rPr>
          <w:b w:val="0"/>
          <w:bCs w:val="0"/>
          <w:i w:val="1"/>
          <w:iCs w:val="1"/>
          <w:color w:val="444499"/>
          <w:sz w:val="20"/>
          <w:szCs w:val="20"/>
        </w:rPr>
      </w:pPr>
      <w:r w:rsidDel="00000000" w:rsidR="00000000" w:rsidRPr="00000000">
        <w:rPr/>
        <w:drawing>
          <wp:inline distB="114300" distT="114300" distL="114300" distR="114300">
            <wp:extent cx="2138363" cy="718630"/>
            <wp:effectExtent b="0" l="0" r="0" t="0"/>
            <wp:docPr id="12"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2138363" cy="71863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pageBreakBefore w:val="0"/>
        <w:jc w:val="both"/>
        <w:rPr/>
      </w:pPr>
      <w:r w:rsidDel="00000000" w:rsidR="00000000" w:rsidRPr="00000000">
        <w:rPr>
          <w:rtl w:val="0"/>
        </w:rPr>
        <w:t xml:space="preserve">where </w:t>
      </w:r>
      <m:oMath>
        <m:sSub>
          <m:sSubPr>
            <m:ctrlPr>
              <w:rPr/>
            </m:ctrlPr>
          </m:sSubPr>
          <m:e>
            <m:r>
              <w:rPr/>
              <m:t xml:space="preserve">ECI</m:t>
            </m:r>
          </m:e>
          <m:sub>
            <m:r>
              <w:rPr/>
              <m:t xml:space="preserve">p</m:t>
            </m:r>
          </m:sub>
        </m:sSub>
      </m:oMath>
      <w:r w:rsidDel="00000000" w:rsidR="00000000" w:rsidRPr="00000000">
        <w:rPr>
          <w:rtl w:val="0"/>
        </w:rPr>
        <w:t xml:space="preserve"> is just the ECI of the country after adding some amount of export increment to product </w:t>
      </w:r>
      <m:oMath>
        <m:r>
          <w:rPr/>
          <m:t xml:space="preserve">p</m:t>
        </m:r>
      </m:oMath>
      <w:r w:rsidDel="00000000" w:rsidR="00000000" w:rsidRPr="00000000">
        <w:rPr>
          <w:rtl w:val="0"/>
        </w:rPr>
        <w:t xml:space="preserve">, which is exactly the amount that is able to make ECI change. Also, we can express it in the way of </w:t>
      </w:r>
      <m:oMath>
        <m:r>
          <w:rPr/>
          <m:t xml:space="preserve">||</m:t>
        </m:r>
      </m:oMath>
      <m:oMath>
        <m:sSub>
          <m:sSubPr>
            <m:ctrlPr>
              <w:rPr/>
            </m:ctrlPr>
          </m:sSubPr>
          <m:e>
            <m:r>
              <w:rPr/>
              <m:t xml:space="preserve">x</m:t>
            </m:r>
          </m:e>
          <m:sub>
            <m:r>
              <w:rPr/>
              <m:t xml:space="preserve">p</m:t>
            </m:r>
          </m:sub>
        </m:sSub>
        <m:r>
          <w:rPr/>
          <m:t xml:space="preserve">-</m:t>
        </m:r>
        <m:sSub>
          <m:sSubPr>
            <m:ctrlPr>
              <w:rPr/>
            </m:ctrlPr>
          </m:sSubPr>
          <m:e>
            <m:r>
              <w:rPr/>
              <m:t xml:space="preserve">x</m:t>
            </m:r>
          </m:e>
          <m:sub>
            <m:r>
              <w:rPr/>
              <m:t xml:space="preserve">0</m:t>
            </m:r>
          </m:sub>
        </m:sSub>
      </m:oMath>
      <m:oMath>
        <m:sSub>
          <m:sSubPr>
            <m:ctrlPr>
              <w:rPr/>
            </m:ctrlPr>
          </m:sSubPr>
          <m:e>
            <m:r>
              <w:rPr/>
              <m:t xml:space="preserve">||</m:t>
            </m:r>
          </m:e>
          <m:sub>
            <m:r>
              <w:rPr/>
              <m:t xml:space="preserve">1</m:t>
            </m:r>
          </m:sub>
        </m:sSub>
      </m:oMath>
      <w:r w:rsidDel="00000000" w:rsidR="00000000" w:rsidRPr="00000000">
        <w:rPr>
          <w:rtl w:val="0"/>
        </w:rPr>
        <w:t xml:space="preserve">.</w:t>
      </w:r>
    </w:p>
    <w:p w:rsidR="00000000" w:rsidDel="00000000" w:rsidP="00000000" w:rsidRDefault="00000000" w:rsidRPr="00000000" w14:paraId="000000B5">
      <w:pPr>
        <w:pageBreakBefore w:val="0"/>
        <w:rPr/>
      </w:pPr>
      <w:r w:rsidDel="00000000" w:rsidR="00000000" w:rsidRPr="00000000">
        <w:rPr>
          <w:rtl w:val="0"/>
        </w:rPr>
      </w:r>
    </w:p>
    <w:p w:rsidR="00000000" w:rsidDel="00000000" w:rsidP="00000000" w:rsidRDefault="00000000" w:rsidRPr="00000000" w14:paraId="000000B6">
      <w:pPr>
        <w:pageBreakBefore w:val="0"/>
        <w:jc w:val="both"/>
        <w:rPr/>
      </w:pPr>
      <w:r w:rsidDel="00000000" w:rsidR="00000000" w:rsidRPr="00000000">
        <w:rPr>
          <w:rtl w:val="0"/>
        </w:rPr>
        <w:t xml:space="preserve">In this way, we can obtain a further sighted greedy algorithm. Also, the number of parts that we would like to separate the budget into also matters. In order to solve this problem, we added a stabilizer on top of the enhanced greedy algorithm by running the algorithm for different numbers of parts and selecting the portfolio with the largest ECI increment and most complex economic structure. </w:t>
      </w:r>
    </w:p>
    <w:p w:rsidR="00000000" w:rsidDel="00000000" w:rsidP="00000000" w:rsidRDefault="00000000" w:rsidRPr="00000000" w14:paraId="000000B7">
      <w:pPr>
        <w:pageBreakBefore w:val="0"/>
        <w:rPr/>
      </w:pPr>
      <w:r w:rsidDel="00000000" w:rsidR="00000000" w:rsidRPr="00000000">
        <w:rPr>
          <w:rtl w:val="0"/>
        </w:rPr>
        <w:t xml:space="preserve"> </w:t>
      </w:r>
    </w:p>
    <w:p w:rsidR="00000000" w:rsidDel="00000000" w:rsidP="00000000" w:rsidRDefault="00000000" w:rsidRPr="00000000" w14:paraId="000000B8">
      <w:pPr>
        <w:pageBreakBefore w:val="0"/>
        <w:rPr/>
      </w:pPr>
      <w:r w:rsidDel="00000000" w:rsidR="00000000" w:rsidRPr="00000000">
        <w:rPr>
          <w:rtl w:val="0"/>
        </w:rPr>
        <w:t xml:space="preserve">Besides, it is quite common that there is a surplus in the budget. To deal with the surplus, we just add it to the product which needs the least amount of dollars to make </w:t>
      </w:r>
      <m:oMath>
        <m:sSub>
          <m:sSubPr>
            <m:ctrlPr>
              <w:rPr/>
            </m:ctrlPr>
          </m:sSubPr>
          <m:e>
            <m:r>
              <w:rPr/>
              <m:t xml:space="preserve">M</m:t>
            </m:r>
          </m:e>
          <m:sub>
            <m:r>
              <w:rPr/>
              <m:t xml:space="preserve">cp</m:t>
            </m:r>
          </m:sub>
        </m:sSub>
      </m:oMath>
      <w:r w:rsidDel="00000000" w:rsidR="00000000" w:rsidRPr="00000000">
        <w:rPr>
          <w:rtl w:val="0"/>
        </w:rPr>
        <w:t xml:space="preserve"> = 1 (i.e., the smallest amount of required export increase).</w:t>
      </w:r>
    </w:p>
    <w:p w:rsidR="00000000" w:rsidDel="00000000" w:rsidP="00000000" w:rsidRDefault="00000000" w:rsidRPr="00000000" w14:paraId="000000B9">
      <w:pPr>
        <w:pageBreakBefore w:val="0"/>
        <w:rPr/>
      </w:pPr>
      <w:r w:rsidDel="00000000" w:rsidR="00000000" w:rsidRPr="00000000">
        <w:rPr>
          <w:rtl w:val="0"/>
        </w:rPr>
      </w:r>
    </w:p>
    <w:p w:rsidR="00000000" w:rsidDel="00000000" w:rsidP="00000000" w:rsidRDefault="00000000" w:rsidRPr="00000000" w14:paraId="000000BA">
      <w:pPr>
        <w:jc w:val="both"/>
        <w:rPr>
          <w:b w:val="1"/>
          <w:bCs w:val="1"/>
        </w:rPr>
      </w:pPr>
      <w:r w:rsidDel="00000000" w:rsidR="00000000" w:rsidRPr="00000000">
        <w:rPr>
          <w:b w:val="1"/>
          <w:bCs w:val="1"/>
          <w:rtl w:val="0"/>
        </w:rPr>
        <w:t xml:space="preserve">Economic Panel</w:t>
      </w:r>
    </w:p>
    <w:p w:rsidR="00000000" w:rsidDel="00000000" w:rsidP="00000000" w:rsidRDefault="00000000" w:rsidRPr="00000000" w14:paraId="000000BB">
      <w:pPr>
        <w:jc w:val="both"/>
        <w:rPr/>
      </w:pPr>
      <w:r w:rsidDel="00000000" w:rsidR="00000000" w:rsidRPr="00000000">
        <w:rPr>
          <w:rtl w:val="0"/>
        </w:rPr>
        <w:t xml:space="preserve">As stated above, the enhanced greedy algorithm is developed mainly for solving the optimal allocation strategy. In order to visualize this allocation, an economic panel is created, consisting of a pie chart, a line chart and a table. First, a pie chart is used to show the percentage of each product in the optimal portfolio. The number located in the center of the circle denotes the heuristic growth of total export, which is also our budget. Each category in the chart has a determined percentage of the allocated budget. The lines below the pie charts show how the ECI changes during the searching process of the greedy algorithm. Even though sometimes an increase of the export by 15% or 20% does not seem reasonable to developed countries, yet it can also give a sense of how a country should develop in the long term. Eventually, the graph in the end is just for numerical explanation for the pie charts.</w:t>
      </w:r>
    </w:p>
    <w:p w:rsidR="00000000" w:rsidDel="00000000" w:rsidP="00000000" w:rsidRDefault="00000000" w:rsidRPr="00000000" w14:paraId="000000BC">
      <w:pPr>
        <w:jc w:val="both"/>
        <w:rPr/>
      </w:pPr>
      <w:r w:rsidDel="00000000" w:rsidR="00000000" w:rsidRPr="00000000">
        <w:rPr>
          <w:rtl w:val="0"/>
        </w:rPr>
      </w:r>
    </w:p>
    <w:p w:rsidR="00000000" w:rsidDel="00000000" w:rsidP="00000000" w:rsidRDefault="00000000" w:rsidRPr="00000000" w14:paraId="000000BD">
      <w:pPr>
        <w:pageBreakBefore w:val="0"/>
        <w:jc w:val="both"/>
        <w:rPr>
          <w:b w:val="1"/>
          <w:bCs w:val="1"/>
        </w:rPr>
      </w:pPr>
      <w:r w:rsidDel="00000000" w:rsidR="00000000" w:rsidRPr="00000000">
        <w:rPr>
          <w:rtl w:val="0"/>
        </w:rPr>
      </w:r>
    </w:p>
    <w:p w:rsidR="00000000" w:rsidDel="00000000" w:rsidP="00000000" w:rsidRDefault="00000000" w:rsidRPr="00000000" w14:paraId="000000BE">
      <w:pPr>
        <w:pageBreakBefore w:val="0"/>
        <w:jc w:val="both"/>
        <w:rPr>
          <w:b w:val="1"/>
          <w:bCs w:val="1"/>
        </w:rPr>
      </w:pPr>
      <w:r w:rsidDel="00000000" w:rsidR="00000000" w:rsidRPr="00000000">
        <w:rPr>
          <w:rtl w:val="0"/>
        </w:rPr>
      </w:r>
    </w:p>
    <w:p w:rsidR="00000000" w:rsidDel="00000000" w:rsidP="00000000" w:rsidRDefault="00000000" w:rsidRPr="00000000" w14:paraId="000000BF">
      <w:pPr>
        <w:pageBreakBefore w:val="0"/>
        <w:jc w:val="both"/>
        <w:rPr>
          <w:b w:val="1"/>
          <w:bCs w:val="1"/>
        </w:rPr>
      </w:pPr>
      <w:r w:rsidDel="00000000" w:rsidR="00000000" w:rsidRPr="00000000">
        <w:rPr>
          <w:b w:val="1"/>
          <w:bCs w:val="1"/>
          <w:rtl w:val="0"/>
        </w:rPr>
        <w:t xml:space="preserve">Interpretation</w:t>
      </w:r>
    </w:p>
    <w:p w:rsidR="00000000" w:rsidDel="00000000" w:rsidP="00000000" w:rsidRDefault="00000000" w:rsidRPr="00000000" w14:paraId="000000C0">
      <w:pPr>
        <w:pageBreakBefore w:val="0"/>
        <w:jc w:val="both"/>
        <w:rPr/>
      </w:pPr>
      <w:r w:rsidDel="00000000" w:rsidR="00000000" w:rsidRPr="00000000">
        <w:rPr>
          <w:rtl w:val="0"/>
        </w:rPr>
        <w:t xml:space="preserve">For the purpose of a clear explanation of the line charts, we label all the products in Table 7. Please refer to this table when trying to understand the investment trajectories in the line charts.</w:t>
      </w:r>
    </w:p>
    <w:p w:rsidR="00000000" w:rsidDel="00000000" w:rsidP="00000000" w:rsidRDefault="00000000" w:rsidRPr="00000000" w14:paraId="000000C1">
      <w:pPr>
        <w:pageBreakBefore w:val="0"/>
        <w:jc w:val="both"/>
        <w:rPr/>
      </w:pPr>
      <w:r w:rsidDel="00000000" w:rsidR="00000000" w:rsidRPr="00000000">
        <w:rPr>
          <w:rtl w:val="0"/>
        </w:rPr>
      </w:r>
    </w:p>
    <w:tbl>
      <w:tblPr>
        <w:tblStyle w:val="Table4"/>
        <w:tblW w:w="4020.0" w:type="dxa"/>
        <w:jc w:val="center"/>
        <w:tblLayout w:type="fixed"/>
        <w:tblLook w:val="0600"/>
      </w:tblPr>
      <w:tblGrid>
        <w:gridCol w:w="1290"/>
        <w:gridCol w:w="2730"/>
        <w:tblGridChange w:id="0">
          <w:tblGrid>
            <w:gridCol w:w="1290"/>
            <w:gridCol w:w="2730"/>
          </w:tblGrid>
        </w:tblGridChange>
      </w:tblGrid>
      <w:tr>
        <w:trPr>
          <w:cantSplit w:val="0"/>
          <w:trHeight w:val="315" w:hRule="atLeast"/>
          <w:tblHeader w:val="0"/>
        </w:trPr>
        <w:tc>
          <w:tcPr>
            <w:tcBorders>
              <w:top w:color="000000" w:space="0" w:sz="0" w:val="nil"/>
              <w:left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2">
            <w:pPr>
              <w:jc w:val="center"/>
              <w:rPr>
                <w:b w:val="1"/>
                <w:bCs w:val="1"/>
                <w:color w:val="ffffff"/>
                <w:sz w:val="22"/>
                <w:szCs w:val="22"/>
              </w:rPr>
            </w:pPr>
            <w:r w:rsidDel="00000000" w:rsidR="00000000" w:rsidRPr="00000000">
              <w:rPr>
                <w:b w:val="1"/>
                <w:bCs w:val="1"/>
                <w:color w:val="ffffff"/>
                <w:sz w:val="22"/>
                <w:szCs w:val="22"/>
                <w:rtl w:val="0"/>
              </w:rPr>
              <w:t xml:space="preserve">Label</w:t>
            </w:r>
          </w:p>
        </w:tc>
        <w:tc>
          <w:tcPr>
            <w:tcBorders>
              <w:top w:color="000000" w:space="0" w:sz="0" w:val="nil"/>
              <w:bottom w:color="000000" w:space="0" w:sz="0" w:val="nil"/>
              <w:right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3">
            <w:pPr>
              <w:jc w:val="both"/>
              <w:rPr>
                <w:b w:val="1"/>
                <w:bCs w:val="1"/>
                <w:color w:val="ffffff"/>
                <w:sz w:val="22"/>
                <w:szCs w:val="22"/>
              </w:rPr>
            </w:pPr>
            <w:r w:rsidDel="00000000" w:rsidR="00000000" w:rsidRPr="00000000">
              <w:rPr>
                <w:b w:val="1"/>
                <w:bCs w:val="1"/>
                <w:color w:val="ffffff"/>
                <w:sz w:val="22"/>
                <w:szCs w:val="22"/>
                <w:rtl w:val="0"/>
              </w:rPr>
              <w:t xml:space="preserve">Product Names</w:t>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Animal and By-products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2</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Vegetables, Fruits and Plants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3</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Food and Preparations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4</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Energy Drilling and Mining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5</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Chemicals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6</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Chemical Manufacturing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7</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Raw Manufacturing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8</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Wood 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9</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Clothing and Accessories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10</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Textile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11</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Metals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12</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Machinery and Construction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13</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Transportation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14</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Weapons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15</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Daily Instruments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16</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Precious Stones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17</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High-complexity 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18</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Services and Utilities</w:t>
            </w:r>
            <w:r w:rsidDel="00000000" w:rsidR="00000000" w:rsidRPr="00000000">
              <w:rPr>
                <w:rtl w:val="0"/>
              </w:rPr>
            </w:r>
          </w:p>
        </w:tc>
      </w:tr>
    </w:tbl>
    <w:p w:rsidR="00000000" w:rsidDel="00000000" w:rsidP="00000000" w:rsidRDefault="00000000" w:rsidRPr="00000000" w14:paraId="000000E8">
      <w:pPr>
        <w:pageBreakBefore w:val="0"/>
        <w:jc w:val="center"/>
        <w:rPr>
          <w:sz w:val="22"/>
          <w:szCs w:val="22"/>
        </w:rPr>
      </w:pPr>
      <w:r w:rsidDel="00000000" w:rsidR="00000000" w:rsidRPr="00000000">
        <w:rPr>
          <w:sz w:val="22"/>
          <w:szCs w:val="22"/>
          <w:rtl w:val="0"/>
        </w:rPr>
        <w:t xml:space="preserve">Table 7. Products Labeling</w:t>
      </w:r>
    </w:p>
    <w:p w:rsidR="00000000" w:rsidDel="00000000" w:rsidP="00000000" w:rsidRDefault="00000000" w:rsidRPr="00000000" w14:paraId="000000E9">
      <w:pPr>
        <w:pageBreakBefore w:val="0"/>
        <w:jc w:val="center"/>
        <w:rPr/>
      </w:pPr>
      <w:r w:rsidDel="00000000" w:rsidR="00000000" w:rsidRPr="00000000">
        <w:rPr>
          <w:rtl w:val="0"/>
        </w:rPr>
      </w:r>
    </w:p>
    <w:p w:rsidR="00000000" w:rsidDel="00000000" w:rsidP="00000000" w:rsidRDefault="00000000" w:rsidRPr="00000000" w14:paraId="000000EA">
      <w:pPr>
        <w:pageBreakBefore w:val="0"/>
        <w:jc w:val="both"/>
        <w:rPr/>
      </w:pPr>
      <w:r w:rsidDel="00000000" w:rsidR="00000000" w:rsidRPr="00000000">
        <w:rPr>
          <w:rtl w:val="0"/>
        </w:rPr>
        <w:t xml:space="preserve">Figure 4 shows an</w:t>
      </w:r>
      <w:r w:rsidDel="00000000" w:rsidR="00000000" w:rsidRPr="00000000">
        <w:rPr>
          <w:rtl w:val="0"/>
        </w:rPr>
        <w:t xml:space="preserve"> economic panel fo</w:t>
      </w:r>
      <w:r w:rsidDel="00000000" w:rsidR="00000000" w:rsidRPr="00000000">
        <w:rPr>
          <w:rtl w:val="0"/>
        </w:rPr>
        <w:t xml:space="preserve">r </w:t>
      </w:r>
      <w:r w:rsidDel="00000000" w:rsidR="00000000" w:rsidRPr="00000000">
        <w:rPr>
          <w:rtl w:val="0"/>
        </w:rPr>
        <w:t xml:space="preserve">Benin</w:t>
      </w:r>
      <w:r w:rsidDel="00000000" w:rsidR="00000000" w:rsidRPr="00000000">
        <w:rPr>
          <w:rtl w:val="0"/>
        </w:rPr>
        <w:t xml:space="preserve"> in 2022. We can see that for different percentages of heuristic total export growth, the ECIs of </w:t>
      </w:r>
      <w:r w:rsidDel="00000000" w:rsidR="00000000" w:rsidRPr="00000000">
        <w:rPr>
          <w:rtl w:val="0"/>
        </w:rPr>
        <w:t xml:space="preserve">Benin</w:t>
      </w:r>
      <w:r w:rsidDel="00000000" w:rsidR="00000000" w:rsidRPr="00000000">
        <w:rPr>
          <w:rtl w:val="0"/>
        </w:rPr>
        <w:t xml:space="preserve"> actually have different increments. </w:t>
      </w:r>
    </w:p>
    <w:p w:rsidR="00000000" w:rsidDel="00000000" w:rsidP="00000000" w:rsidRDefault="00000000" w:rsidRPr="00000000" w14:paraId="000000EB">
      <w:pPr>
        <w:pageBreakBefore w:val="0"/>
        <w:jc w:val="both"/>
        <w:rPr/>
      </w:pPr>
      <w:r w:rsidDel="00000000" w:rsidR="00000000" w:rsidRPr="00000000">
        <w:rPr>
          <w:rtl w:val="0"/>
        </w:rPr>
      </w:r>
    </w:p>
    <w:p w:rsidR="00000000" w:rsidDel="00000000" w:rsidP="00000000" w:rsidRDefault="00000000" w:rsidRPr="00000000" w14:paraId="000000EC">
      <w:pPr>
        <w:pageBreakBefore w:val="0"/>
        <w:rPr/>
      </w:pPr>
      <w:r w:rsidDel="00000000" w:rsidR="00000000" w:rsidRPr="00000000">
        <w:rPr>
          <w:rtl w:val="0"/>
        </w:rPr>
        <w:t xml:space="preserve">For 2022, </w:t>
      </w:r>
      <w:r w:rsidDel="00000000" w:rsidR="00000000" w:rsidRPr="00000000">
        <w:rPr>
          <w:rtl w:val="0"/>
        </w:rPr>
        <w:t xml:space="preserve">a 5 percent increase in export would emphasize Precious Stones, followed by High Complexity Products, and Animals and By-products. For percent increase, Animals and By-products </w:t>
      </w:r>
      <w:r w:rsidDel="00000000" w:rsidR="00000000" w:rsidRPr="00000000">
        <w:rPr>
          <w:rtl w:val="0"/>
        </w:rPr>
        <w:t xml:space="preserve">is emphasized</w:t>
      </w:r>
      <w:r w:rsidDel="00000000" w:rsidR="00000000" w:rsidRPr="00000000">
        <w:rPr>
          <w:rtl w:val="0"/>
        </w:rPr>
        <w:t xml:space="preserve">.  For 15 and 20 percent export growth, the Energy Drilling and Mining industry becomes important. These strategies go in line with the suggested trajectories based on ECI. A more detailed numerical representation of the portfolio for </w:t>
      </w:r>
      <w:r w:rsidDel="00000000" w:rsidR="00000000" w:rsidRPr="00000000">
        <w:rPr>
          <w:rtl w:val="0"/>
        </w:rPr>
        <w:t xml:space="preserve">Benin</w:t>
      </w:r>
      <w:r w:rsidDel="00000000" w:rsidR="00000000" w:rsidRPr="00000000">
        <w:rPr>
          <w:rtl w:val="0"/>
        </w:rPr>
        <w:t xml:space="preserve"> is shown in Table 8.</w:t>
      </w:r>
    </w:p>
    <w:p w:rsidR="00000000" w:rsidDel="00000000" w:rsidP="00000000" w:rsidRDefault="00000000" w:rsidRPr="00000000" w14:paraId="000000ED">
      <w:pPr>
        <w:pageBreakBefore w:val="0"/>
        <w:rPr>
          <w:sz w:val="22"/>
          <w:szCs w:val="22"/>
        </w:rPr>
      </w:pPr>
      <w:r w:rsidDel="00000000" w:rsidR="00000000" w:rsidRPr="00000000">
        <w:rPr/>
        <w:drawing>
          <wp:inline distB="114300" distT="114300" distL="114300" distR="114300">
            <wp:extent cx="5734050" cy="1952625"/>
            <wp:effectExtent b="0" l="0" r="0" t="0"/>
            <wp:docPr id="1" name="image19.png"/>
            <a:graphic>
              <a:graphicData uri="http://schemas.openxmlformats.org/drawingml/2006/picture">
                <pic:pic>
                  <pic:nvPicPr>
                    <pic:cNvPr id="0" name="image19.png"/>
                    <pic:cNvPicPr preferRelativeResize="0"/>
                  </pic:nvPicPr>
                  <pic:blipFill>
                    <a:blip r:embed="rId18"/>
                    <a:srcRect b="15947" l="0" r="0" t="15947"/>
                    <a:stretch>
                      <a:fillRect/>
                    </a:stretch>
                  </pic:blipFill>
                  <pic:spPr>
                    <a:xfrm>
                      <a:off x="0" y="0"/>
                      <a:ext cx="5734050"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jc w:val="center"/>
        <w:rPr>
          <w:sz w:val="22"/>
          <w:szCs w:val="22"/>
        </w:rPr>
      </w:pPr>
      <w:r w:rsidDel="00000000" w:rsidR="00000000" w:rsidRPr="00000000">
        <w:rPr>
          <w:sz w:val="22"/>
          <w:szCs w:val="22"/>
        </w:rPr>
        <w:drawing>
          <wp:inline distB="114300" distT="114300" distL="114300" distR="114300">
            <wp:extent cx="5734050" cy="1704975"/>
            <wp:effectExtent b="0" l="0" r="0" t="0"/>
            <wp:docPr id="7" name="image3.png"/>
            <a:graphic>
              <a:graphicData uri="http://schemas.openxmlformats.org/drawingml/2006/picture">
                <pic:pic>
                  <pic:nvPicPr>
                    <pic:cNvPr id="0" name="image3.png"/>
                    <pic:cNvPicPr preferRelativeResize="0"/>
                  </pic:nvPicPr>
                  <pic:blipFill>
                    <a:blip r:embed="rId19"/>
                    <a:srcRect b="10496" l="0" r="0" t="10496"/>
                    <a:stretch>
                      <a:fillRect/>
                    </a:stretch>
                  </pic:blipFill>
                  <pic:spPr>
                    <a:xfrm>
                      <a:off x="0" y="0"/>
                      <a:ext cx="573405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jc w:val="center"/>
        <w:rPr>
          <w:sz w:val="22"/>
          <w:szCs w:val="22"/>
        </w:rPr>
      </w:pPr>
      <w:r w:rsidDel="00000000" w:rsidR="00000000" w:rsidRPr="00000000">
        <w:rPr>
          <w:sz w:val="22"/>
          <w:szCs w:val="22"/>
          <w:rtl w:val="0"/>
        </w:rPr>
        <w:t xml:space="preserve">Figure 4. Greedy-Based ECI Improvement Results of </w:t>
      </w:r>
      <w:r w:rsidDel="00000000" w:rsidR="00000000" w:rsidRPr="00000000">
        <w:rPr>
          <w:sz w:val="22"/>
          <w:szCs w:val="22"/>
          <w:rtl w:val="0"/>
        </w:rPr>
        <w:t xml:space="preserve">Benin</w:t>
      </w:r>
      <w:r w:rsidDel="00000000" w:rsidR="00000000" w:rsidRPr="00000000">
        <w:rPr>
          <w:sz w:val="22"/>
          <w:szCs w:val="22"/>
          <w:rtl w:val="0"/>
        </w:rPr>
        <w:t xml:space="preserve"> with Different Budgets (2022)</w:t>
      </w:r>
    </w:p>
    <w:p w:rsidR="00000000" w:rsidDel="00000000" w:rsidP="00000000" w:rsidRDefault="00000000" w:rsidRPr="00000000" w14:paraId="000000F0">
      <w:pPr>
        <w:jc w:val="left"/>
        <w:rPr>
          <w:sz w:val="22"/>
          <w:szCs w:val="22"/>
        </w:rPr>
      </w:pPr>
      <w:r w:rsidDel="00000000" w:rsidR="00000000" w:rsidRPr="00000000">
        <w:rPr>
          <w:rtl w:val="0"/>
        </w:rPr>
      </w:r>
    </w:p>
    <w:p w:rsidR="00000000" w:rsidDel="00000000" w:rsidP="00000000" w:rsidRDefault="00000000" w:rsidRPr="00000000" w14:paraId="000000F1">
      <w:pPr>
        <w:jc w:val="center"/>
        <w:rPr>
          <w:sz w:val="22"/>
          <w:szCs w:val="22"/>
        </w:rPr>
      </w:pPr>
      <w:r w:rsidDel="00000000" w:rsidR="00000000" w:rsidRPr="00000000">
        <w:rPr>
          <w:sz w:val="22"/>
          <w:szCs w:val="22"/>
        </w:rPr>
        <w:drawing>
          <wp:inline distB="0" distT="0" distL="0" distR="0">
            <wp:extent cx="5734050" cy="1505091"/>
            <wp:effectExtent b="0" l="0" r="0" t="0"/>
            <wp:docPr id="17" name="image16.png"/>
            <a:graphic>
              <a:graphicData uri="http://schemas.openxmlformats.org/drawingml/2006/picture">
                <pic:pic>
                  <pic:nvPicPr>
                    <pic:cNvPr id="0" name="image16.png"/>
                    <pic:cNvPicPr preferRelativeResize="0"/>
                  </pic:nvPicPr>
                  <pic:blipFill>
                    <a:blip r:embed="rId20"/>
                    <a:srcRect b="0" l="0" r="0" t="-3278"/>
                    <a:stretch>
                      <a:fillRect/>
                    </a:stretch>
                  </pic:blipFill>
                  <pic:spPr>
                    <a:xfrm>
                      <a:off x="0" y="0"/>
                      <a:ext cx="5734050" cy="1505091"/>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jc w:val="center"/>
        <w:rPr>
          <w:sz w:val="22"/>
          <w:szCs w:val="22"/>
        </w:rPr>
      </w:pPr>
      <w:r w:rsidDel="00000000" w:rsidR="00000000" w:rsidRPr="00000000">
        <w:rPr>
          <w:sz w:val="22"/>
          <w:szCs w:val="22"/>
          <w:rtl w:val="0"/>
        </w:rPr>
        <w:t xml:space="preserve">Table 8. Portfolio of </w:t>
      </w:r>
      <w:r w:rsidDel="00000000" w:rsidR="00000000" w:rsidRPr="00000000">
        <w:rPr>
          <w:sz w:val="22"/>
          <w:szCs w:val="22"/>
          <w:rtl w:val="0"/>
        </w:rPr>
        <w:t xml:space="preserve">Benin</w:t>
      </w:r>
      <w:r w:rsidDel="00000000" w:rsidR="00000000" w:rsidRPr="00000000">
        <w:rPr>
          <w:sz w:val="22"/>
          <w:szCs w:val="22"/>
          <w:rtl w:val="0"/>
        </w:rPr>
        <w:t xml:space="preserve"> </w:t>
      </w:r>
      <w:r w:rsidDel="00000000" w:rsidR="00000000" w:rsidRPr="00000000">
        <w:rPr>
          <w:sz w:val="22"/>
          <w:szCs w:val="22"/>
          <w:rtl w:val="0"/>
        </w:rPr>
        <w:t xml:space="preserve">(2022)</w:t>
      </w:r>
      <w:r w:rsidDel="00000000" w:rsidR="00000000" w:rsidRPr="00000000">
        <w:rPr>
          <w:rtl w:val="0"/>
        </w:rPr>
      </w:r>
    </w:p>
    <w:p w:rsidR="00000000" w:rsidDel="00000000" w:rsidP="00000000" w:rsidRDefault="00000000" w:rsidRPr="00000000" w14:paraId="000000F3">
      <w:pPr>
        <w:jc w:val="center"/>
        <w:rPr>
          <w:sz w:val="22"/>
          <w:szCs w:val="22"/>
        </w:rPr>
      </w:pPr>
      <w:r w:rsidDel="00000000" w:rsidR="00000000" w:rsidRPr="00000000">
        <w:rPr>
          <w:rtl w:val="0"/>
        </w:rPr>
      </w:r>
    </w:p>
    <w:p w:rsidR="00000000" w:rsidDel="00000000" w:rsidP="00000000" w:rsidRDefault="00000000" w:rsidRPr="00000000" w14:paraId="000000F4">
      <w:pPr>
        <w:pageBreakBefore w:val="0"/>
        <w:spacing w:after="0" w:before="0" w:line="276" w:lineRule="auto"/>
        <w:rPr>
          <w:b w:val="1"/>
          <w:bCs w:val="1"/>
        </w:rPr>
      </w:pPr>
      <w:r w:rsidDel="00000000" w:rsidR="00000000" w:rsidRPr="00000000">
        <w:rPr>
          <w:b w:val="1"/>
          <w:bCs w:val="1"/>
          <w:rtl w:val="0"/>
        </w:rPr>
        <w:t xml:space="preserve">4.3  Sensitivity Analysis and Contingency Strategy</w:t>
      </w:r>
    </w:p>
    <w:p w:rsidR="00000000" w:rsidDel="00000000" w:rsidP="00000000" w:rsidRDefault="00000000" w:rsidRPr="00000000" w14:paraId="000000F5">
      <w:pPr>
        <w:pageBreakBefore w:val="0"/>
        <w:spacing w:after="0" w:before="0" w:line="276" w:lineRule="auto"/>
        <w:rPr/>
      </w:pPr>
      <w:r w:rsidDel="00000000" w:rsidR="00000000" w:rsidRPr="00000000">
        <w:rPr>
          <w:rtl w:val="0"/>
        </w:rPr>
        <w:t xml:space="preserve">In the following section, our broad aim is to understand how sensitive </w:t>
      </w:r>
      <w:r w:rsidDel="00000000" w:rsidR="00000000" w:rsidRPr="00000000">
        <w:rPr>
          <w:rtl w:val="0"/>
        </w:rPr>
        <w:t xml:space="preserve">Benin</w:t>
      </w:r>
      <w:r w:rsidDel="00000000" w:rsidR="00000000" w:rsidRPr="00000000">
        <w:rPr>
          <w:rtl w:val="0"/>
        </w:rPr>
        <w:t xml:space="preserve"> is to changes in export in various industries. While the Economic Complexity Index has been shown to contain valuable information about the economic strength/capacity of a country, little has been said as to the stability of the measure itself. We seek to uncover the main drivers of stability under a country's ECI score and better understand longer-term projections for ECI growth. Additionally, gaining an intuition on the industries that are bolstering an economy and the industries that offer the greatest return per unit of investment is best done through visualization of industry-specific sensitivity. To this end, we have developed two categories of sensitivity analysis.</w:t>
      </w:r>
      <w:r w:rsidDel="00000000" w:rsidR="00000000" w:rsidRPr="00000000">
        <w:rPr>
          <w:rtl w:val="0"/>
        </w:rPr>
      </w:r>
    </w:p>
    <w:p w:rsidR="00000000" w:rsidDel="00000000" w:rsidP="00000000" w:rsidRDefault="00000000" w:rsidRPr="00000000" w14:paraId="000000F6">
      <w:pPr>
        <w:pageBreakBefore w:val="0"/>
        <w:spacing w:after="240" w:before="240" w:line="276" w:lineRule="auto"/>
        <w:rPr>
          <w:b w:val="1"/>
          <w:bCs w:val="1"/>
        </w:rPr>
      </w:pPr>
      <w:r w:rsidDel="00000000" w:rsidR="00000000" w:rsidRPr="00000000">
        <w:rPr>
          <w:b w:val="1"/>
          <w:bCs w:val="1"/>
          <w:rtl w:val="0"/>
        </w:rPr>
        <w:t xml:space="preserve">ECI Sensitivity Grap</w:t>
      </w:r>
      <w:r w:rsidDel="00000000" w:rsidR="00000000" w:rsidRPr="00000000">
        <w:rPr>
          <w:b w:val="1"/>
          <w:bCs w:val="1"/>
          <w:rtl w:val="0"/>
        </w:rPr>
        <w:t xml:space="preserve">h</w:t>
      </w:r>
      <w:r w:rsidDel="00000000" w:rsidR="00000000" w:rsidRPr="00000000">
        <w:rPr>
          <w:rtl w:val="0"/>
        </w:rPr>
      </w:r>
    </w:p>
    <w:p w:rsidR="00000000" w:rsidDel="00000000" w:rsidP="00000000" w:rsidRDefault="00000000" w:rsidRPr="00000000" w14:paraId="000000F7">
      <w:pPr>
        <w:pageBreakBefore w:val="0"/>
        <w:spacing w:after="240" w:before="240" w:line="276" w:lineRule="auto"/>
        <w:rPr/>
      </w:pPr>
      <w:r w:rsidDel="00000000" w:rsidR="00000000" w:rsidRPr="00000000">
        <w:rPr>
          <w:rtl w:val="0"/>
        </w:rPr>
        <w:t xml:space="preserve">First, in order to assess the effect particular industries have on each respective country, we developed ECI Sensitivity graphs (Figure 5). We use the shocking methodology to increment or decrement an industry’s export level by a certain percentage and recalculate the ECI, all else being equal. While freezing the export dynamics of the rest of the world and enacting an instantaneous shock in export for a particular industry and country may not reflect real-life dynamics, what it does offer us is an understanding of a country’s level of dependency on an industry in the context of ECI. The shocking is done in small percentage increments in order to smooth out the resulting curve. Additionally, a recurring theme one will see is that for most industries, a breaking point occurs where the ECI either jumps upwards or downwards, creating a hockey stick shape rather than a linear trend. While the inflection point may not be accurate in the context of real life, comparing the various inflection points across industries can give us valuable insight.</w:t>
      </w:r>
    </w:p>
    <w:p w:rsidR="00000000" w:rsidDel="00000000" w:rsidP="00000000" w:rsidRDefault="00000000" w:rsidRPr="00000000" w14:paraId="000000F8">
      <w:pPr>
        <w:jc w:val="both"/>
        <w:rPr>
          <w:b w:val="1"/>
          <w:bCs w:val="1"/>
        </w:rPr>
      </w:pPr>
      <w:r w:rsidDel="00000000" w:rsidR="00000000" w:rsidRPr="00000000">
        <w:rPr>
          <w:b w:val="1"/>
          <w:bCs w:val="1"/>
        </w:rPr>
        <w:drawing>
          <wp:inline distB="114300" distT="114300" distL="114300" distR="114300">
            <wp:extent cx="5310188" cy="2519630"/>
            <wp:effectExtent b="0" l="0" r="0" t="0"/>
            <wp:docPr id="8" name="image5.jpg"/>
            <a:graphic>
              <a:graphicData uri="http://schemas.openxmlformats.org/drawingml/2006/picture">
                <pic:pic>
                  <pic:nvPicPr>
                    <pic:cNvPr id="0" name="image5.jpg"/>
                    <pic:cNvPicPr preferRelativeResize="0"/>
                  </pic:nvPicPr>
                  <pic:blipFill>
                    <a:blip r:embed="rId21"/>
                    <a:srcRect b="0" l="0" r="0" t="9709"/>
                    <a:stretch>
                      <a:fillRect/>
                    </a:stretch>
                  </pic:blipFill>
                  <pic:spPr>
                    <a:xfrm>
                      <a:off x="0" y="0"/>
                      <a:ext cx="5310188" cy="251963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jc w:val="center"/>
        <w:rPr/>
      </w:pPr>
      <w:r w:rsidDel="00000000" w:rsidR="00000000" w:rsidRPr="00000000">
        <w:rPr>
          <w:sz w:val="22"/>
          <w:szCs w:val="22"/>
          <w:rtl w:val="0"/>
        </w:rPr>
        <w:t xml:space="preserve">Figure 5. Sample ECI Sensitivity Graph (2018)</w:t>
      </w:r>
      <w:r w:rsidDel="00000000" w:rsidR="00000000" w:rsidRPr="00000000">
        <w:rPr>
          <w:rtl w:val="0"/>
        </w:rPr>
      </w:r>
    </w:p>
    <w:p w:rsidR="00000000" w:rsidDel="00000000" w:rsidP="00000000" w:rsidRDefault="00000000" w:rsidRPr="00000000" w14:paraId="000000FA">
      <w:pPr>
        <w:pageBreakBefore w:val="0"/>
        <w:spacing w:after="240" w:before="240" w:line="276" w:lineRule="auto"/>
        <w:rPr>
          <w:b w:val="1"/>
          <w:bCs w:val="1"/>
          <w:sz w:val="28"/>
          <w:szCs w:val="28"/>
        </w:rPr>
      </w:pPr>
      <w:r w:rsidDel="00000000" w:rsidR="00000000" w:rsidRPr="00000000">
        <w:rPr>
          <w:rtl w:val="0"/>
        </w:rPr>
        <w:t xml:space="preserve">The graphs are formulated as follows. The first chart, Incremental ECI Sensitivity, shows positive shocking in which export numbers are shocked upwards per industry. The X-axis is in terms of percentage shock per current dollar value of export. The Y-axis is the recalculated ECI level post-shocking. The second chart, Decremental ECI Sensitivity, follows the same format except the X-axis represents negative shock. In other words, exports for each industry are decremented, and the ECI is accordingly recomputed.</w:t>
      </w:r>
      <w:r w:rsidDel="00000000" w:rsidR="00000000" w:rsidRPr="00000000">
        <w:rPr>
          <w:rtl w:val="0"/>
        </w:rPr>
      </w:r>
    </w:p>
    <w:p w:rsidR="00000000" w:rsidDel="00000000" w:rsidP="00000000" w:rsidRDefault="00000000" w:rsidRPr="00000000" w14:paraId="000000FB">
      <w:pPr>
        <w:pageBreakBefore w:val="0"/>
        <w:jc w:val="both"/>
        <w:rPr>
          <w:b w:val="1"/>
          <w:bCs w:val="1"/>
        </w:rPr>
      </w:pPr>
      <w:r w:rsidDel="00000000" w:rsidR="00000000" w:rsidRPr="00000000">
        <w:rPr>
          <w:b w:val="1"/>
          <w:bCs w:val="1"/>
          <w:rtl w:val="0"/>
        </w:rPr>
        <w:t xml:space="preserve">4.3 Sensitivity Analysis Results and Interpretation</w:t>
      </w:r>
    </w:p>
    <w:p w:rsidR="00000000" w:rsidDel="00000000" w:rsidP="00000000" w:rsidRDefault="00000000" w:rsidRPr="00000000" w14:paraId="000000FC">
      <w:pPr>
        <w:pageBreakBefore w:val="0"/>
        <w:jc w:val="both"/>
        <w:rPr/>
      </w:pPr>
      <w:r w:rsidDel="00000000" w:rsidR="00000000" w:rsidRPr="00000000">
        <w:rPr>
          <w:rtl w:val="0"/>
        </w:rPr>
        <w:t xml:space="preserve">We examine </w:t>
      </w:r>
      <w:r w:rsidDel="00000000" w:rsidR="00000000" w:rsidRPr="00000000">
        <w:rPr>
          <w:rtl w:val="0"/>
        </w:rPr>
        <w:t xml:space="preserve">Benin</w:t>
      </w:r>
      <w:r w:rsidDel="00000000" w:rsidR="00000000" w:rsidRPr="00000000">
        <w:rPr>
          <w:rtl w:val="0"/>
        </w:rPr>
        <w:t xml:space="preserve">'s ECI Decremental and Incremental Sensitivity Charts for 2022. An increase in Energy Drilling and Mining will lead to the highest change in ECI, followed by Food and Preparations and High Complexity Products. For the negative shock cases, Metal becomes most impactful. The rest of the industries do not appear to have the same level of sensitivity.</w:t>
      </w:r>
    </w:p>
    <w:p w:rsidR="00000000" w:rsidDel="00000000" w:rsidP="00000000" w:rsidRDefault="00000000" w:rsidRPr="00000000" w14:paraId="000000FD">
      <w:pPr>
        <w:pageBreakBefore w:val="0"/>
        <w:jc w:val="both"/>
        <w:rPr/>
      </w:pPr>
      <w:r w:rsidDel="00000000" w:rsidR="00000000" w:rsidRPr="00000000">
        <w:rPr>
          <w:rtl w:val="0"/>
        </w:rPr>
      </w:r>
    </w:p>
    <w:p w:rsidR="00000000" w:rsidDel="00000000" w:rsidP="00000000" w:rsidRDefault="00000000" w:rsidRPr="00000000" w14:paraId="000000FE">
      <w:pPr>
        <w:pageBreakBefore w:val="0"/>
        <w:jc w:val="both"/>
        <w:rPr/>
      </w:pPr>
      <w:r w:rsidDel="00000000" w:rsidR="00000000" w:rsidRPr="00000000">
        <w:rPr/>
        <w:drawing>
          <wp:inline distB="114300" distT="114300" distL="114300" distR="114300">
            <wp:extent cx="5734050" cy="4103077"/>
            <wp:effectExtent b="0" l="0" r="0" t="0"/>
            <wp:docPr id="20"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5734050" cy="4103077"/>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jc w:val="center"/>
        <w:rPr>
          <w:sz w:val="22"/>
          <w:szCs w:val="22"/>
        </w:rPr>
      </w:pPr>
      <w:r w:rsidDel="00000000" w:rsidR="00000000" w:rsidRPr="00000000">
        <w:rPr>
          <w:sz w:val="22"/>
          <w:szCs w:val="22"/>
          <w:rtl w:val="0"/>
        </w:rPr>
        <w:t xml:space="preserve">F</w:t>
      </w:r>
      <w:r w:rsidDel="00000000" w:rsidR="00000000" w:rsidRPr="00000000">
        <w:rPr>
          <w:sz w:val="22"/>
          <w:szCs w:val="22"/>
          <w:rtl w:val="0"/>
        </w:rPr>
        <w:t xml:space="preserve">igure 6a. Incremental ECI Sensitivity for </w:t>
      </w:r>
      <w:r w:rsidDel="00000000" w:rsidR="00000000" w:rsidRPr="00000000">
        <w:rPr>
          <w:sz w:val="22"/>
          <w:szCs w:val="22"/>
          <w:rtl w:val="0"/>
        </w:rPr>
        <w:t xml:space="preserve">Benin</w:t>
      </w:r>
      <w:r w:rsidDel="00000000" w:rsidR="00000000" w:rsidRPr="00000000">
        <w:rPr>
          <w:sz w:val="22"/>
          <w:szCs w:val="22"/>
          <w:rtl w:val="0"/>
        </w:rPr>
        <w:t xml:space="preserve"> (2022)</w:t>
      </w:r>
    </w:p>
    <w:p w:rsidR="00000000" w:rsidDel="00000000" w:rsidP="00000000" w:rsidRDefault="00000000" w:rsidRPr="00000000" w14:paraId="00000100">
      <w:pPr>
        <w:jc w:val="center"/>
        <w:rPr>
          <w:sz w:val="22"/>
          <w:szCs w:val="22"/>
        </w:rPr>
      </w:pPr>
      <w:r w:rsidDel="00000000" w:rsidR="00000000" w:rsidRPr="00000000">
        <w:rPr>
          <w:sz w:val="22"/>
          <w:szCs w:val="22"/>
        </w:rPr>
        <w:drawing>
          <wp:inline distB="114300" distT="114300" distL="114300" distR="114300">
            <wp:extent cx="5734050" cy="4103077"/>
            <wp:effectExtent b="0" l="0" r="0" t="0"/>
            <wp:docPr id="18"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5734050" cy="4103077"/>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jc w:val="center"/>
        <w:rPr/>
      </w:pPr>
      <w:r w:rsidDel="00000000" w:rsidR="00000000" w:rsidRPr="00000000">
        <w:rPr>
          <w:sz w:val="22"/>
          <w:szCs w:val="22"/>
          <w:rtl w:val="0"/>
        </w:rPr>
        <w:t xml:space="preserve">Figure 6b. Decremental ECI Sensitivity for </w:t>
      </w:r>
      <w:r w:rsidDel="00000000" w:rsidR="00000000" w:rsidRPr="00000000">
        <w:rPr>
          <w:sz w:val="22"/>
          <w:szCs w:val="22"/>
          <w:rtl w:val="0"/>
        </w:rPr>
        <w:t xml:space="preserve">Benin</w:t>
      </w:r>
      <w:r w:rsidDel="00000000" w:rsidR="00000000" w:rsidRPr="00000000">
        <w:rPr>
          <w:sz w:val="22"/>
          <w:szCs w:val="22"/>
          <w:rtl w:val="0"/>
        </w:rPr>
        <w:t xml:space="preserve"> (2022)</w:t>
      </w:r>
      <w:r w:rsidDel="00000000" w:rsidR="00000000" w:rsidRPr="00000000">
        <w:rPr>
          <w:rtl w:val="0"/>
        </w:rPr>
      </w:r>
    </w:p>
    <w:p w:rsidR="00000000" w:rsidDel="00000000" w:rsidP="00000000" w:rsidRDefault="00000000" w:rsidRPr="00000000" w14:paraId="00000102">
      <w:pPr>
        <w:pageBreakBefore w:val="0"/>
        <w:jc w:val="both"/>
        <w:rPr>
          <w:b w:val="1"/>
          <w:bCs w:val="1"/>
        </w:rPr>
      </w:pPr>
      <w:r w:rsidDel="00000000" w:rsidR="00000000" w:rsidRPr="00000000">
        <w:rPr>
          <w:rtl w:val="0"/>
        </w:rPr>
      </w:r>
    </w:p>
    <w:p w:rsidR="00000000" w:rsidDel="00000000" w:rsidP="00000000" w:rsidRDefault="00000000" w:rsidRPr="00000000" w14:paraId="00000103">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5. Macro-level Predictions</w:t>
      </w:r>
    </w:p>
    <w:p w:rsidR="00000000" w:rsidDel="00000000" w:rsidP="00000000" w:rsidRDefault="00000000" w:rsidRPr="00000000" w14:paraId="00000104">
      <w:pPr>
        <w:pageBreakBefore w:val="0"/>
        <w:jc w:val="both"/>
        <w:rPr>
          <w:b w:val="1"/>
          <w:bCs w:val="1"/>
        </w:rPr>
      </w:pPr>
      <w:r w:rsidDel="00000000" w:rsidR="00000000" w:rsidRPr="00000000">
        <w:rPr>
          <w:rtl w:val="0"/>
        </w:rPr>
      </w:r>
    </w:p>
    <w:p w:rsidR="00000000" w:rsidDel="00000000" w:rsidP="00000000" w:rsidRDefault="00000000" w:rsidRPr="00000000" w14:paraId="00000105">
      <w:pPr>
        <w:pageBreakBefore w:val="0"/>
        <w:jc w:val="both"/>
        <w:rPr>
          <w:b w:val="1"/>
          <w:bCs w:val="1"/>
        </w:rPr>
      </w:pPr>
      <w:r w:rsidDel="00000000" w:rsidR="00000000" w:rsidRPr="00000000">
        <w:rPr>
          <w:b w:val="1"/>
          <w:bCs w:val="1"/>
          <w:rtl w:val="0"/>
        </w:rPr>
        <w:t xml:space="preserve">5.1 Structural Optimality Index</w:t>
      </w:r>
    </w:p>
    <w:p w:rsidR="00000000" w:rsidDel="00000000" w:rsidP="00000000" w:rsidRDefault="00000000" w:rsidRPr="00000000" w14:paraId="00000106">
      <w:pPr>
        <w:pageBreakBefore w:val="0"/>
        <w:jc w:val="both"/>
        <w:rPr/>
      </w:pPr>
      <w:r w:rsidDel="00000000" w:rsidR="00000000" w:rsidRPr="00000000">
        <w:rPr>
          <w:rtl w:val="0"/>
        </w:rPr>
        <w:t xml:space="preserve">ECI sensitivity described in the section before </w:t>
      </w:r>
      <w:r w:rsidDel="00000000" w:rsidR="00000000" w:rsidRPr="00000000">
        <w:rPr>
          <w:rtl w:val="0"/>
        </w:rPr>
        <w:t xml:space="preserve">has proven to be a significant factor in deciding the economic outcomes of countries. In order to quantitatively evaluate how effective our development strategies are and how deviations from the suggested developmental path will lead to suboptimal growth results, we define the measure – Structural Optimality Index (SOI) – on a country level as the Adjusted R-Square obtained from regressing the country’s realized industry development over the suggested development strategy. Both strategies are quantified in nature, with the realized development represented by increasing export in every major industry group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on a complexity level.</w:t>
      </w:r>
    </w:p>
    <w:p w:rsidR="00000000" w:rsidDel="00000000" w:rsidP="00000000" w:rsidRDefault="00000000" w:rsidRPr="00000000" w14:paraId="00000107">
      <w:pPr>
        <w:pageBreakBefore w:val="0"/>
        <w:jc w:val="both"/>
        <w:rPr/>
      </w:pPr>
      <w:r w:rsidDel="00000000" w:rsidR="00000000" w:rsidRPr="00000000">
        <w:rPr>
          <w:rtl w:val="0"/>
        </w:rPr>
      </w:r>
    </w:p>
    <w:p w:rsidR="00000000" w:rsidDel="00000000" w:rsidP="00000000" w:rsidRDefault="00000000" w:rsidRPr="00000000" w14:paraId="00000108">
      <w:pPr>
        <w:pageBreakBefore w:val="0"/>
        <w:jc w:val="both"/>
        <w:rPr/>
      </w:pPr>
      <w:r w:rsidDel="00000000" w:rsidR="00000000" w:rsidRPr="00000000">
        <w:rPr>
          <w:rtl w:val="0"/>
        </w:rPr>
        <w:t xml:space="preserve">After obtaining this measure for all countries in our database, we further regress countries’ five-year economic growth, which is defined as the percent increase in GDP (USD), over their SOI. Figure 9 illustrates the regression output, which shows a strong positive correlation between countries’ SOI and their five-year GDP growth. In other words, the more a country develops, as suggested by calculations on a complexity level, the better economic outcomes it achieves. </w:t>
      </w:r>
    </w:p>
    <w:p w:rsidR="00000000" w:rsidDel="00000000" w:rsidP="00000000" w:rsidRDefault="00000000" w:rsidRPr="00000000" w14:paraId="00000109">
      <w:pPr>
        <w:pageBreakBefore w:val="0"/>
        <w:jc w:val="both"/>
        <w:rPr/>
      </w:pPr>
      <w:r w:rsidDel="00000000" w:rsidR="00000000" w:rsidRPr="00000000">
        <w:rPr>
          <w:rtl w:val="0"/>
        </w:rPr>
      </w:r>
    </w:p>
    <w:tbl>
      <w:tblPr>
        <w:tblStyle w:val="Table5"/>
        <w:tblW w:w="5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970"/>
        <w:tblGridChange w:id="0">
          <w:tblGrid>
            <w:gridCol w:w="2790"/>
            <w:gridCol w:w="2970"/>
          </w:tblGrid>
        </w:tblGridChange>
      </w:tblGrid>
      <w:tr>
        <w:trPr>
          <w:cantSplit w:val="0"/>
          <w:trHeight w:val="335.52" w:hRule="atLeast"/>
          <w:tblHeader w:val="1"/>
        </w:trPr>
        <w:tc>
          <w:tcPr>
            <w:gridSpan w:val="2"/>
            <w:shd w:fill="auto" w:val="clear"/>
            <w:tcMar>
              <w:top w:w="-44.64" w:type="dxa"/>
              <w:left w:w="-44.64" w:type="dxa"/>
              <w:bottom w:w="-44.64" w:type="dxa"/>
              <w:right w:w="-44.64" w:type="dxa"/>
            </w:tcMar>
            <w:vAlign w:val="center"/>
          </w:tcPr>
          <w:p w:rsidR="00000000" w:rsidDel="00000000" w:rsidP="00000000" w:rsidRDefault="00000000" w:rsidRPr="00000000" w14:paraId="0000010A">
            <w:pPr>
              <w:widowControl w:val="0"/>
              <w:ind w:left="90" w:firstLine="0"/>
              <w:jc w:val="center"/>
              <w:rPr>
                <w:b w:val="1"/>
                <w:bCs w:val="1"/>
                <w:sz w:val="20"/>
                <w:szCs w:val="20"/>
              </w:rPr>
            </w:pPr>
            <w:r w:rsidDel="00000000" w:rsidR="00000000" w:rsidRPr="00000000">
              <w:rPr>
                <w:b w:val="1"/>
                <w:bCs w:val="1"/>
                <w:sz w:val="20"/>
                <w:szCs w:val="20"/>
                <w:rtl w:val="0"/>
              </w:rPr>
              <w:t xml:space="preserve">Table 14: OLS Regression Results</w:t>
            </w:r>
          </w:p>
        </w:tc>
      </w:tr>
      <w:tr>
        <w:trPr>
          <w:cantSplit w:val="0"/>
          <w:trHeight w:val="335.52" w:hRule="atLeast"/>
          <w:tblHeader w:val="1"/>
        </w:trPr>
        <w:tc>
          <w:tcPr>
            <w:shd w:fill="auto" w:val="clear"/>
            <w:tcMar>
              <w:top w:w="-44.64" w:type="dxa"/>
              <w:left w:w="-44.64" w:type="dxa"/>
              <w:bottom w:w="-44.64" w:type="dxa"/>
              <w:right w:w="-44.64" w:type="dxa"/>
            </w:tcMar>
            <w:vAlign w:val="center"/>
          </w:tcPr>
          <w:p w:rsidR="00000000" w:rsidDel="00000000" w:rsidP="00000000" w:rsidRDefault="00000000" w:rsidRPr="00000000" w14:paraId="0000010C">
            <w:pPr>
              <w:widowControl w:val="0"/>
              <w:ind w:left="90" w:firstLine="0"/>
              <w:rPr>
                <w:sz w:val="20"/>
                <w:szCs w:val="20"/>
              </w:rPr>
            </w:pPr>
            <w:r w:rsidDel="00000000" w:rsidR="00000000" w:rsidRPr="00000000">
              <w:rPr>
                <w:b w:val="1"/>
                <w:bCs w:val="1"/>
                <w:sz w:val="20"/>
                <w:szCs w:val="20"/>
                <w:rtl w:val="0"/>
              </w:rPr>
              <w:t xml:space="preserve">Dep. Variable: </w:t>
            </w:r>
            <w:r w:rsidDel="00000000" w:rsidR="00000000" w:rsidRPr="00000000">
              <w:rPr>
                <w:sz w:val="20"/>
                <w:szCs w:val="20"/>
                <w:rtl w:val="0"/>
              </w:rPr>
              <w:t xml:space="preserve">GDP</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10D">
            <w:pPr>
              <w:widowControl w:val="0"/>
              <w:ind w:left="90" w:firstLine="0"/>
              <w:rPr>
                <w:sz w:val="20"/>
                <w:szCs w:val="20"/>
              </w:rPr>
            </w:pPr>
            <w:r w:rsidDel="00000000" w:rsidR="00000000" w:rsidRPr="00000000">
              <w:rPr>
                <w:b w:val="1"/>
                <w:bCs w:val="1"/>
                <w:sz w:val="20"/>
                <w:szCs w:val="20"/>
                <w:rtl w:val="0"/>
              </w:rPr>
              <w:t xml:space="preserve">F-Statistic: </w:t>
            </w:r>
            <w:r w:rsidDel="00000000" w:rsidR="00000000" w:rsidRPr="00000000">
              <w:rPr>
                <w:sz w:val="20"/>
                <w:szCs w:val="20"/>
                <w:rtl w:val="0"/>
              </w:rPr>
              <w:t xml:space="preserve">5.963</w:t>
            </w:r>
          </w:p>
        </w:tc>
      </w:tr>
      <w:tr>
        <w:trPr>
          <w:cantSplit w:val="0"/>
          <w:trHeight w:val="335.52" w:hRule="atLeast"/>
          <w:tblHeader w:val="1"/>
        </w:trPr>
        <w:tc>
          <w:tcPr>
            <w:shd w:fill="auto" w:val="clear"/>
            <w:tcMar>
              <w:top w:w="-44.64" w:type="dxa"/>
              <w:left w:w="-44.64" w:type="dxa"/>
              <w:bottom w:w="-44.64" w:type="dxa"/>
              <w:right w:w="-44.64" w:type="dxa"/>
            </w:tcMar>
            <w:vAlign w:val="center"/>
          </w:tcPr>
          <w:p w:rsidR="00000000" w:rsidDel="00000000" w:rsidP="00000000" w:rsidRDefault="00000000" w:rsidRPr="00000000" w14:paraId="0000010E">
            <w:pPr>
              <w:widowControl w:val="0"/>
              <w:ind w:left="90" w:firstLine="0"/>
              <w:rPr>
                <w:sz w:val="20"/>
                <w:szCs w:val="20"/>
              </w:rPr>
            </w:pPr>
            <w:r w:rsidDel="00000000" w:rsidR="00000000" w:rsidRPr="00000000">
              <w:rPr>
                <w:b w:val="1"/>
                <w:bCs w:val="1"/>
                <w:sz w:val="20"/>
                <w:szCs w:val="20"/>
                <w:rtl w:val="0"/>
              </w:rPr>
              <w:t xml:space="preserve">R</w:t>
            </w:r>
            <w:r w:rsidDel="00000000" w:rsidR="00000000" w:rsidRPr="00000000">
              <w:rPr>
                <w:b w:val="1"/>
                <w:bCs w:val="1"/>
                <w:sz w:val="20"/>
                <w:szCs w:val="20"/>
                <w:vertAlign w:val="superscript"/>
                <w:rtl w:val="0"/>
              </w:rPr>
              <w:t xml:space="preserve">2</w:t>
            </w:r>
            <w:r w:rsidDel="00000000" w:rsidR="00000000" w:rsidRPr="00000000">
              <w:rPr>
                <w:b w:val="1"/>
                <w:bCs w:val="1"/>
                <w:sz w:val="20"/>
                <w:szCs w:val="20"/>
                <w:rtl w:val="0"/>
              </w:rPr>
              <w:t xml:space="preserve">: </w:t>
            </w:r>
            <w:r w:rsidDel="00000000" w:rsidR="00000000" w:rsidRPr="00000000">
              <w:rPr>
                <w:sz w:val="20"/>
                <w:szCs w:val="20"/>
                <w:rtl w:val="0"/>
              </w:rPr>
              <w:t xml:space="preserve">0.054</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10F">
            <w:pPr>
              <w:widowControl w:val="0"/>
              <w:ind w:left="90" w:firstLine="0"/>
              <w:rPr>
                <w:sz w:val="20"/>
                <w:szCs w:val="20"/>
              </w:rPr>
            </w:pPr>
            <w:r w:rsidDel="00000000" w:rsidR="00000000" w:rsidRPr="00000000">
              <w:rPr>
                <w:b w:val="1"/>
                <w:bCs w:val="1"/>
                <w:sz w:val="20"/>
                <w:szCs w:val="20"/>
                <w:rtl w:val="0"/>
              </w:rPr>
              <w:t xml:space="preserve">Prob (F-Stat):</w:t>
            </w:r>
            <w:r w:rsidDel="00000000" w:rsidR="00000000" w:rsidRPr="00000000">
              <w:rPr>
                <w:sz w:val="20"/>
                <w:szCs w:val="20"/>
                <w:rtl w:val="0"/>
              </w:rPr>
              <w:t xml:space="preserve"> 0.0163</w:t>
            </w:r>
          </w:p>
        </w:tc>
      </w:tr>
      <w:tr>
        <w:trPr>
          <w:cantSplit w:val="0"/>
          <w:trHeight w:val="335.52" w:hRule="atLeast"/>
          <w:tblHeader w:val="1"/>
        </w:trPr>
        <w:tc>
          <w:tcPr>
            <w:shd w:fill="auto" w:val="clear"/>
            <w:tcMar>
              <w:top w:w="-44.64" w:type="dxa"/>
              <w:left w:w="-44.64" w:type="dxa"/>
              <w:bottom w:w="-44.64" w:type="dxa"/>
              <w:right w:w="-44.64" w:type="dxa"/>
            </w:tcMar>
            <w:vAlign w:val="center"/>
          </w:tcPr>
          <w:p w:rsidR="00000000" w:rsidDel="00000000" w:rsidP="00000000" w:rsidRDefault="00000000" w:rsidRPr="00000000" w14:paraId="00000110">
            <w:pPr>
              <w:widowControl w:val="0"/>
              <w:ind w:left="90" w:firstLine="0"/>
              <w:rPr>
                <w:sz w:val="20"/>
                <w:szCs w:val="20"/>
              </w:rPr>
            </w:pPr>
            <w:r w:rsidDel="00000000" w:rsidR="00000000" w:rsidRPr="00000000">
              <w:rPr>
                <w:b w:val="1"/>
                <w:bCs w:val="1"/>
                <w:sz w:val="20"/>
                <w:szCs w:val="20"/>
                <w:rtl w:val="0"/>
              </w:rPr>
              <w:t xml:space="preserve">Adj R</w:t>
            </w:r>
            <w:r w:rsidDel="00000000" w:rsidR="00000000" w:rsidRPr="00000000">
              <w:rPr>
                <w:b w:val="1"/>
                <w:bCs w:val="1"/>
                <w:sz w:val="20"/>
                <w:szCs w:val="20"/>
                <w:vertAlign w:val="superscript"/>
                <w:rtl w:val="0"/>
              </w:rPr>
              <w:t xml:space="preserve">2</w:t>
            </w:r>
            <w:r w:rsidDel="00000000" w:rsidR="00000000" w:rsidRPr="00000000">
              <w:rPr>
                <w:b w:val="1"/>
                <w:bCs w:val="1"/>
                <w:sz w:val="20"/>
                <w:szCs w:val="20"/>
                <w:rtl w:val="0"/>
              </w:rPr>
              <w:t xml:space="preserve">: </w:t>
            </w:r>
            <w:r w:rsidDel="00000000" w:rsidR="00000000" w:rsidRPr="00000000">
              <w:rPr>
                <w:sz w:val="20"/>
                <w:szCs w:val="20"/>
                <w:rtl w:val="0"/>
              </w:rPr>
              <w:t xml:space="preserve">0.045</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111">
            <w:pPr>
              <w:widowControl w:val="0"/>
              <w:ind w:left="90" w:firstLine="0"/>
              <w:rPr>
                <w:sz w:val="20"/>
                <w:szCs w:val="20"/>
              </w:rPr>
            </w:pPr>
            <w:r w:rsidDel="00000000" w:rsidR="00000000" w:rsidRPr="00000000">
              <w:rPr>
                <w:b w:val="1"/>
                <w:bCs w:val="1"/>
                <w:sz w:val="20"/>
                <w:szCs w:val="20"/>
                <w:rtl w:val="0"/>
              </w:rPr>
              <w:t xml:space="preserve">No. Observations: </w:t>
            </w:r>
            <w:r w:rsidDel="00000000" w:rsidR="00000000" w:rsidRPr="00000000">
              <w:rPr>
                <w:sz w:val="20"/>
                <w:szCs w:val="20"/>
                <w:rtl w:val="0"/>
              </w:rPr>
              <w:t xml:space="preserve">106</w:t>
            </w:r>
          </w:p>
        </w:tc>
      </w:tr>
    </w:tbl>
    <w:p w:rsidR="00000000" w:rsidDel="00000000" w:rsidP="00000000" w:rsidRDefault="00000000" w:rsidRPr="00000000" w14:paraId="00000112">
      <w:pPr>
        <w:pageBreakBefore w:val="0"/>
        <w:jc w:val="left"/>
        <w:rPr>
          <w:sz w:val="22"/>
          <w:szCs w:val="22"/>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603413</wp:posOffset>
            </wp:positionH>
            <wp:positionV relativeFrom="paragraph">
              <wp:posOffset>171450</wp:posOffset>
            </wp:positionV>
            <wp:extent cx="4520925" cy="3005138"/>
            <wp:effectExtent b="0" l="0" r="0" t="0"/>
            <wp:wrapTopAndBottom distB="0" distT="0"/>
            <wp:docPr id="14"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4520925" cy="3005138"/>
                    </a:xfrm>
                    <a:prstGeom prst="rect"/>
                    <a:ln/>
                  </pic:spPr>
                </pic:pic>
              </a:graphicData>
            </a:graphic>
          </wp:anchor>
        </w:drawing>
      </w:r>
    </w:p>
    <w:p w:rsidR="00000000" w:rsidDel="00000000" w:rsidP="00000000" w:rsidRDefault="00000000" w:rsidRPr="00000000" w14:paraId="00000113">
      <w:pPr>
        <w:pageBreakBefore w:val="0"/>
        <w:jc w:val="center"/>
        <w:rPr>
          <w:sz w:val="22"/>
          <w:szCs w:val="22"/>
        </w:rPr>
      </w:pPr>
      <w:r w:rsidDel="00000000" w:rsidR="00000000" w:rsidRPr="00000000">
        <w:rPr>
          <w:sz w:val="22"/>
          <w:szCs w:val="22"/>
          <w:rtl w:val="0"/>
        </w:rPr>
        <w:t xml:space="preserve">Fi</w:t>
      </w:r>
      <w:r w:rsidDel="00000000" w:rsidR="00000000" w:rsidRPr="00000000">
        <w:rPr>
          <w:sz w:val="22"/>
          <w:szCs w:val="22"/>
          <w:rtl w:val="0"/>
        </w:rPr>
        <w:t xml:space="preserve">gure 9. Regression of Five-Year GDP Growth over SOI (2013-2018)</w:t>
      </w:r>
      <w:r w:rsidDel="00000000" w:rsidR="00000000" w:rsidRPr="00000000">
        <w:rPr>
          <w:rtl w:val="0"/>
        </w:rPr>
      </w:r>
    </w:p>
    <w:p w:rsidR="00000000" w:rsidDel="00000000" w:rsidP="00000000" w:rsidRDefault="00000000" w:rsidRPr="00000000" w14:paraId="00000114">
      <w:pPr>
        <w:pageBreakBefore w:val="0"/>
        <w:jc w:val="both"/>
        <w:rPr/>
      </w:pPr>
      <w:r w:rsidDel="00000000" w:rsidR="00000000" w:rsidRPr="00000000">
        <w:rPr>
          <w:rtl w:val="0"/>
        </w:rPr>
      </w:r>
    </w:p>
    <w:p w:rsidR="00000000" w:rsidDel="00000000" w:rsidP="00000000" w:rsidRDefault="00000000" w:rsidRPr="00000000" w14:paraId="00000115">
      <w:pPr>
        <w:pageBreakBefore w:val="0"/>
        <w:jc w:val="both"/>
        <w:rPr>
          <w:b w:val="1"/>
          <w:bCs w:val="1"/>
        </w:rPr>
      </w:pPr>
      <w:r w:rsidDel="00000000" w:rsidR="00000000" w:rsidRPr="00000000">
        <w:rPr>
          <w:b w:val="1"/>
          <w:bCs w:val="1"/>
          <w:rtl w:val="0"/>
        </w:rPr>
        <w:t xml:space="preserve">5.2 SOI of </w:t>
      </w:r>
      <w:r w:rsidDel="00000000" w:rsidR="00000000" w:rsidRPr="00000000">
        <w:rPr>
          <w:b w:val="1"/>
          <w:bCs w:val="1"/>
          <w:rtl w:val="0"/>
        </w:rPr>
        <w:t xml:space="preserve">Benin</w:t>
      </w:r>
      <w:r w:rsidDel="00000000" w:rsidR="00000000" w:rsidRPr="00000000">
        <w:rPr>
          <w:b w:val="1"/>
          <w:bCs w:val="1"/>
          <w:rtl w:val="0"/>
        </w:rPr>
        <w:t xml:space="preserve"> and Its Implications</w:t>
      </w:r>
    </w:p>
    <w:p w:rsidR="00000000" w:rsidDel="00000000" w:rsidP="00000000" w:rsidRDefault="00000000" w:rsidRPr="00000000" w14:paraId="00000116">
      <w:pPr>
        <w:pageBreakBefore w:val="0"/>
        <w:jc w:val="both"/>
        <w:rPr/>
      </w:pPr>
      <w:r w:rsidDel="00000000" w:rsidR="00000000" w:rsidRPr="00000000">
        <w:rPr>
          <w:rtl w:val="0"/>
        </w:rPr>
        <w:t xml:space="preserve">During the first examined period, </w:t>
      </w:r>
      <w:r w:rsidDel="00000000" w:rsidR="00000000" w:rsidRPr="00000000">
        <w:rPr>
          <w:rtl w:val="0"/>
        </w:rPr>
        <w:t xml:space="preserve">Benin</w:t>
      </w:r>
      <w:r w:rsidDel="00000000" w:rsidR="00000000" w:rsidRPr="00000000">
        <w:rPr>
          <w:rtl w:val="0"/>
        </w:rPr>
        <w:t xml:space="preserve">, for instance, has a </w:t>
      </w:r>
      <w:r w:rsidDel="00000000" w:rsidR="00000000" w:rsidRPr="00000000">
        <w:rPr>
          <w:rtl w:val="0"/>
        </w:rPr>
        <w:t xml:space="preserve">high</w:t>
      </w:r>
      <w:r w:rsidDel="00000000" w:rsidR="00000000" w:rsidRPr="00000000">
        <w:rPr>
          <w:rtl w:val="0"/>
        </w:rPr>
        <w:t xml:space="preserve"> level of structural optimality as compared with its developed peers. As the regression in Figure 10 suggests (the red curve represents export increase and the blue curve stands for opportunity gain of the corresponding industry), </w:t>
      </w:r>
      <w:r w:rsidDel="00000000" w:rsidR="00000000" w:rsidRPr="00000000">
        <w:rPr>
          <w:rtl w:val="0"/>
        </w:rPr>
        <w:t xml:space="preserve">Benin</w:t>
      </w:r>
      <w:r w:rsidDel="00000000" w:rsidR="00000000" w:rsidRPr="00000000">
        <w:rPr>
          <w:rtl w:val="0"/>
        </w:rPr>
        <w:t xml:space="preserve"> demonstrates a </w:t>
      </w:r>
      <w:r w:rsidDel="00000000" w:rsidR="00000000" w:rsidRPr="00000000">
        <w:rPr>
          <w:rtl w:val="0"/>
        </w:rPr>
        <w:t xml:space="preserve">high</w:t>
      </w:r>
      <w:r w:rsidDel="00000000" w:rsidR="00000000" w:rsidRPr="00000000">
        <w:rPr>
          <w:rtl w:val="0"/>
        </w:rPr>
        <w:t xml:space="preserve"> level of correlation with the suggested developmental path, having an adjusted R-square of around 0.73123681. </w:t>
      </w:r>
    </w:p>
    <w:p w:rsidR="00000000" w:rsidDel="00000000" w:rsidP="00000000" w:rsidRDefault="00000000" w:rsidRPr="00000000" w14:paraId="00000117">
      <w:pPr>
        <w:pageBreakBefore w:val="0"/>
        <w:jc w:val="both"/>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For the 2019-2022 years, Benin has a strong presence in the Energy Drilling and Mining and Raw Manufacturing industries. The Precious Stones industry presents a good opportunity for further investment as their opportunity gain is greater than their RID, while Raw Manufacturing has already surpassed its opportunity gain. It also could consider Metals, Textile, and Clothing and Accessories industries to improve its growth. Benin has seen a growth in GDP over those four years, with an average growth of 5.04%.</w:t>
      </w:r>
    </w:p>
    <w:p w:rsidR="00000000" w:rsidDel="00000000" w:rsidP="00000000" w:rsidRDefault="00000000" w:rsidRPr="00000000" w14:paraId="00000119">
      <w:pPr>
        <w:pageBreakBefore w:val="0"/>
        <w:jc w:val="both"/>
        <w:rPr/>
      </w:pPr>
      <w:r w:rsidDel="00000000" w:rsidR="00000000" w:rsidRPr="00000000">
        <w:rPr>
          <w:rtl w:val="0"/>
        </w:rPr>
      </w:r>
    </w:p>
    <w:p w:rsidR="00000000" w:rsidDel="00000000" w:rsidP="00000000" w:rsidRDefault="00000000" w:rsidRPr="00000000" w14:paraId="0000011A">
      <w:pPr>
        <w:pageBreakBefore w:val="0"/>
        <w:jc w:val="both"/>
        <w:rPr/>
      </w:pPr>
      <w:r w:rsidDel="00000000" w:rsidR="00000000" w:rsidRPr="00000000">
        <w:rPr/>
        <w:drawing>
          <wp:inline distB="114300" distT="114300" distL="114300" distR="114300">
            <wp:extent cx="6448425" cy="2295525"/>
            <wp:effectExtent b="0" l="0" r="0" t="0"/>
            <wp:docPr id="13" name="image17.png"/>
            <a:graphic>
              <a:graphicData uri="http://schemas.openxmlformats.org/drawingml/2006/picture">
                <pic:pic>
                  <pic:nvPicPr>
                    <pic:cNvPr id="0" name="image17.png"/>
                    <pic:cNvPicPr preferRelativeResize="0"/>
                  </pic:nvPicPr>
                  <pic:blipFill>
                    <a:blip r:embed="rId25"/>
                    <a:srcRect b="5502" l="0" r="0" t="5502"/>
                    <a:stretch>
                      <a:fillRect/>
                    </a:stretch>
                  </pic:blipFill>
                  <pic:spPr>
                    <a:xfrm>
                      <a:off x="0" y="0"/>
                      <a:ext cx="6448425" cy="2295525"/>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jc w:val="center"/>
        <w:rPr>
          <w:b w:val="1"/>
          <w:bCs w:val="1"/>
        </w:rPr>
      </w:pPr>
      <w:r w:rsidDel="00000000" w:rsidR="00000000" w:rsidRPr="00000000">
        <w:rPr>
          <w:sz w:val="22"/>
          <w:szCs w:val="22"/>
          <w:rtl w:val="0"/>
        </w:rPr>
        <w:t xml:space="preserve">Figure 10. SOI of </w:t>
      </w:r>
      <w:r w:rsidDel="00000000" w:rsidR="00000000" w:rsidRPr="00000000">
        <w:rPr>
          <w:sz w:val="22"/>
          <w:szCs w:val="22"/>
          <w:rtl w:val="0"/>
        </w:rPr>
        <w:t xml:space="preserve">Benin</w:t>
      </w:r>
      <w:r w:rsidDel="00000000" w:rsidR="00000000" w:rsidRPr="00000000">
        <w:rPr>
          <w:sz w:val="22"/>
          <w:szCs w:val="22"/>
          <w:rtl w:val="0"/>
        </w:rPr>
        <w:t xml:space="preserve"> (2019-2022)</w:t>
      </w:r>
      <w:r w:rsidDel="00000000" w:rsidR="00000000" w:rsidRPr="00000000">
        <w:rPr>
          <w:rtl w:val="0"/>
        </w:rPr>
      </w:r>
    </w:p>
    <w:p w:rsidR="00000000" w:rsidDel="00000000" w:rsidP="00000000" w:rsidRDefault="00000000" w:rsidRPr="00000000" w14:paraId="0000011C">
      <w:pPr>
        <w:pageBreakBefore w:val="0"/>
        <w:jc w:val="both"/>
        <w:rPr>
          <w:b w:val="1"/>
          <w:bCs w:val="1"/>
        </w:rPr>
      </w:pPr>
      <w:r w:rsidDel="00000000" w:rsidR="00000000" w:rsidRPr="00000000">
        <w:rPr>
          <w:rtl w:val="0"/>
        </w:rPr>
      </w:r>
    </w:p>
    <w:p w:rsidR="00000000" w:rsidDel="00000000" w:rsidP="00000000" w:rsidRDefault="00000000" w:rsidRPr="00000000" w14:paraId="0000011D">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1E">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6. Concluding Remarks</w:t>
      </w:r>
    </w:p>
    <w:p w:rsidR="00000000" w:rsidDel="00000000" w:rsidP="00000000" w:rsidRDefault="00000000" w:rsidRPr="00000000" w14:paraId="0000011F">
      <w:pPr>
        <w:pageBreakBefore w:val="0"/>
        <w:jc w:val="both"/>
        <w:rPr/>
      </w:pPr>
      <w:r w:rsidDel="00000000" w:rsidR="00000000" w:rsidRPr="00000000">
        <w:rPr>
          <w:rtl w:val="0"/>
        </w:rPr>
      </w:r>
    </w:p>
    <w:p w:rsidR="00000000" w:rsidDel="00000000" w:rsidP="00000000" w:rsidRDefault="00000000" w:rsidRPr="00000000" w14:paraId="00000120">
      <w:pPr>
        <w:pageBreakBefore w:val="0"/>
        <w:jc w:val="both"/>
        <w:rPr/>
      </w:pPr>
      <w:r w:rsidDel="00000000" w:rsidR="00000000" w:rsidRPr="00000000">
        <w:rPr>
          <w:rtl w:val="0"/>
        </w:rPr>
        <w:t xml:space="preserve">In conclusion, </w:t>
      </w:r>
      <w:r w:rsidDel="00000000" w:rsidR="00000000" w:rsidRPr="00000000">
        <w:rPr>
          <w:rtl w:val="0"/>
        </w:rPr>
        <w:t xml:space="preserve">Benin</w:t>
      </w:r>
      <w:r w:rsidDel="00000000" w:rsidR="00000000" w:rsidRPr="00000000">
        <w:rPr>
          <w:rtl w:val="0"/>
        </w:rPr>
        <w:t xml:space="preserve"> has demonstrated a </w:t>
      </w:r>
      <w:r w:rsidDel="00000000" w:rsidR="00000000" w:rsidRPr="00000000">
        <w:rPr>
          <w:rtl w:val="0"/>
        </w:rPr>
        <w:t xml:space="preserve">high</w:t>
      </w:r>
      <w:r w:rsidDel="00000000" w:rsidR="00000000" w:rsidRPr="00000000">
        <w:rPr>
          <w:rtl w:val="0"/>
        </w:rPr>
        <w:t xml:space="preserve"> level of economic growth in terms of annual GDP increase during the period from 2019-2022, concurrent with an increase in economic complexity as compared with major developed economies.</w:t>
      </w:r>
    </w:p>
    <w:p w:rsidR="00000000" w:rsidDel="00000000" w:rsidP="00000000" w:rsidRDefault="00000000" w:rsidRPr="00000000" w14:paraId="00000121">
      <w:pPr>
        <w:pageBreakBefore w:val="0"/>
        <w:jc w:val="both"/>
        <w:rPr/>
      </w:pPr>
      <w:r w:rsidDel="00000000" w:rsidR="00000000" w:rsidRPr="00000000">
        <w:rPr>
          <w:rtl w:val="0"/>
        </w:rPr>
      </w:r>
    </w:p>
    <w:p w:rsidR="00000000" w:rsidDel="00000000" w:rsidP="00000000" w:rsidRDefault="00000000" w:rsidRPr="00000000" w14:paraId="00000122">
      <w:pPr>
        <w:pageBreakBefore w:val="0"/>
        <w:jc w:val="both"/>
        <w:rPr/>
      </w:pPr>
      <w:r w:rsidDel="00000000" w:rsidR="00000000" w:rsidRPr="00000000">
        <w:rPr>
          <w:rtl w:val="0"/>
        </w:rPr>
        <w:t xml:space="preserve">We believe that the </w:t>
      </w:r>
      <w:r w:rsidDel="00000000" w:rsidR="00000000" w:rsidRPr="00000000">
        <w:rPr>
          <w:rtl w:val="0"/>
        </w:rPr>
        <w:t xml:space="preserve">consistent</w:t>
      </w:r>
      <w:r w:rsidDel="00000000" w:rsidR="00000000" w:rsidRPr="00000000">
        <w:rPr>
          <w:rtl w:val="0"/>
        </w:rPr>
        <w:t xml:space="preserve"> progress during the first period can be partially explained through the analysis of the economic and product complexity structure of </w:t>
      </w:r>
      <w:r w:rsidDel="00000000" w:rsidR="00000000" w:rsidRPr="00000000">
        <w:rPr>
          <w:rtl w:val="0"/>
        </w:rPr>
        <w:t xml:space="preserve">Benin</w:t>
      </w:r>
      <w:r w:rsidDel="00000000" w:rsidR="00000000" w:rsidRPr="00000000">
        <w:rPr>
          <w:rtl w:val="0"/>
        </w:rPr>
        <w:t xml:space="preserve"> on the industry group level. The product classification system we adopt allows us to measure the r</w:t>
      </w:r>
      <w:r w:rsidDel="00000000" w:rsidR="00000000" w:rsidRPr="00000000">
        <w:rPr>
          <w:rtl w:val="0"/>
        </w:rPr>
        <w:t xml:space="preserve">ealized industry development</w:t>
      </w:r>
      <w:r w:rsidDel="00000000" w:rsidR="00000000" w:rsidRPr="00000000">
        <w:rPr>
          <w:rtl w:val="0"/>
        </w:rPr>
        <w:t xml:space="preserve"> for various industry groups and to observe that </w:t>
      </w:r>
      <w:r w:rsidDel="00000000" w:rsidR="00000000" w:rsidRPr="00000000">
        <w:rPr>
          <w:rtl w:val="0"/>
        </w:rPr>
        <w:t xml:space="preserve">Benin</w:t>
      </w:r>
      <w:r w:rsidDel="00000000" w:rsidR="00000000" w:rsidRPr="00000000">
        <w:rPr>
          <w:rtl w:val="0"/>
        </w:rPr>
        <w:t xml:space="preserve"> </w:t>
      </w:r>
      <w:r w:rsidDel="00000000" w:rsidR="00000000" w:rsidRPr="00000000">
        <w:rPr>
          <w:rtl w:val="0"/>
        </w:rPr>
        <w:t xml:space="preserve">progressed</w:t>
      </w:r>
      <w:r w:rsidDel="00000000" w:rsidR="00000000" w:rsidRPr="00000000">
        <w:rPr>
          <w:rtl w:val="0"/>
        </w:rPr>
        <w:t xml:space="preserve"> in developing </w:t>
      </w:r>
      <w:r w:rsidDel="00000000" w:rsidR="00000000" w:rsidRPr="00000000">
        <w:rPr>
          <w:rtl w:val="0"/>
        </w:rPr>
        <w:t xml:space="preserve">most of its industries during the period, while its developed counterparts and emerging economies around the globe adopted much more complex and progressive paths.</w:t>
      </w:r>
      <w:r w:rsidDel="00000000" w:rsidR="00000000" w:rsidRPr="00000000">
        <w:rPr>
          <w:rtl w:val="0"/>
        </w:rPr>
      </w:r>
    </w:p>
    <w:p w:rsidR="00000000" w:rsidDel="00000000" w:rsidP="00000000" w:rsidRDefault="00000000" w:rsidRPr="00000000" w14:paraId="00000123">
      <w:pPr>
        <w:pageBreakBefore w:val="0"/>
        <w:jc w:val="both"/>
        <w:rPr/>
      </w:pPr>
      <w:r w:rsidDel="00000000" w:rsidR="00000000" w:rsidRPr="00000000">
        <w:rPr>
          <w:rtl w:val="0"/>
        </w:rPr>
      </w:r>
    </w:p>
    <w:p w:rsidR="00000000" w:rsidDel="00000000" w:rsidP="00000000" w:rsidRDefault="00000000" w:rsidRPr="00000000" w14:paraId="00000124">
      <w:pPr>
        <w:pageBreakBefore w:val="0"/>
        <w:jc w:val="both"/>
        <w:rPr/>
      </w:pPr>
      <w:r w:rsidDel="00000000" w:rsidR="00000000" w:rsidRPr="00000000">
        <w:rPr>
          <w:rtl w:val="0"/>
        </w:rPr>
        <w:t xml:space="preserve">Based on our analysis of the opportunity gain and sensitivity analysis of major industry groups for 2019-2022, </w:t>
      </w:r>
      <w:r w:rsidDel="00000000" w:rsidR="00000000" w:rsidRPr="00000000">
        <w:rPr>
          <w:rtl w:val="0"/>
        </w:rPr>
        <w:t xml:space="preserve">Benin</w:t>
      </w:r>
      <w:r w:rsidDel="00000000" w:rsidR="00000000" w:rsidRPr="00000000">
        <w:rPr>
          <w:rtl w:val="0"/>
        </w:rPr>
        <w:t xml:space="preserve"> can further its gains by prioritizing Precious Stones, Textiles, and Clothing and Accessories. We further note that </w:t>
      </w:r>
      <w:r w:rsidDel="00000000" w:rsidR="00000000" w:rsidRPr="00000000">
        <w:rPr>
          <w:rtl w:val="0"/>
        </w:rPr>
        <w:t xml:space="preserve">Benin</w:t>
      </w:r>
      <w:r w:rsidDel="00000000" w:rsidR="00000000" w:rsidRPr="00000000">
        <w:rPr>
          <w:rtl w:val="0"/>
        </w:rPr>
        <w:t xml:space="preserve"> has a </w:t>
      </w:r>
      <w:r w:rsidDel="00000000" w:rsidR="00000000" w:rsidRPr="00000000">
        <w:rPr>
          <w:rtl w:val="0"/>
        </w:rPr>
        <w:t xml:space="preserve">balanced development strategy</w:t>
      </w:r>
      <w:r w:rsidDel="00000000" w:rsidR="00000000" w:rsidRPr="00000000">
        <w:rPr>
          <w:rtl w:val="0"/>
        </w:rPr>
        <w:t xml:space="preserve"> that indicates a </w:t>
      </w:r>
      <w:r w:rsidDel="00000000" w:rsidR="00000000" w:rsidRPr="00000000">
        <w:rPr>
          <w:rtl w:val="0"/>
        </w:rPr>
        <w:t xml:space="preserve">high</w:t>
      </w:r>
      <w:r w:rsidDel="00000000" w:rsidR="00000000" w:rsidRPr="00000000">
        <w:rPr>
          <w:rtl w:val="0"/>
        </w:rPr>
        <w:t xml:space="preserve"> level (compared to other </w:t>
      </w:r>
      <w:r w:rsidDel="00000000" w:rsidR="00000000" w:rsidRPr="00000000">
        <w:rPr>
          <w:rtl w:val="0"/>
        </w:rPr>
        <w:t xml:space="preserve">developed</w:t>
      </w:r>
      <w:r w:rsidDel="00000000" w:rsidR="00000000" w:rsidRPr="00000000">
        <w:rPr>
          <w:rtl w:val="0"/>
        </w:rPr>
        <w:t xml:space="preserve"> countries) of structural optimality on the complexity level, having an adjusted R-square of around 73.12%. Since a </w:t>
      </w:r>
      <w:r w:rsidDel="00000000" w:rsidR="00000000" w:rsidRPr="00000000">
        <w:rPr>
          <w:rtl w:val="0"/>
        </w:rPr>
        <w:t xml:space="preserve">positive</w:t>
      </w:r>
      <w:r w:rsidDel="00000000" w:rsidR="00000000" w:rsidRPr="00000000">
        <w:rPr>
          <w:rtl w:val="0"/>
        </w:rPr>
        <w:t xml:space="preserve"> exists between five-year GDP growth and the structural optimality index of an economy as we define and calculate, </w:t>
      </w:r>
      <w:r w:rsidDel="00000000" w:rsidR="00000000" w:rsidRPr="00000000">
        <w:rPr>
          <w:rtl w:val="0"/>
        </w:rPr>
        <w:t xml:space="preserve">Benin</w:t>
      </w:r>
      <w:r w:rsidDel="00000000" w:rsidR="00000000" w:rsidRPr="00000000">
        <w:rPr>
          <w:rtl w:val="0"/>
        </w:rPr>
        <w:t xml:space="preserve"> indeed has an </w:t>
      </w:r>
      <w:r w:rsidDel="00000000" w:rsidR="00000000" w:rsidRPr="00000000">
        <w:rPr>
          <w:rtl w:val="0"/>
        </w:rPr>
        <w:t xml:space="preserve">optimal</w:t>
      </w:r>
      <w:r w:rsidDel="00000000" w:rsidR="00000000" w:rsidRPr="00000000">
        <w:rPr>
          <w:rtl w:val="0"/>
        </w:rPr>
        <w:t xml:space="preserve"> growth experience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125">
      <w:pPr>
        <w:pageBreakBefore w:val="0"/>
        <w:jc w:val="both"/>
        <w:rPr/>
      </w:pPr>
      <w:r w:rsidDel="00000000" w:rsidR="00000000" w:rsidRPr="00000000">
        <w:rPr>
          <w:rtl w:val="0"/>
        </w:rPr>
      </w:r>
    </w:p>
    <w:p w:rsidR="00000000" w:rsidDel="00000000" w:rsidP="00000000" w:rsidRDefault="00000000" w:rsidRPr="00000000" w14:paraId="00000126">
      <w:pPr>
        <w:pageBreakBefore w:val="0"/>
        <w:jc w:val="both"/>
        <w:rPr/>
      </w:pPr>
      <w:r w:rsidDel="00000000" w:rsidR="00000000" w:rsidRPr="00000000">
        <w:rPr>
          <w:rtl w:val="0"/>
        </w:rPr>
      </w:r>
    </w:p>
    <w:p w:rsidR="00000000" w:rsidDel="00000000" w:rsidP="00000000" w:rsidRDefault="00000000" w:rsidRPr="00000000" w14:paraId="00000127">
      <w:pPr>
        <w:pageBreakBefore w:val="0"/>
        <w:jc w:val="both"/>
        <w:rPr/>
      </w:pPr>
      <w:r w:rsidDel="00000000" w:rsidR="00000000" w:rsidRPr="00000000">
        <w:rPr>
          <w:rtl w:val="0"/>
        </w:rPr>
      </w:r>
    </w:p>
    <w:p w:rsidR="00000000" w:rsidDel="00000000" w:rsidP="00000000" w:rsidRDefault="00000000" w:rsidRPr="00000000" w14:paraId="00000128">
      <w:pPr>
        <w:pageBreakBefore w:val="0"/>
        <w:jc w:val="both"/>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29">
      <w:pPr>
        <w:pageBreakBefore w:val="0"/>
        <w:jc w:val="both"/>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12A">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2B">
      <w:pPr>
        <w:pageBreakBefore w:val="0"/>
        <w:jc w:val="both"/>
        <w:rPr>
          <w:color w:val="000000"/>
          <w:highlight w:val="white"/>
        </w:rPr>
      </w:pPr>
      <w:r w:rsidDel="00000000" w:rsidR="00000000" w:rsidRPr="00000000">
        <w:rPr>
          <w:color w:val="000000"/>
          <w:highlight w:val="white"/>
          <w:rtl w:val="0"/>
        </w:rPr>
        <w:t xml:space="preserve">Hausmann, R., Hidalgo, C., Bustos, S., Coscia, M., Chung, S., Jimenez, J., Simoes, A. and Yıldırım, M. (2007). </w:t>
      </w:r>
      <w:r w:rsidDel="00000000" w:rsidR="00000000" w:rsidRPr="00000000">
        <w:rPr>
          <w:i w:val="1"/>
          <w:iCs w:val="1"/>
          <w:color w:val="000000"/>
          <w:highlight w:val="white"/>
          <w:rtl w:val="0"/>
        </w:rPr>
        <w:t xml:space="preserve">The Atlas of Economic Complexity</w:t>
      </w:r>
      <w:r w:rsidDel="00000000" w:rsidR="00000000" w:rsidRPr="00000000">
        <w:rPr>
          <w:color w:val="000000"/>
          <w:highlight w:val="white"/>
          <w:rtl w:val="0"/>
        </w:rPr>
        <w:t xml:space="preserve">. [online] Atlas.cid.harvard.edu. Available at: http://atlas.cid.harvard.edu/.</w:t>
      </w:r>
    </w:p>
    <w:p w:rsidR="00000000" w:rsidDel="00000000" w:rsidP="00000000" w:rsidRDefault="00000000" w:rsidRPr="00000000" w14:paraId="0000012C">
      <w:pPr>
        <w:pageBreakBefore w:val="0"/>
        <w:jc w:val="both"/>
        <w:rPr>
          <w:color w:val="000000"/>
          <w:highlight w:val="white"/>
        </w:rPr>
      </w:pPr>
      <w:r w:rsidDel="00000000" w:rsidR="00000000" w:rsidRPr="00000000">
        <w:rPr>
          <w:rtl w:val="0"/>
        </w:rPr>
      </w:r>
    </w:p>
    <w:p w:rsidR="00000000" w:rsidDel="00000000" w:rsidP="00000000" w:rsidRDefault="00000000" w:rsidRPr="00000000" w14:paraId="0000012D">
      <w:pPr>
        <w:pageBreakBefore w:val="0"/>
        <w:jc w:val="both"/>
        <w:rPr>
          <w:color w:val="000000"/>
          <w:highlight w:val="white"/>
        </w:rPr>
      </w:pPr>
      <w:r w:rsidDel="00000000" w:rsidR="00000000" w:rsidRPr="00000000">
        <w:rPr>
          <w:color w:val="000000"/>
          <w:highlight w:val="white"/>
          <w:rtl w:val="0"/>
        </w:rPr>
        <w:t xml:space="preserve">Balassa, B., “The Purchasing Power Parity Doctrine - A Reapprais- al,” </w:t>
      </w:r>
      <w:r w:rsidDel="00000000" w:rsidR="00000000" w:rsidRPr="00000000">
        <w:rPr>
          <w:i w:val="1"/>
          <w:iCs w:val="1"/>
          <w:color w:val="000000"/>
          <w:highlight w:val="white"/>
          <w:rtl w:val="0"/>
        </w:rPr>
        <w:t xml:space="preserve">Journal of Political Economy </w:t>
      </w:r>
      <w:r w:rsidDel="00000000" w:rsidR="00000000" w:rsidRPr="00000000">
        <w:rPr>
          <w:b w:val="1"/>
          <w:bCs w:val="1"/>
          <w:color w:val="000000"/>
          <w:highlight w:val="white"/>
          <w:rtl w:val="0"/>
        </w:rPr>
        <w:t xml:space="preserve">72</w:t>
      </w:r>
      <w:r w:rsidDel="00000000" w:rsidR="00000000" w:rsidRPr="00000000">
        <w:rPr>
          <w:color w:val="000000"/>
          <w:highlight w:val="white"/>
          <w:rtl w:val="0"/>
        </w:rPr>
        <w:t xml:space="preserve">, 584-596 (1964). </w:t>
      </w:r>
    </w:p>
    <w:p w:rsidR="00000000" w:rsidDel="00000000" w:rsidP="00000000" w:rsidRDefault="00000000" w:rsidRPr="00000000" w14:paraId="0000012E">
      <w:pPr>
        <w:pageBreakBefore w:val="0"/>
        <w:jc w:val="both"/>
        <w:rPr>
          <w:color w:val="000000"/>
          <w:highlight w:val="white"/>
        </w:rPr>
      </w:pPr>
      <w:r w:rsidDel="00000000" w:rsidR="00000000" w:rsidRPr="00000000">
        <w:rPr>
          <w:rtl w:val="0"/>
        </w:rPr>
      </w:r>
    </w:p>
    <w:p w:rsidR="00000000" w:rsidDel="00000000" w:rsidP="00000000" w:rsidRDefault="00000000" w:rsidRPr="00000000" w14:paraId="0000012F">
      <w:pPr>
        <w:pageBreakBefore w:val="0"/>
        <w:jc w:val="both"/>
        <w:rPr>
          <w:color w:val="000000"/>
          <w:highlight w:val="white"/>
        </w:rPr>
      </w:pPr>
      <w:r w:rsidDel="00000000" w:rsidR="00000000" w:rsidRPr="00000000">
        <w:rPr>
          <w:color w:val="000000"/>
          <w:highlight w:val="white"/>
          <w:rtl w:val="0"/>
        </w:rPr>
        <w:t xml:space="preserve">Feenstra, R.; Lipsey, R.; Deng, H.; Ma, A. &amp; Mo, H. “World Trade Flows: 1962-2000” NBER working paper 11040. National Bureau of Economic Research, Cambridge MA (2005). </w:t>
      </w:r>
    </w:p>
    <w:p w:rsidR="00000000" w:rsidDel="00000000" w:rsidP="00000000" w:rsidRDefault="00000000" w:rsidRPr="00000000" w14:paraId="00000130">
      <w:pPr>
        <w:pageBreakBefore w:val="0"/>
        <w:jc w:val="both"/>
        <w:rPr>
          <w:color w:val="000000"/>
          <w:highlight w:val="white"/>
        </w:rPr>
      </w:pPr>
      <w:r w:rsidDel="00000000" w:rsidR="00000000" w:rsidRPr="00000000">
        <w:rPr>
          <w:rtl w:val="0"/>
        </w:rPr>
      </w:r>
    </w:p>
    <w:p w:rsidR="00000000" w:rsidDel="00000000" w:rsidP="00000000" w:rsidRDefault="00000000" w:rsidRPr="00000000" w14:paraId="00000131">
      <w:pPr>
        <w:pageBreakBefore w:val="0"/>
        <w:jc w:val="both"/>
        <w:rPr>
          <w:color w:val="000000"/>
          <w:highlight w:val="white"/>
        </w:rPr>
      </w:pPr>
      <w:r w:rsidDel="00000000" w:rsidR="00000000" w:rsidRPr="00000000">
        <w:rPr>
          <w:color w:val="000000"/>
          <w:highlight w:val="white"/>
          <w:rtl w:val="0"/>
        </w:rPr>
        <w:t xml:space="preserve">United Nations Commodity Trade Statistics Database (http://comtrade.un.org/db/), accessed in August 2019. </w:t>
      </w:r>
    </w:p>
    <w:p w:rsidR="00000000" w:rsidDel="00000000" w:rsidP="00000000" w:rsidRDefault="00000000" w:rsidRPr="00000000" w14:paraId="00000132">
      <w:pPr>
        <w:pageBreakBefore w:val="0"/>
        <w:jc w:val="both"/>
        <w:rPr>
          <w:color w:val="000000"/>
          <w:highlight w:val="white"/>
        </w:rPr>
      </w:pPr>
      <w:r w:rsidDel="00000000" w:rsidR="00000000" w:rsidRPr="00000000">
        <w:rPr>
          <w:rtl w:val="0"/>
        </w:rPr>
      </w:r>
    </w:p>
    <w:p w:rsidR="00000000" w:rsidDel="00000000" w:rsidP="00000000" w:rsidRDefault="00000000" w:rsidRPr="00000000" w14:paraId="00000133">
      <w:pPr>
        <w:pageBreakBefore w:val="0"/>
        <w:jc w:val="both"/>
        <w:rPr>
          <w:color w:val="000000"/>
          <w:highlight w:val="white"/>
        </w:rPr>
      </w:pPr>
      <w:r w:rsidDel="00000000" w:rsidR="00000000" w:rsidRPr="00000000">
        <w:rPr>
          <w:color w:val="000000"/>
          <w:highlight w:val="white"/>
          <w:rtl w:val="0"/>
        </w:rPr>
        <w:t xml:space="preserve">The World Economic Forum, “The global competitiveness report,” (various years). </w:t>
      </w:r>
    </w:p>
    <w:p w:rsidR="00000000" w:rsidDel="00000000" w:rsidP="00000000" w:rsidRDefault="00000000" w:rsidRPr="00000000" w14:paraId="00000134">
      <w:pPr>
        <w:pageBreakBefore w:val="0"/>
        <w:jc w:val="both"/>
        <w:rPr>
          <w:color w:val="000000"/>
          <w:highlight w:val="white"/>
        </w:rPr>
      </w:pPr>
      <w:r w:rsidDel="00000000" w:rsidR="00000000" w:rsidRPr="00000000">
        <w:rPr>
          <w:rtl w:val="0"/>
        </w:rPr>
      </w:r>
    </w:p>
    <w:p w:rsidR="00000000" w:rsidDel="00000000" w:rsidP="00000000" w:rsidRDefault="00000000" w:rsidRPr="00000000" w14:paraId="00000135">
      <w:pPr>
        <w:pageBreakBefore w:val="0"/>
        <w:jc w:val="both"/>
        <w:rPr>
          <w:color w:val="000000"/>
          <w:highlight w:val="white"/>
        </w:rPr>
      </w:pPr>
      <w:r w:rsidDel="00000000" w:rsidR="00000000" w:rsidRPr="00000000">
        <w:rPr>
          <w:color w:val="000000"/>
          <w:highlight w:val="white"/>
          <w:rtl w:val="0"/>
        </w:rPr>
        <w:t xml:space="preserve">Barro, R. &amp; Lee, J-W. “A New Data Set of Educational Attainment in the World, 1950-2010,” NBER Working Paper No. 1590 (2010). </w:t>
      </w:r>
    </w:p>
    <w:p w:rsidR="00000000" w:rsidDel="00000000" w:rsidP="00000000" w:rsidRDefault="00000000" w:rsidRPr="00000000" w14:paraId="00000136">
      <w:pPr>
        <w:pageBreakBefore w:val="0"/>
        <w:jc w:val="both"/>
        <w:rPr>
          <w:color w:val="000000"/>
          <w:highlight w:val="white"/>
        </w:rPr>
      </w:pPr>
      <w:r w:rsidDel="00000000" w:rsidR="00000000" w:rsidRPr="00000000">
        <w:rPr>
          <w:rtl w:val="0"/>
        </w:rPr>
      </w:r>
    </w:p>
    <w:p w:rsidR="00000000" w:rsidDel="00000000" w:rsidP="00000000" w:rsidRDefault="00000000" w:rsidRPr="00000000" w14:paraId="00000137">
      <w:pPr>
        <w:pageBreakBefore w:val="0"/>
        <w:jc w:val="both"/>
        <w:rPr>
          <w:color w:val="000000"/>
          <w:highlight w:val="white"/>
        </w:rPr>
      </w:pPr>
      <w:r w:rsidDel="00000000" w:rsidR="00000000" w:rsidRPr="00000000">
        <w:rPr>
          <w:color w:val="000000"/>
          <w:highlight w:val="white"/>
          <w:rtl w:val="0"/>
        </w:rPr>
        <w:t xml:space="preserve">Kaufmann, D. &amp; Kraay, A. “Governance Indicators: Where Are We, Where Should We Be Going?” Policy Research Working Paper 4370. Washington, DC: World Bank (2008). </w:t>
      </w:r>
    </w:p>
    <w:p w:rsidR="00000000" w:rsidDel="00000000" w:rsidP="00000000" w:rsidRDefault="00000000" w:rsidRPr="00000000" w14:paraId="00000138">
      <w:pPr>
        <w:pageBreakBefore w:val="0"/>
        <w:jc w:val="both"/>
        <w:rPr>
          <w:color w:val="000000"/>
          <w:highlight w:val="white"/>
        </w:rPr>
      </w:pPr>
      <w:r w:rsidDel="00000000" w:rsidR="00000000" w:rsidRPr="00000000">
        <w:rPr>
          <w:rtl w:val="0"/>
        </w:rPr>
      </w:r>
    </w:p>
    <w:p w:rsidR="00000000" w:rsidDel="00000000" w:rsidP="00000000" w:rsidRDefault="00000000" w:rsidRPr="00000000" w14:paraId="00000139">
      <w:pPr>
        <w:pageBreakBefore w:val="0"/>
        <w:jc w:val="both"/>
        <w:rPr>
          <w:color w:val="000000"/>
          <w:highlight w:val="white"/>
        </w:rPr>
      </w:pPr>
      <w:r w:rsidDel="00000000" w:rsidR="00000000" w:rsidRPr="00000000">
        <w:rPr>
          <w:color w:val="000000"/>
          <w:highlight w:val="white"/>
          <w:rtl w:val="0"/>
        </w:rPr>
        <w:t xml:space="preserve">Hanushek, E.A. &amp; Woessmann, L. “The Role of Cognitive Skills in Economic Development,” Journal of Economic Literature 46(3), 607- 668 (2008). </w:t>
      </w:r>
    </w:p>
    <w:p w:rsidR="00000000" w:rsidDel="00000000" w:rsidP="00000000" w:rsidRDefault="00000000" w:rsidRPr="00000000" w14:paraId="0000013A">
      <w:pPr>
        <w:pageBreakBefore w:val="0"/>
        <w:jc w:val="both"/>
        <w:rPr/>
      </w:pPr>
      <w:r w:rsidDel="00000000" w:rsidR="00000000" w:rsidRPr="00000000">
        <w:rPr>
          <w:rtl w:val="0"/>
        </w:rPr>
      </w:r>
    </w:p>
    <w:sectPr>
      <w:headerReference r:id="rId26" w:type="default"/>
      <w:footerReference r:id="rId27" w:type="default"/>
      <w:footerReference r:id="rId28" w:type="first"/>
      <w:footerReference r:id="rId29" w:type="even"/>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PT Sans Narrow">
    <w:embedRegular w:fontKey="{00000000-0000-0000-0000-000000000000}" r:id="rId1" w:subsetted="0"/>
    <w:embedBold w:fontKey="{00000000-0000-0000-0000-000000000000}" r:id="rId2" w:subsetted="0"/>
  </w:font>
  <w:font w:name="Times"/>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1">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2">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3">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22" Type="http://schemas.openxmlformats.org/officeDocument/2006/relationships/image" Target="media/image6.png"/><Relationship Id="rId21" Type="http://schemas.openxmlformats.org/officeDocument/2006/relationships/image" Target="media/image5.jpg"/><Relationship Id="rId24" Type="http://schemas.openxmlformats.org/officeDocument/2006/relationships/image" Target="media/image7.png"/><Relationship Id="rId23"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26" Type="http://schemas.openxmlformats.org/officeDocument/2006/relationships/header" Target="header1.xml"/><Relationship Id="rId25" Type="http://schemas.openxmlformats.org/officeDocument/2006/relationships/image" Target="media/image17.png"/><Relationship Id="rId28" Type="http://schemas.openxmlformats.org/officeDocument/2006/relationships/footer" Target="footer3.xml"/><Relationship Id="rId27"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footer" Target="footer1.xml"/><Relationship Id="rId7" Type="http://schemas.openxmlformats.org/officeDocument/2006/relationships/image" Target="media/image20.png"/><Relationship Id="rId8" Type="http://schemas.openxmlformats.org/officeDocument/2006/relationships/image" Target="media/image12.png"/><Relationship Id="rId11" Type="http://schemas.openxmlformats.org/officeDocument/2006/relationships/image" Target="media/image13.png"/><Relationship Id="rId10" Type="http://schemas.openxmlformats.org/officeDocument/2006/relationships/image" Target="media/image9.png"/><Relationship Id="rId13" Type="http://schemas.openxmlformats.org/officeDocument/2006/relationships/image" Target="media/image14.png"/><Relationship Id="rId12" Type="http://schemas.openxmlformats.org/officeDocument/2006/relationships/image" Target="media/image15.png"/><Relationship Id="rId15" Type="http://schemas.openxmlformats.org/officeDocument/2006/relationships/image" Target="media/image8.jpg"/><Relationship Id="rId14" Type="http://schemas.openxmlformats.org/officeDocument/2006/relationships/image" Target="media/image10.png"/><Relationship Id="rId17" Type="http://schemas.openxmlformats.org/officeDocument/2006/relationships/image" Target="media/image4.png"/><Relationship Id="rId16" Type="http://schemas.openxmlformats.org/officeDocument/2006/relationships/image" Target="media/image1.png"/><Relationship Id="rId19" Type="http://schemas.openxmlformats.org/officeDocument/2006/relationships/image" Target="media/image3.png"/><Relationship Id="rId18" Type="http://schemas.openxmlformats.org/officeDocument/2006/relationships/image" Target="media/image19.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