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 name="image6.png"/>
            <a:graphic>
              <a:graphicData uri="http://schemas.openxmlformats.org/drawingml/2006/picture">
                <pic:pic>
                  <pic:nvPicPr>
                    <pic:cNvPr descr="horizontal line" id="0" name="image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17.png"/>
            <a:graphic>
              <a:graphicData uri="http://schemas.openxmlformats.org/drawingml/2006/picture">
                <pic:pic>
                  <pic:nvPicPr>
                    <pic:cNvPr id="0" name="image17.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China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China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China went through during the period from 2019 to 2022. Specifically, we dive into the topic through a macroeconomic overview of China from the perspective of Gross Domestic Product (GDP) and Economic Complexity Index (ECI), which reflect countries’ production capability and production structure, respectively. We find that during the period of our interest, China demonstrated a high level of economic growth with an average annual GDP growth rate of 6.25% between 2019 and 2022, with a similar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negative progress during the period, we believe, can be partially explained through the analysis of the economic and product complexity structure of China on the industry group level, as well as the stagnating macro and microeconomic strategies. The product classification system we adopt allows us to measure the realized industry development for various industry groups and to observe that China regressed in developing most of its industries during the period while its Asian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China could further its gains by prioritizing Textile and Chemicals in 2022. We further note that China has a heavily mismatched development strategy that indicates a low level (compared to other Asian emerging countries) of structural optimality on the complexity level, having an adjusted R-square of around -1% 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China indeed has a</w:t>
      </w:r>
      <w:r w:rsidDel="00000000" w:rsidR="00000000" w:rsidRPr="00000000">
        <w:rPr>
          <w:rtl w:val="0"/>
        </w:rPr>
        <w:t xml:space="preserve"> </w:t>
      </w:r>
      <w:r w:rsidDel="00000000" w:rsidR="00000000" w:rsidRPr="00000000">
        <w:rPr>
          <w:rtl w:val="0"/>
        </w:rPr>
        <w:t xml:space="preserve">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China’s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China went through during the period from 2019 to 2022, before and after the COVID pandemic. Specifically, we dive into the topic through a macroeconomic overview of China from the perspective of Gross Domestic Product (GDP) and Economic Complexity Index (ECI), which reflect countries’ production capability and production structure, respectively. We then analyze the industrial framework and changes of China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China,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 illustrates the time-series GDP results for China and three of its peer countries Japan, Singapore, and Germany from 2019 to 2022. Similar to the other countries, China</w:t>
      </w:r>
      <w:r w:rsidDel="00000000" w:rsidR="00000000" w:rsidRPr="00000000">
        <w:rPr>
          <w:rtl w:val="0"/>
        </w:rPr>
        <w:t xml:space="preserve"> </w:t>
      </w:r>
      <w:r w:rsidDel="00000000" w:rsidR="00000000" w:rsidRPr="00000000">
        <w:rPr>
          <w:rtl w:val="0"/>
        </w:rPr>
        <w:t xml:space="preserve">displayed an eventual upward trend over the period; however, its growth was more consistent than other countries’ growth. China’s average annual GDP growth rate (6.25%) is the highest of the three, as it is greater than Singapore’s 6.07%, Germany’s 1.26%, and Japan’s -4.43%. </w:t>
      </w:r>
    </w:p>
    <w:p w:rsidR="00000000" w:rsidDel="00000000" w:rsidP="00000000" w:rsidRDefault="00000000" w:rsidRPr="00000000" w14:paraId="0000001E">
      <w:pPr>
        <w:jc w:val="center"/>
        <w:rPr>
          <w:i w:val="1"/>
          <w:iCs w:val="1"/>
          <w:color w:val="444499"/>
          <w:sz w:val="20"/>
          <w:szCs w:val="20"/>
        </w:rPr>
      </w:pPr>
      <w:r w:rsidDel="00000000" w:rsidR="00000000" w:rsidRPr="00000000">
        <w:rPr/>
        <w:drawing>
          <wp:inline distB="114300" distT="114300" distL="114300" distR="114300">
            <wp:extent cx="4511513" cy="3374753"/>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511513" cy="337475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0">
      <w:pPr>
        <w:pageBreakBefore w:val="0"/>
        <w:jc w:val="left"/>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As shown, China exhibits a</w:t>
      </w:r>
      <w:r w:rsidDel="00000000" w:rsidR="00000000" w:rsidRPr="00000000">
        <w:rPr>
          <w:rtl w:val="0"/>
        </w:rPr>
        <w:t xml:space="preserve"> </w:t>
      </w:r>
      <w:r w:rsidDel="00000000" w:rsidR="00000000" w:rsidRPr="00000000">
        <w:rPr>
          <w:rtl w:val="0"/>
        </w:rPr>
        <w:t xml:space="preserve">large increase in production capability from 2019 to 2022. China is in a moderately weak position in ECI terms, as its ECI change of -174.98%, but is less than Japan (-203.32%), Singapore (-298.71%) and Germany (-180.12%). China exhibits a large decrease in production capability in 2022 to levels not seen prior, with the pandemic being one of the key reasons. </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4603750" cy="3452813"/>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603750"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8">
      <w:pPr>
        <w:pageBreakBefore w:val="0"/>
        <w:jc w:val="left"/>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Figure 3 offers a further comparison of GDP Growth and ECI over the time span from 2019-2022 for China. The GDP growth is accompanied by a decline in ECI. The results show that the economic growth experienced by China during the period from 2019 to 2022 is not consistent with the predictions by ECI and that China made relatively weak progress towards effectively developing a competitive product space that helps to accumulate complicated knowledge and technology. In order to provide a more concrete answer to why this has happened, we will dive into an analysis of China’s production structure and its product space designs in the next few sections.</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4321013" cy="3231905"/>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321013" cy="323190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w:t>
      </w:r>
      <w:r w:rsidDel="00000000" w:rsidR="00000000" w:rsidRPr="00000000">
        <w:rPr>
          <w:sz w:val="22"/>
          <w:szCs w:val="22"/>
          <w:rtl w:val="0"/>
        </w:rPr>
        <w:t xml:space="preserve">China (2019-2022)</w:t>
      </w:r>
      <w:r w:rsidDel="00000000" w:rsidR="00000000" w:rsidRPr="00000000">
        <w:rPr>
          <w:rtl w:val="0"/>
        </w:rPr>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2">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5">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6">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2">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C">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6">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7">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F">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3">
            <w:pPr>
              <w:pageBreakBefore w:val="0"/>
              <w:jc w:val="center"/>
              <w:rPr/>
            </w:pPr>
            <w:r w:rsidDel="00000000" w:rsidR="00000000" w:rsidRPr="00000000">
              <w:rPr>
                <w:rtl w:val="0"/>
              </w:rPr>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7">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C">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4">
      <w:pPr>
        <w:pageBreakBefore w:val="0"/>
        <w:jc w:val="center"/>
        <w:rPr>
          <w:sz w:val="22"/>
          <w:szCs w:val="22"/>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aforementioned product categorization, we aim to capture China</w:t>
      </w:r>
      <w:r w:rsidDel="00000000" w:rsidR="00000000" w:rsidRPr="00000000">
        <w:rPr>
          <w:rtl w:val="0"/>
        </w:rPr>
        <w:t xml:space="preserve">'</w:t>
      </w:r>
      <w:r w:rsidDel="00000000" w:rsidR="00000000" w:rsidRPr="00000000">
        <w:rPr>
          <w:rtl w:val="0"/>
        </w:rPr>
        <w:t xml:space="preserve">s realized industry production strategy between 2019 to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the RID of China and the 18 product groups in 2022, where a positive RID indicates a shortening of the distance (i.e., advancement of the industry), and a negative RID indicates the reverse. It is notable that the number of industries with positive RID is moderately high in 2022.</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0.032029779</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0.048161341</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0.101850246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-0.016801912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0.016758538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0.062526134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0.021120889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0.046691307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-0.023385599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0.039346059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-0.005997567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0.001104614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0.020577299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0.031168831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-0.021037904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-0.017480502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-0.003604898</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-0.019682205</w:t>
            </w:r>
          </w:p>
        </w:tc>
      </w:tr>
    </w:tbl>
    <w:p w:rsidR="00000000" w:rsidDel="00000000" w:rsidP="00000000" w:rsidRDefault="00000000" w:rsidRPr="00000000" w14:paraId="000000B0">
      <w:pPr>
        <w:jc w:val="left"/>
        <w:rPr>
          <w:sz w:val="22"/>
          <w:szCs w:val="22"/>
        </w:rPr>
      </w:pPr>
      <w:r w:rsidDel="00000000" w:rsidR="00000000" w:rsidRPr="00000000">
        <w:rPr>
          <w:rtl w:val="0"/>
        </w:rPr>
      </w:r>
    </w:p>
    <w:p w:rsidR="00000000" w:rsidDel="00000000" w:rsidP="00000000" w:rsidRDefault="00000000" w:rsidRPr="00000000" w14:paraId="000000B1">
      <w:pPr>
        <w:pageBreakBefore w:val="0"/>
        <w:jc w:val="center"/>
        <w:rPr>
          <w:b w:val="1"/>
          <w:bCs w:val="1"/>
        </w:rPr>
      </w:pPr>
      <w:r w:rsidDel="00000000" w:rsidR="00000000" w:rsidRPr="00000000">
        <w:rPr>
          <w:sz w:val="22"/>
          <w:szCs w:val="22"/>
          <w:rtl w:val="0"/>
        </w:rPr>
        <w:t xml:space="preserve">Table 3. Realized Industry Development (RID) of China</w:t>
      </w:r>
      <w:r w:rsidDel="00000000" w:rsidR="00000000" w:rsidRPr="00000000">
        <w:rPr>
          <w:rtl w:val="0"/>
        </w:rPr>
      </w:r>
    </w:p>
    <w:p w:rsidR="00000000" w:rsidDel="00000000" w:rsidP="00000000" w:rsidRDefault="00000000" w:rsidRPr="00000000" w14:paraId="000000B2">
      <w:pPr>
        <w:pageBreakBefore w:val="0"/>
        <w:jc w:val="both"/>
        <w:rPr>
          <w:b w:val="1"/>
          <w:bCs w:val="1"/>
        </w:rPr>
      </w:pPr>
      <w:r w:rsidDel="00000000" w:rsidR="00000000" w:rsidRPr="00000000">
        <w:rPr>
          <w:rtl w:val="0"/>
        </w:rPr>
      </w:r>
    </w:p>
    <w:p w:rsidR="00000000" w:rsidDel="00000000" w:rsidP="00000000" w:rsidRDefault="00000000" w:rsidRPr="00000000" w14:paraId="000000B3">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4">
      <w:pPr>
        <w:jc w:val="both"/>
        <w:rPr>
          <w:sz w:val="22"/>
          <w:szCs w:val="22"/>
        </w:rPr>
      </w:pPr>
      <w:r w:rsidDel="00000000" w:rsidR="00000000" w:rsidRPr="00000000">
        <w:rPr>
          <w:rtl w:val="0"/>
        </w:rPr>
        <w:t xml:space="preserve">Table 4a below summarize how the production strategy adopted by China compares with selected leading economies in the world across different years, as measured in RID. Leading economies such as France, USA, and United Arab Emirates gave a considerable level of attention to more advanced product groups such as Machinery and Construction, Wood Products, and Chemical Manufacturing in 2022.</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tbl>
      <w:tblPr>
        <w:tblStyle w:val="Table5"/>
        <w:tblW w:w="8955.0" w:type="dxa"/>
        <w:jc w:val="center"/>
        <w:tblLayout w:type="fixed"/>
        <w:tblLook w:val="04A0"/>
      </w:tblPr>
      <w:tblGrid>
        <w:gridCol w:w="1110"/>
        <w:gridCol w:w="2625"/>
        <w:gridCol w:w="2580"/>
        <w:gridCol w:w="2640"/>
        <w:tblGridChange w:id="0">
          <w:tblGrid>
            <w:gridCol w:w="1110"/>
            <w:gridCol w:w="2625"/>
            <w:gridCol w:w="2580"/>
            <w:gridCol w:w="2640"/>
          </w:tblGrid>
        </w:tblGridChange>
      </w:tblGrid>
      <w:tr>
        <w:trPr>
          <w:cantSplit w:val="0"/>
          <w:tblHeader w:val="0"/>
        </w:trPr>
        <w:tc>
          <w:tcPr>
            <w:vAlign w:val="center"/>
          </w:tcPr>
          <w:p w:rsidR="00000000" w:rsidDel="00000000" w:rsidP="00000000" w:rsidRDefault="00000000" w:rsidRPr="00000000" w14:paraId="000000B6">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7">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8">
            <w:pPr>
              <w:jc w:val="both"/>
              <w:rPr/>
            </w:pPr>
            <w:r w:rsidDel="00000000" w:rsidR="00000000" w:rsidRPr="00000000">
              <w:rPr>
                <w:rtl w:val="0"/>
              </w:rPr>
              <w:t xml:space="preserve">USA</w:t>
            </w:r>
          </w:p>
        </w:tc>
        <w:tc>
          <w:tcPr>
            <w:vAlign w:val="center"/>
          </w:tcPr>
          <w:p w:rsidR="00000000" w:rsidDel="00000000" w:rsidP="00000000" w:rsidRDefault="00000000" w:rsidRPr="00000000" w14:paraId="000000B9">
            <w:pPr>
              <w:jc w:val="both"/>
              <w:rPr/>
            </w:pPr>
            <w:r w:rsidDel="00000000" w:rsidR="00000000" w:rsidRPr="00000000">
              <w:rPr>
                <w:rtl w:val="0"/>
              </w:rPr>
              <w:t xml:space="preserve">United Arab Emirates</w:t>
            </w:r>
          </w:p>
        </w:tc>
      </w:tr>
      <w:tr>
        <w:trPr>
          <w:cantSplit w:val="0"/>
          <w:tblHeader w:val="0"/>
        </w:trPr>
        <w:tc>
          <w:tcPr>
            <w:vAlign w:val="center"/>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B">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BD">
            <w:pPr>
              <w:jc w:val="both"/>
              <w:rPr>
                <w:color w:val="000000"/>
                <w:sz w:val="22"/>
                <w:szCs w:val="22"/>
              </w:rPr>
            </w:pPr>
            <w:r w:rsidDel="00000000" w:rsidR="00000000" w:rsidRPr="00000000">
              <w:rPr>
                <w:color w:val="000000"/>
                <w:sz w:val="22"/>
                <w:szCs w:val="22"/>
                <w:rtl w:val="0"/>
              </w:rPr>
              <w:t xml:space="preserve">Chemical Manufacturing</w:t>
            </w:r>
          </w:p>
        </w:tc>
      </w:tr>
      <w:tr>
        <w:trPr>
          <w:cantSplit w:val="0"/>
          <w:tblHeader w:val="0"/>
        </w:trPr>
        <w:tc>
          <w:tcPr>
            <w:vAlign w:val="center"/>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Services &amp; Utilities</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Energy Drilling &amp;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7">
            <w:pPr>
              <w:jc w:val="both"/>
              <w:rPr>
                <w:color w:val="000000"/>
                <w:sz w:val="22"/>
                <w:szCs w:val="22"/>
              </w:rPr>
            </w:pPr>
            <w:r w:rsidDel="00000000" w:rsidR="00000000" w:rsidRPr="00000000">
              <w:rPr>
                <w:color w:val="000000"/>
                <w:sz w:val="22"/>
                <w:szCs w:val="22"/>
                <w:rtl w:val="0"/>
              </w:rPr>
              <w:t xml:space="preserve">Wood Products</w:t>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Metals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B">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CC">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CD">
            <w:pPr>
              <w:jc w:val="both"/>
              <w:rPr>
                <w:sz w:val="18"/>
                <w:szCs w:val="18"/>
              </w:rPr>
            </w:pPr>
            <w:r w:rsidDel="00000000" w:rsidR="00000000" w:rsidRPr="00000000">
              <w:rPr>
                <w:color w:val="000000"/>
                <w:sz w:val="22"/>
                <w:szCs w:val="22"/>
                <w:rtl w:val="0"/>
              </w:rPr>
              <w:t xml:space="preserve">Vegetables, Fruits &amp; Plants</w:t>
            </w:r>
            <w:r w:rsidDel="00000000" w:rsidR="00000000" w:rsidRPr="00000000">
              <w:rPr>
                <w:rtl w:val="0"/>
              </w:rPr>
            </w:r>
          </w:p>
        </w:tc>
      </w:tr>
    </w:tbl>
    <w:p w:rsidR="00000000" w:rsidDel="00000000" w:rsidP="00000000" w:rsidRDefault="00000000" w:rsidRPr="00000000" w14:paraId="000000CE">
      <w:pPr>
        <w:jc w:val="center"/>
        <w:rPr>
          <w:sz w:val="22"/>
          <w:szCs w:val="22"/>
        </w:rPr>
      </w:pPr>
      <w:r w:rsidDel="00000000" w:rsidR="00000000" w:rsidRPr="00000000">
        <w:rPr>
          <w:rtl w:val="0"/>
        </w:rPr>
      </w:r>
    </w:p>
    <w:p w:rsidR="00000000" w:rsidDel="00000000" w:rsidP="00000000" w:rsidRDefault="00000000" w:rsidRPr="00000000" w14:paraId="000000CF">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D0">
      <w:pPr>
        <w:jc w:val="center"/>
        <w:rPr>
          <w:sz w:val="22"/>
          <w:szCs w:val="22"/>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Table 4b further examines China’s development strategy against those of emerging economies on a global scale. Reasonably, emerging economies such as China and Singapore have devoted the majority of their efforts to intermediate industry groups, showing moderate shifts in strategies over the course of four years.</w:t>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4">
            <w:pPr>
              <w:jc w:val="both"/>
              <w:rPr/>
            </w:pPr>
            <w:r w:rsidDel="00000000" w:rsidR="00000000" w:rsidRPr="00000000">
              <w:rPr>
                <w:rtl w:val="0"/>
              </w:rPr>
              <w:t xml:space="preserve">Ranking</w:t>
            </w:r>
          </w:p>
        </w:tc>
        <w:tc>
          <w:tcPr/>
          <w:p w:rsidR="00000000" w:rsidDel="00000000" w:rsidP="00000000" w:rsidRDefault="00000000" w:rsidRPr="00000000" w14:paraId="000000D5">
            <w:pPr>
              <w:jc w:val="both"/>
              <w:rPr/>
            </w:pPr>
            <w:r w:rsidDel="00000000" w:rsidR="00000000" w:rsidRPr="00000000">
              <w:rPr>
                <w:rtl w:val="0"/>
              </w:rPr>
              <w:t xml:space="preserve">China</w:t>
            </w:r>
          </w:p>
        </w:tc>
        <w:tc>
          <w:tcPr/>
          <w:p w:rsidR="00000000" w:rsidDel="00000000" w:rsidP="00000000" w:rsidRDefault="00000000" w:rsidRPr="00000000" w14:paraId="000000D6">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275.00000000000006" w:hRule="atLeast"/>
          <w:tblHeader w:val="0"/>
        </w:trPr>
        <w:tc>
          <w:tcPr>
            <w:shd w:fill="ffffff" w:val="clear"/>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Machinery &amp; Construction</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Weapons</w:t>
            </w:r>
          </w:p>
        </w:tc>
      </w:tr>
      <w:tr>
        <w:trPr>
          <w:cantSplit w:val="0"/>
          <w:trHeight w:val="275.00000000000006" w:hRule="atLeast"/>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Textile</w:t>
            </w:r>
          </w:p>
        </w:tc>
      </w:tr>
      <w:tr>
        <w:trPr>
          <w:cantSplit w:val="0"/>
          <w:trHeight w:val="60" w:hRule="atLeast"/>
          <w:tblHeader w:val="0"/>
        </w:trPr>
        <w:tc>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1">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E2">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p w:rsidR="00000000" w:rsidDel="00000000" w:rsidP="00000000" w:rsidRDefault="00000000" w:rsidRPr="00000000" w14:paraId="000000E3">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4">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E5">
            <w:pPr>
              <w:jc w:val="both"/>
              <w:rPr>
                <w:color w:val="000000"/>
                <w:sz w:val="22"/>
                <w:szCs w:val="22"/>
              </w:rPr>
            </w:pPr>
            <w:r w:rsidDel="00000000" w:rsidR="00000000" w:rsidRPr="00000000">
              <w:rPr>
                <w:color w:val="000000"/>
                <w:sz w:val="22"/>
                <w:szCs w:val="22"/>
                <w:rtl w:val="0"/>
              </w:rPr>
              <w:t xml:space="preserve">Animals &amp; By-products</w:t>
            </w:r>
          </w:p>
        </w:tc>
      </w:tr>
    </w:tbl>
    <w:p w:rsidR="00000000" w:rsidDel="00000000" w:rsidP="00000000" w:rsidRDefault="00000000" w:rsidRPr="00000000" w14:paraId="000000E6">
      <w:pPr>
        <w:jc w:val="center"/>
        <w:rPr>
          <w:sz w:val="22"/>
          <w:szCs w:val="22"/>
        </w:rPr>
      </w:pPr>
      <w:r w:rsidDel="00000000" w:rsidR="00000000" w:rsidRPr="00000000">
        <w:rPr>
          <w:sz w:val="22"/>
          <w:szCs w:val="22"/>
          <w:rtl w:val="0"/>
        </w:rPr>
        <w:t xml:space="preserve">Table 4b. RID Comparison across Emerging Economies (2022)</w:t>
      </w:r>
    </w:p>
    <w:p w:rsidR="00000000" w:rsidDel="00000000" w:rsidP="00000000" w:rsidRDefault="00000000" w:rsidRPr="00000000" w14:paraId="000000E7">
      <w:pPr>
        <w:pageBreakBefore w:val="0"/>
        <w:jc w:val="center"/>
        <w:rPr>
          <w:sz w:val="22"/>
          <w:szCs w:val="22"/>
        </w:rPr>
      </w:pP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rtl w:val="0"/>
        </w:rPr>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F">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F0">
      <w:pPr>
        <w:pageBreakBefore w:val="0"/>
        <w:jc w:val="left"/>
        <w:rPr/>
      </w:pPr>
      <w:r w:rsidDel="00000000" w:rsidR="00000000" w:rsidRPr="00000000">
        <w:rPr>
          <w:rtl w:val="0"/>
        </w:rPr>
      </w:r>
    </w:p>
    <w:p w:rsidR="00000000" w:rsidDel="00000000" w:rsidP="00000000" w:rsidRDefault="00000000" w:rsidRPr="00000000" w14:paraId="000000F1">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3622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0F3">
      <w:pPr>
        <w:pageBreakBefore w:val="0"/>
        <w:jc w:val="center"/>
        <w:rPr/>
      </w:pPr>
      <w:r w:rsidDel="00000000" w:rsidR="00000000" w:rsidRPr="00000000">
        <w:rPr>
          <w:rtl w:val="0"/>
        </w:rPr>
      </w:r>
    </w:p>
    <w:p w:rsidR="00000000" w:rsidDel="00000000" w:rsidP="00000000" w:rsidRDefault="00000000" w:rsidRPr="00000000" w14:paraId="000000F4">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China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F5">
      <w:pPr>
        <w:pageBreakBefore w:val="0"/>
        <w:jc w:val="both"/>
        <w:rPr/>
      </w:pPr>
      <w:r w:rsidDel="00000000" w:rsidR="00000000" w:rsidRPr="00000000">
        <w:rPr>
          <w:rtl w:val="0"/>
        </w:rPr>
      </w:r>
    </w:p>
    <w:p w:rsidR="00000000" w:rsidDel="00000000" w:rsidP="00000000" w:rsidRDefault="00000000" w:rsidRPr="00000000" w14:paraId="000000F6">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Chemicals. It can be concluded that China shares the characteristics of developing countries, with a balanced economic structure that leans towards more complex-level industries.</w:t>
      </w:r>
    </w:p>
    <w:p w:rsidR="00000000" w:rsidDel="00000000" w:rsidP="00000000" w:rsidRDefault="00000000" w:rsidRPr="00000000" w14:paraId="000000F7">
      <w:pPr>
        <w:jc w:val="center"/>
        <w:rPr/>
      </w:pPr>
      <w:r w:rsidDel="00000000" w:rsidR="00000000" w:rsidRPr="00000000">
        <w:rPr>
          <w:rtl w:val="0"/>
        </w:rPr>
      </w:r>
    </w:p>
    <w:p w:rsidR="00000000" w:rsidDel="00000000" w:rsidP="00000000" w:rsidRDefault="00000000" w:rsidRPr="00000000" w14:paraId="000000F8">
      <w:pPr>
        <w:jc w:val="both"/>
        <w:rPr>
          <w:sz w:val="22"/>
          <w:szCs w:val="22"/>
        </w:rPr>
      </w:pPr>
      <w:r w:rsidDel="00000000" w:rsidR="00000000" w:rsidRPr="00000000">
        <w:rPr/>
        <w:drawing>
          <wp:inline distB="114300" distT="114300" distL="114300" distR="114300">
            <wp:extent cx="5731200" cy="2273300"/>
            <wp:effectExtent b="0" l="0" r="0" t="0"/>
            <wp:docPr id="16"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FA">
      <w:pPr>
        <w:pageBreakBefore w:val="0"/>
        <w:jc w:val="center"/>
        <w:rPr>
          <w:sz w:val="22"/>
          <w:szCs w:val="22"/>
        </w:rPr>
      </w:pPr>
      <w:r w:rsidDel="00000000" w:rsidR="00000000" w:rsidRPr="00000000">
        <w:rPr>
          <w:rtl w:val="0"/>
        </w:rPr>
      </w:r>
    </w:p>
    <w:p w:rsidR="00000000" w:rsidDel="00000000" w:rsidP="00000000" w:rsidRDefault="00000000" w:rsidRPr="00000000" w14:paraId="000000FB">
      <w:pPr>
        <w:pageBreakBefore w:val="0"/>
        <w:jc w:val="center"/>
        <w:rPr/>
      </w:pPr>
      <w:r w:rsidDel="00000000" w:rsidR="00000000" w:rsidRPr="00000000">
        <w:rPr>
          <w:rtl w:val="0"/>
        </w:rPr>
      </w:r>
    </w:p>
    <w:p w:rsidR="00000000" w:rsidDel="00000000" w:rsidP="00000000" w:rsidRDefault="00000000" w:rsidRPr="00000000" w14:paraId="000000FC">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D">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E">
      <w:pPr>
        <w:pageBreakBefore w:val="0"/>
        <w:jc w:val="both"/>
        <w:rPr/>
      </w:pPr>
      <w:r w:rsidDel="00000000" w:rsidR="00000000" w:rsidRPr="00000000">
        <w:rPr>
          <w:rtl w:val="0"/>
        </w:rPr>
      </w:r>
    </w:p>
    <w:p w:rsidR="00000000" w:rsidDel="00000000" w:rsidP="00000000" w:rsidRDefault="00000000" w:rsidRPr="00000000" w14:paraId="000000FF">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jc w:val="center"/>
        <w:rPr/>
      </w:pPr>
      <w:r w:rsidDel="00000000" w:rsidR="00000000" w:rsidRPr="00000000">
        <w:rPr>
          <w:rtl w:val="0"/>
        </w:rPr>
      </w:r>
    </w:p>
    <w:p w:rsidR="00000000" w:rsidDel="00000000" w:rsidP="00000000" w:rsidRDefault="00000000" w:rsidRPr="00000000" w14:paraId="00000101">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02">
      <w:pPr>
        <w:pageBreakBefore w:val="0"/>
        <w:jc w:val="both"/>
        <w:rPr/>
      </w:pPr>
      <w:r w:rsidDel="00000000" w:rsidR="00000000" w:rsidRPr="00000000">
        <w:rPr>
          <w:rtl w:val="0"/>
        </w:rPr>
        <w:t xml:space="preserve"> </w:t>
      </w:r>
    </w:p>
    <w:p w:rsidR="00000000" w:rsidDel="00000000" w:rsidP="00000000" w:rsidRDefault="00000000" w:rsidRPr="00000000" w14:paraId="00000103">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4">
      <w:pPr>
        <w:pageBreakBefore w:val="0"/>
        <w:jc w:val="both"/>
        <w:rPr/>
      </w:pPr>
      <w:r w:rsidDel="00000000" w:rsidR="00000000" w:rsidRPr="00000000">
        <w:rPr>
          <w:rtl w:val="0"/>
        </w:rPr>
        <w:t xml:space="preserve"> </w:t>
      </w:r>
    </w:p>
    <w:p w:rsidR="00000000" w:rsidDel="00000000" w:rsidP="00000000" w:rsidRDefault="00000000" w:rsidRPr="00000000" w14:paraId="00000105">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6">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A">
      <w:pPr>
        <w:pageBreakBefore w:val="0"/>
        <w:rPr/>
      </w:pPr>
      <w:r w:rsidDel="00000000" w:rsidR="00000000" w:rsidRPr="00000000">
        <w:rPr>
          <w:rtl w:val="0"/>
        </w:rPr>
        <w:t xml:space="preserve"> </w:t>
      </w:r>
    </w:p>
    <w:p w:rsidR="00000000" w:rsidDel="00000000" w:rsidP="00000000" w:rsidRDefault="00000000" w:rsidRPr="00000000" w14:paraId="0000010B">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E">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pageBreakBefore w:val="0"/>
        <w:jc w:val="both"/>
        <w:rPr>
          <w:b w:val="1"/>
          <w:bCs w:val="1"/>
        </w:rPr>
      </w:pPr>
      <w:r w:rsidDel="00000000" w:rsidR="00000000" w:rsidRPr="00000000">
        <w:rPr>
          <w:rtl w:val="0"/>
        </w:rPr>
      </w:r>
    </w:p>
    <w:p w:rsidR="00000000" w:rsidDel="00000000" w:rsidP="00000000" w:rsidRDefault="00000000" w:rsidRPr="00000000" w14:paraId="00000111">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12">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3">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A">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B">
      <w:pPr>
        <w:pageBreakBefore w:val="0"/>
        <w:jc w:val="center"/>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China in 2022. We can see that for different percentages of heuristic total export growth, the ECIs of China actually have different increments, ranging from negative to positive as heuristic % increases.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For 2022, </w:t>
      </w:r>
      <w:r w:rsidDel="00000000" w:rsidR="00000000" w:rsidRPr="00000000">
        <w:rPr>
          <w:rtl w:val="0"/>
        </w:rPr>
        <w:t xml:space="preserve">a 5 percent increase in export would emphasize Machinery and Construction, followed by Animals and By-Products, Wood Products, and Vegetables, Fruits, and Plants for 10, 15, and 20 percent export growth respectively. These strategies go in line with the suggested trajectories based on ECI. A more detailed numerical representation of the portfolio for China is shown in Table 8.</w:t>
      </w:r>
    </w:p>
    <w:p w:rsidR="00000000" w:rsidDel="00000000" w:rsidP="00000000" w:rsidRDefault="00000000" w:rsidRPr="00000000" w14:paraId="0000013F">
      <w:pPr>
        <w:pageBreakBefore w:val="0"/>
        <w:rPr>
          <w:sz w:val="22"/>
          <w:szCs w:val="22"/>
        </w:rPr>
      </w:pPr>
      <w:r w:rsidDel="00000000" w:rsidR="00000000" w:rsidRPr="00000000">
        <w:rPr/>
        <w:drawing>
          <wp:inline distB="114300" distT="114300" distL="114300" distR="114300">
            <wp:extent cx="5731200" cy="2273300"/>
            <wp:effectExtent b="0" l="0" r="0" t="0"/>
            <wp:docPr id="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sz w:val="22"/>
          <w:szCs w:val="22"/>
        </w:rPr>
      </w:pPr>
      <w:r w:rsidDel="00000000" w:rsidR="00000000" w:rsidRPr="00000000">
        <w:rPr>
          <w:sz w:val="22"/>
          <w:szCs w:val="22"/>
        </w:rPr>
        <w:drawing>
          <wp:inline distB="114300" distT="114300" distL="114300" distR="114300">
            <wp:extent cx="5731200" cy="20955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sz w:val="22"/>
          <w:szCs w:val="22"/>
        </w:rPr>
      </w:pPr>
      <w:r w:rsidDel="00000000" w:rsidR="00000000" w:rsidRPr="00000000">
        <w:rPr>
          <w:sz w:val="22"/>
          <w:szCs w:val="22"/>
          <w:rtl w:val="0"/>
        </w:rPr>
        <w:t xml:space="preserve">Figure 4. Greedy-Based ECI Improvement Results of China with Different Budgets (2022)</w:t>
      </w:r>
    </w:p>
    <w:p w:rsidR="00000000" w:rsidDel="00000000" w:rsidP="00000000" w:rsidRDefault="00000000" w:rsidRPr="00000000" w14:paraId="00000142">
      <w:pPr>
        <w:jc w:val="left"/>
        <w:rPr>
          <w:sz w:val="22"/>
          <w:szCs w:val="22"/>
        </w:rPr>
      </w:pPr>
      <w:r w:rsidDel="00000000" w:rsidR="00000000" w:rsidRPr="00000000">
        <w:rPr>
          <w:rtl w:val="0"/>
        </w:rPr>
      </w:r>
    </w:p>
    <w:p w:rsidR="00000000" w:rsidDel="00000000" w:rsidP="00000000" w:rsidRDefault="00000000" w:rsidRPr="00000000" w14:paraId="00000143">
      <w:pPr>
        <w:jc w:val="center"/>
        <w:rPr>
          <w:sz w:val="22"/>
          <w:szCs w:val="22"/>
        </w:rPr>
      </w:pPr>
      <w:r w:rsidDel="00000000" w:rsidR="00000000" w:rsidRPr="00000000">
        <w:rPr>
          <w:sz w:val="22"/>
          <w:szCs w:val="22"/>
        </w:rPr>
        <w:drawing>
          <wp:inline distB="114300" distT="114300" distL="114300" distR="114300">
            <wp:extent cx="5731200" cy="187960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sz w:val="22"/>
          <w:szCs w:val="22"/>
        </w:rPr>
      </w:pPr>
      <w:r w:rsidDel="00000000" w:rsidR="00000000" w:rsidRPr="00000000">
        <w:rPr>
          <w:sz w:val="22"/>
          <w:szCs w:val="22"/>
          <w:rtl w:val="0"/>
        </w:rPr>
        <w:t xml:space="preserve">Table 8. Portfolio of China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145">
      <w:pPr>
        <w:jc w:val="center"/>
        <w:rPr>
          <w:sz w:val="22"/>
          <w:szCs w:val="22"/>
        </w:rPr>
      </w:pPr>
      <w:r w:rsidDel="00000000" w:rsidR="00000000" w:rsidRPr="00000000">
        <w:rPr>
          <w:rtl w:val="0"/>
        </w:rPr>
      </w:r>
    </w:p>
    <w:p w:rsidR="00000000" w:rsidDel="00000000" w:rsidP="00000000" w:rsidRDefault="00000000" w:rsidRPr="00000000" w14:paraId="00000146">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47">
      <w:pPr>
        <w:pageBreakBefore w:val="0"/>
        <w:spacing w:after="0" w:before="0" w:line="276" w:lineRule="auto"/>
        <w:rPr/>
      </w:pPr>
      <w:r w:rsidDel="00000000" w:rsidR="00000000" w:rsidRPr="00000000">
        <w:rPr>
          <w:rtl w:val="0"/>
        </w:rPr>
        <w:t xml:space="preserve">In the following section, our broad aim is to understand how sensitive China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48">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49">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4A">
      <w:pPr>
        <w:jc w:val="both"/>
        <w:rPr>
          <w:b w:val="1"/>
          <w:bCs w:val="1"/>
        </w:rPr>
      </w:pPr>
      <w:r w:rsidDel="00000000" w:rsidR="00000000" w:rsidRPr="00000000">
        <w:rPr>
          <w:b w:val="1"/>
          <w:bCs w:val="1"/>
        </w:rPr>
        <w:drawing>
          <wp:inline distB="114300" distT="114300" distL="114300" distR="114300">
            <wp:extent cx="5310188" cy="2519630"/>
            <wp:effectExtent b="0" l="0" r="0" t="0"/>
            <wp:docPr id="8" name="image1.jpg"/>
            <a:graphic>
              <a:graphicData uri="http://schemas.openxmlformats.org/drawingml/2006/picture">
                <pic:pic>
                  <pic:nvPicPr>
                    <pic:cNvPr id="0" name="image1.jpg"/>
                    <pic:cNvPicPr preferRelativeResize="0"/>
                  </pic:nvPicPr>
                  <pic:blipFill>
                    <a:blip r:embed="rId18"/>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pPr>
      <w:r w:rsidDel="00000000" w:rsidR="00000000" w:rsidRPr="00000000">
        <w:rPr>
          <w:sz w:val="22"/>
          <w:szCs w:val="22"/>
          <w:rtl w:val="0"/>
        </w:rPr>
        <w:t xml:space="preserve">Figure 5. Sample ECI Sensitivity Graph (2022)</w:t>
      </w:r>
      <w:r w:rsidDel="00000000" w:rsidR="00000000" w:rsidRPr="00000000">
        <w:rPr>
          <w:rtl w:val="0"/>
        </w:rPr>
      </w:r>
    </w:p>
    <w:p w:rsidR="00000000" w:rsidDel="00000000" w:rsidP="00000000" w:rsidRDefault="00000000" w:rsidRPr="00000000" w14:paraId="0000014C">
      <w:pPr>
        <w:spacing w:after="240" w:before="240" w:line="276" w:lineRule="auto"/>
        <w:jc w:val="both"/>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4D">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4E">
      <w:pPr>
        <w:pageBreakBefore w:val="0"/>
        <w:jc w:val="both"/>
        <w:rPr/>
      </w:pPr>
      <w:r w:rsidDel="00000000" w:rsidR="00000000" w:rsidRPr="00000000">
        <w:rPr>
          <w:rtl w:val="0"/>
        </w:rPr>
        <w:t xml:space="preserve">We examine China's ECI Decremental and Incremental Sensitivity Charts for 2022. An increase in Animals and Byproducts will lead to the highest change in ECI, followed by Vegetables Fruits and Plants and Food and Preparations. The strong sensitivity effect of manipulating the Animals and Byproducts category </w:t>
      </w:r>
      <w:r w:rsidDel="00000000" w:rsidR="00000000" w:rsidRPr="00000000">
        <w:rPr>
          <w:rtl w:val="0"/>
        </w:rPr>
        <w:t xml:space="preserve">remains consistent</w:t>
      </w:r>
      <w:r w:rsidDel="00000000" w:rsidR="00000000" w:rsidRPr="00000000">
        <w:rPr>
          <w:rtl w:val="0"/>
        </w:rPr>
        <w:t xml:space="preserve"> with previous analysis. For the negative shock cases, Clothing and Accessories becomes most impactful, a </w:t>
      </w:r>
      <w:r w:rsidDel="00000000" w:rsidR="00000000" w:rsidRPr="00000000">
        <w:rPr>
          <w:rtl w:val="0"/>
        </w:rPr>
        <w:t xml:space="preserve">new trend across the data emerging from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4F">
      <w:pPr>
        <w:pageBreakBefore w:val="0"/>
        <w:jc w:val="both"/>
        <w:rPr/>
      </w:pPr>
      <w:r w:rsidDel="00000000" w:rsidR="00000000" w:rsidRPr="00000000">
        <w:rPr>
          <w:rtl w:val="0"/>
        </w:rPr>
      </w:r>
    </w:p>
    <w:p w:rsidR="00000000" w:rsidDel="00000000" w:rsidP="00000000" w:rsidRDefault="00000000" w:rsidRPr="00000000" w14:paraId="00000150">
      <w:pPr>
        <w:pageBreakBefore w:val="0"/>
        <w:jc w:val="both"/>
        <w:rPr/>
      </w:pPr>
      <w:r w:rsidDel="00000000" w:rsidR="00000000" w:rsidRPr="00000000">
        <w:rPr/>
        <w:drawing>
          <wp:inline distB="114300" distT="114300" distL="114300" distR="114300">
            <wp:extent cx="6202033" cy="2005013"/>
            <wp:effectExtent b="0" l="0" r="0" t="0"/>
            <wp:docPr id="15" name="image13.png"/>
            <a:graphic>
              <a:graphicData uri="http://schemas.openxmlformats.org/drawingml/2006/picture">
                <pic:pic>
                  <pic:nvPicPr>
                    <pic:cNvPr id="0" name="image13.png"/>
                    <pic:cNvPicPr preferRelativeResize="0"/>
                  </pic:nvPicPr>
                  <pic:blipFill>
                    <a:blip r:embed="rId19"/>
                    <a:srcRect b="0" l="0" r="831" t="0"/>
                    <a:stretch>
                      <a:fillRect/>
                    </a:stretch>
                  </pic:blipFill>
                  <pic:spPr>
                    <a:xfrm>
                      <a:off x="0" y="0"/>
                      <a:ext cx="6202033"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China (2022)</w:t>
      </w:r>
    </w:p>
    <w:p w:rsidR="00000000" w:rsidDel="00000000" w:rsidP="00000000" w:rsidRDefault="00000000" w:rsidRPr="00000000" w14:paraId="00000152">
      <w:pPr>
        <w:jc w:val="center"/>
        <w:rPr>
          <w:sz w:val="22"/>
          <w:szCs w:val="22"/>
        </w:rPr>
      </w:pPr>
      <w:r w:rsidDel="00000000" w:rsidR="00000000" w:rsidRPr="00000000">
        <w:rPr>
          <w:sz w:val="22"/>
          <w:szCs w:val="22"/>
        </w:rPr>
        <w:drawing>
          <wp:inline distB="114300" distT="114300" distL="114300" distR="114300">
            <wp:extent cx="6205538" cy="1984654"/>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205538" cy="198465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pPr>
      <w:r w:rsidDel="00000000" w:rsidR="00000000" w:rsidRPr="00000000">
        <w:rPr>
          <w:sz w:val="22"/>
          <w:szCs w:val="22"/>
          <w:rtl w:val="0"/>
        </w:rPr>
        <w:t xml:space="preserve">Figure 6b. Decremental ECI Sensitivity for China (2022)</w:t>
      </w: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rtl w:val="0"/>
        </w:rPr>
      </w:r>
    </w:p>
    <w:p w:rsidR="00000000" w:rsidDel="00000000" w:rsidP="00000000" w:rsidRDefault="00000000" w:rsidRPr="00000000" w14:paraId="0000015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56">
      <w:pPr>
        <w:pageBreakBefore w:val="0"/>
        <w:jc w:val="both"/>
        <w:rPr>
          <w:b w:val="1"/>
          <w:bCs w:val="1"/>
        </w:rPr>
      </w:pPr>
      <w:r w:rsidDel="00000000" w:rsidR="00000000" w:rsidRPr="00000000">
        <w:rPr>
          <w:rtl w:val="0"/>
        </w:rPr>
      </w:r>
    </w:p>
    <w:p w:rsidR="00000000" w:rsidDel="00000000" w:rsidP="00000000" w:rsidRDefault="00000000" w:rsidRPr="00000000" w14:paraId="00000157">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58">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59">
      <w:pPr>
        <w:pageBreakBefore w:val="0"/>
        <w:jc w:val="both"/>
        <w:rPr/>
      </w:pPr>
      <w:r w:rsidDel="00000000" w:rsidR="00000000" w:rsidRPr="00000000">
        <w:rPr>
          <w:rtl w:val="0"/>
        </w:rPr>
      </w:r>
    </w:p>
    <w:p w:rsidR="00000000" w:rsidDel="00000000" w:rsidP="00000000" w:rsidRDefault="00000000" w:rsidRPr="00000000" w14:paraId="0000015A">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6.25%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1%. In other words, the more a country develops, as suggested by calculations on a complexity level, the better economic outcomes it achieves. </w:t>
      </w:r>
    </w:p>
    <w:p w:rsidR="00000000" w:rsidDel="00000000" w:rsidP="00000000" w:rsidRDefault="00000000" w:rsidRPr="00000000" w14:paraId="0000015B">
      <w:pPr>
        <w:pageBreakBefore w:val="0"/>
        <w:jc w:val="both"/>
        <w:rPr/>
      </w:pPr>
      <w:r w:rsidDel="00000000" w:rsidR="00000000" w:rsidRPr="00000000">
        <w:rPr>
          <w:rtl w:val="0"/>
        </w:rPr>
      </w:r>
    </w:p>
    <w:p w:rsidR="00000000" w:rsidDel="00000000" w:rsidP="00000000" w:rsidRDefault="00000000" w:rsidRPr="00000000" w14:paraId="0000015C">
      <w:pPr>
        <w:pageBreakBefore w:val="0"/>
        <w:jc w:val="both"/>
        <w:rPr/>
      </w:pPr>
      <w:r w:rsidDel="00000000" w:rsidR="00000000" w:rsidRPr="00000000">
        <w:rPr>
          <w:rtl w:val="0"/>
        </w:rPr>
      </w:r>
    </w:p>
    <w:tbl>
      <w:tblPr>
        <w:tblStyle w:val="Table8"/>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5D">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5F">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60">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0.006008</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61">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0.000</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62">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0.938</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63">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-0.010</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64">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100</w:t>
            </w:r>
          </w:p>
        </w:tc>
      </w:tr>
    </w:tbl>
    <w:p w:rsidR="00000000" w:rsidDel="00000000" w:rsidP="00000000" w:rsidRDefault="00000000" w:rsidRPr="00000000" w14:paraId="00000165">
      <w:pPr>
        <w:pageBreakBefore w:val="0"/>
        <w:jc w:val="left"/>
        <w:rPr/>
      </w:pPr>
      <w:r w:rsidDel="00000000" w:rsidR="00000000" w:rsidRPr="00000000">
        <w:rPr>
          <w:rtl w:val="0"/>
        </w:rPr>
      </w:r>
    </w:p>
    <w:p w:rsidR="00000000" w:rsidDel="00000000" w:rsidP="00000000" w:rsidRDefault="00000000" w:rsidRPr="00000000" w14:paraId="00000166">
      <w:pPr>
        <w:pageBreakBefore w:val="0"/>
        <w:jc w:val="center"/>
        <w:rPr>
          <w:sz w:val="22"/>
          <w:szCs w:val="22"/>
        </w:rPr>
      </w:pPr>
      <w:r w:rsidDel="00000000" w:rsidR="00000000" w:rsidRPr="00000000">
        <w:rPr>
          <w:sz w:val="22"/>
          <w:szCs w:val="22"/>
        </w:rPr>
        <w:drawing>
          <wp:inline distB="114300" distT="114300" distL="114300" distR="114300">
            <wp:extent cx="5731200" cy="3670300"/>
            <wp:effectExtent b="0" l="0" r="0" t="0"/>
            <wp:docPr id="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(2019-2022)</w:t>
      </w:r>
      <w:r w:rsidDel="00000000" w:rsidR="00000000" w:rsidRPr="00000000">
        <w:rPr>
          <w:rtl w:val="0"/>
        </w:rPr>
      </w:r>
    </w:p>
    <w:p w:rsidR="00000000" w:rsidDel="00000000" w:rsidP="00000000" w:rsidRDefault="00000000" w:rsidRPr="00000000" w14:paraId="00000168">
      <w:pPr>
        <w:pageBreakBefore w:val="0"/>
        <w:jc w:val="both"/>
        <w:rPr/>
      </w:pPr>
      <w:r w:rsidDel="00000000" w:rsidR="00000000" w:rsidRPr="00000000">
        <w:rPr>
          <w:rtl w:val="0"/>
        </w:rPr>
      </w:r>
    </w:p>
    <w:p w:rsidR="00000000" w:rsidDel="00000000" w:rsidP="00000000" w:rsidRDefault="00000000" w:rsidRPr="00000000" w14:paraId="00000169">
      <w:pPr>
        <w:pageBreakBefore w:val="0"/>
        <w:jc w:val="both"/>
        <w:rPr>
          <w:b w:val="1"/>
          <w:bCs w:val="1"/>
        </w:rPr>
      </w:pPr>
      <w:r w:rsidDel="00000000" w:rsidR="00000000" w:rsidRPr="00000000">
        <w:rPr>
          <w:b w:val="1"/>
          <w:bCs w:val="1"/>
          <w:rtl w:val="0"/>
        </w:rPr>
        <w:t xml:space="preserve">5.2 SOI of China and Its Implications</w:t>
      </w:r>
    </w:p>
    <w:p w:rsidR="00000000" w:rsidDel="00000000" w:rsidP="00000000" w:rsidRDefault="00000000" w:rsidRPr="00000000" w14:paraId="0000016A">
      <w:pPr>
        <w:pageBreakBefore w:val="0"/>
        <w:jc w:val="both"/>
        <w:rPr/>
      </w:pPr>
      <w:r w:rsidDel="00000000" w:rsidR="00000000" w:rsidRPr="00000000">
        <w:rPr>
          <w:rtl w:val="0"/>
        </w:rPr>
        <w:t xml:space="preserve">During the first examined period, China, for instance, has a low level of structural optimality as compared with its developed peers. As the regression in Figure 10 suggests (the red curve represents export increase and the blue curve stands for opportunity gain of the corresponding industry), China demonstrates a low level of correlation with the suggested developmental path, having an adjusted R-square of around -1%. </w:t>
      </w:r>
    </w:p>
    <w:p w:rsidR="00000000" w:rsidDel="00000000" w:rsidP="00000000" w:rsidRDefault="00000000" w:rsidRPr="00000000" w14:paraId="0000016B">
      <w:pPr>
        <w:pageBreakBefore w:val="0"/>
        <w:jc w:val="both"/>
        <w:rPr/>
      </w:pPr>
      <w:r w:rsidDel="00000000" w:rsidR="00000000" w:rsidRPr="00000000">
        <w:rPr>
          <w:rtl w:val="0"/>
        </w:rPr>
      </w:r>
    </w:p>
    <w:p w:rsidR="00000000" w:rsidDel="00000000" w:rsidP="00000000" w:rsidRDefault="00000000" w:rsidRPr="00000000" w14:paraId="0000016C">
      <w:pPr>
        <w:pageBreakBefore w:val="0"/>
        <w:jc w:val="both"/>
        <w:rPr/>
      </w:pPr>
      <w:r w:rsidDel="00000000" w:rsidR="00000000" w:rsidRPr="00000000">
        <w:rPr>
          <w:rtl w:val="0"/>
        </w:rPr>
        <w:t xml:space="preserve">China ranks in the bottom quartile among all countries in terms of SOI and has made a moderate rate of economic progress among its emerging peers from 2019 to 202 with a</w:t>
      </w:r>
      <w:r w:rsidDel="00000000" w:rsidR="00000000" w:rsidRPr="00000000">
        <w:rPr>
          <w:rtl w:val="0"/>
        </w:rPr>
        <w:t xml:space="preserve"> 4-year GDP growth rate of</w:t>
      </w:r>
      <w:r w:rsidDel="00000000" w:rsidR="00000000" w:rsidRPr="00000000">
        <w:rPr>
          <w:rtl w:val="0"/>
        </w:rPr>
        <w:t xml:space="preserve"> 6.25%, which is consistent with the regression result in Figure 4.</w:t>
      </w:r>
    </w:p>
    <w:p w:rsidR="00000000" w:rsidDel="00000000" w:rsidP="00000000" w:rsidRDefault="00000000" w:rsidRPr="00000000" w14:paraId="0000016D">
      <w:pPr>
        <w:pageBreakBefore w:val="0"/>
        <w:jc w:val="both"/>
        <w:rPr/>
      </w:pPr>
      <w:r w:rsidDel="00000000" w:rsidR="00000000" w:rsidRPr="00000000">
        <w:rPr>
          <w:rtl w:val="0"/>
        </w:rPr>
      </w:r>
    </w:p>
    <w:p w:rsidR="00000000" w:rsidDel="00000000" w:rsidP="00000000" w:rsidRDefault="00000000" w:rsidRPr="00000000" w14:paraId="0000016E">
      <w:pPr>
        <w:pageBreakBefore w:val="0"/>
        <w:jc w:val="both"/>
        <w:rPr/>
      </w:pPr>
      <w:r w:rsidDel="00000000" w:rsidR="00000000" w:rsidRPr="00000000">
        <w:rPr>
          <w:rtl w:val="0"/>
        </w:rPr>
        <w:t xml:space="preserve">Specifically, China's slow economic progress from 2019 to 2022 can be at least partially explained by a development strategy that demonstrates a considerable but not perfect level of matches with our suggested developmental path. In specific, China invested heavily in the Weapons industry, while it should have focused more on industry groups such as Energy Drilling and Mining, Precious Stones, and Services and Utilities.</w:t>
      </w:r>
    </w:p>
    <w:p w:rsidR="00000000" w:rsidDel="00000000" w:rsidP="00000000" w:rsidRDefault="00000000" w:rsidRPr="00000000" w14:paraId="0000016F">
      <w:pPr>
        <w:pageBreakBefore w:val="0"/>
        <w:jc w:val="both"/>
        <w:rPr/>
      </w:pPr>
      <w:r w:rsidDel="00000000" w:rsidR="00000000" w:rsidRPr="00000000">
        <w:rPr>
          <w:rtl w:val="0"/>
        </w:rPr>
      </w:r>
    </w:p>
    <w:p w:rsidR="00000000" w:rsidDel="00000000" w:rsidP="00000000" w:rsidRDefault="00000000" w:rsidRPr="00000000" w14:paraId="00000170">
      <w:pPr>
        <w:pageBreakBefore w:val="0"/>
        <w:jc w:val="both"/>
        <w:rPr/>
      </w:pPr>
      <w:r w:rsidDel="00000000" w:rsidR="00000000" w:rsidRPr="00000000">
        <w:rPr>
          <w:rtl w:val="0"/>
        </w:rPr>
      </w:r>
    </w:p>
    <w:p w:rsidR="00000000" w:rsidDel="00000000" w:rsidP="00000000" w:rsidRDefault="00000000" w:rsidRPr="00000000" w14:paraId="00000171">
      <w:pPr>
        <w:jc w:val="center"/>
        <w:rPr>
          <w:b w:val="1"/>
          <w:bCs w:val="1"/>
        </w:rPr>
      </w:pPr>
      <w:r w:rsidDel="00000000" w:rsidR="00000000" w:rsidRPr="00000000">
        <w:rPr>
          <w:rFonts w:ascii="Calibri" w:cs="Calibri" w:eastAsia="Calibri" w:hAnsi="Calibri"/>
        </w:rPr>
        <w:drawing>
          <wp:inline distB="114300" distT="114300" distL="114300" distR="114300">
            <wp:extent cx="5731200" cy="2298700"/>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2298700"/>
                    </a:xfrm>
                    <a:prstGeom prst="rect"/>
                    <a:ln/>
                  </pic:spPr>
                </pic:pic>
              </a:graphicData>
            </a:graphic>
          </wp:inline>
        </w:drawing>
      </w:r>
      <w:r w:rsidDel="00000000" w:rsidR="00000000" w:rsidRPr="00000000">
        <w:rPr>
          <w:sz w:val="22"/>
          <w:szCs w:val="22"/>
          <w:rtl w:val="0"/>
        </w:rPr>
        <w:t xml:space="preserve">Figure 10. SOI of China (2019-2022)</w:t>
      </w:r>
      <w:r w:rsidDel="00000000" w:rsidR="00000000" w:rsidRPr="00000000">
        <w:rPr>
          <w:rtl w:val="0"/>
        </w:rPr>
      </w:r>
    </w:p>
    <w:p w:rsidR="00000000" w:rsidDel="00000000" w:rsidP="00000000" w:rsidRDefault="00000000" w:rsidRPr="00000000" w14:paraId="00000172">
      <w:pPr>
        <w:pageBreakBefore w:val="0"/>
        <w:jc w:val="both"/>
        <w:rPr>
          <w:b w:val="1"/>
          <w:bCs w:val="1"/>
        </w:rPr>
      </w:pPr>
      <w:r w:rsidDel="00000000" w:rsidR="00000000" w:rsidRPr="00000000">
        <w:rPr>
          <w:rtl w:val="0"/>
        </w:rPr>
      </w:r>
    </w:p>
    <w:p w:rsidR="00000000" w:rsidDel="00000000" w:rsidP="00000000" w:rsidRDefault="00000000" w:rsidRPr="00000000" w14:paraId="0000017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75">
      <w:pPr>
        <w:pageBreakBefore w:val="0"/>
        <w:jc w:val="both"/>
        <w:rPr/>
      </w:pPr>
      <w:r w:rsidDel="00000000" w:rsidR="00000000" w:rsidRPr="00000000">
        <w:rPr>
          <w:rtl w:val="0"/>
        </w:rPr>
      </w:r>
    </w:p>
    <w:p w:rsidR="00000000" w:rsidDel="00000000" w:rsidP="00000000" w:rsidRDefault="00000000" w:rsidRPr="00000000" w14:paraId="00000176">
      <w:pPr>
        <w:pageBreakBefore w:val="0"/>
        <w:jc w:val="both"/>
        <w:rPr/>
      </w:pPr>
      <w:r w:rsidDel="00000000" w:rsidR="00000000" w:rsidRPr="00000000">
        <w:rPr>
          <w:rtl w:val="0"/>
        </w:rPr>
        <w:t xml:space="preserve">In conclusion, China has demonstrated a moderately low level of economic growth in terms of annual GDP increase during the period from 2019 to 2022, concurrent with an increase in economic complexity as compared with major developed economies. For 2019-2022, the growth in GDP has increased alongside a decline in ECI,[</w:t>
      </w:r>
      <w:r w:rsidDel="00000000" w:rsidR="00000000" w:rsidRPr="00000000">
        <w:rPr>
          <w:rtl w:val="0"/>
        </w:rPr>
        <w:t xml:space="preserve">in line with its comparable countries</w:t>
      </w:r>
      <w:r w:rsidDel="00000000" w:rsidR="00000000" w:rsidRPr="00000000">
        <w:rPr>
          <w:rtl w:val="0"/>
        </w:rPr>
        <w:t xml:space="preserve">.</w:t>
      </w:r>
    </w:p>
    <w:p w:rsidR="00000000" w:rsidDel="00000000" w:rsidP="00000000" w:rsidRDefault="00000000" w:rsidRPr="00000000" w14:paraId="00000177">
      <w:pPr>
        <w:pageBreakBefore w:val="0"/>
        <w:jc w:val="both"/>
        <w:rPr/>
      </w:pPr>
      <w:r w:rsidDel="00000000" w:rsidR="00000000" w:rsidRPr="00000000">
        <w:rPr>
          <w:rtl w:val="0"/>
        </w:rPr>
      </w:r>
    </w:p>
    <w:p w:rsidR="00000000" w:rsidDel="00000000" w:rsidP="00000000" w:rsidRDefault="00000000" w:rsidRPr="00000000" w14:paraId="00000178">
      <w:pPr>
        <w:pageBreakBefore w:val="0"/>
        <w:jc w:val="both"/>
        <w:rPr/>
      </w:pPr>
      <w:r w:rsidDel="00000000" w:rsidR="00000000" w:rsidRPr="00000000">
        <w:rPr>
          <w:rtl w:val="0"/>
        </w:rPr>
        <w:t xml:space="preserve">We believe that the mixed progress during the first period can be partially explained through the analysis of the economic and product complexity structure of China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China regressed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79">
      <w:pPr>
        <w:pageBreakBefore w:val="0"/>
        <w:jc w:val="both"/>
        <w:rPr/>
      </w:pPr>
      <w:r w:rsidDel="00000000" w:rsidR="00000000" w:rsidRPr="00000000">
        <w:rPr>
          <w:rtl w:val="0"/>
        </w:rPr>
      </w:r>
    </w:p>
    <w:p w:rsidR="00000000" w:rsidDel="00000000" w:rsidP="00000000" w:rsidRDefault="00000000" w:rsidRPr="00000000" w14:paraId="0000017A">
      <w:pPr>
        <w:pageBreakBefore w:val="0"/>
        <w:jc w:val="both"/>
        <w:rPr/>
      </w:pPr>
      <w:r w:rsidDel="00000000" w:rsidR="00000000" w:rsidRPr="00000000">
        <w:rPr>
          <w:rtl w:val="0"/>
        </w:rPr>
        <w:t xml:space="preserve">Based on our analysis of the opportunity gain and sensitivity analysis of major industry groups for 2013-2018, China can further its gains by prioritizing Energy Drilling and Mining, Precious Stones, and Services and Utilities. We further note that China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-1%. Since a </w:t>
      </w:r>
      <w:r w:rsidDel="00000000" w:rsidR="00000000" w:rsidRPr="00000000">
        <w:rPr>
          <w:rtl w:val="0"/>
        </w:rPr>
        <w:t xml:space="preserve">low correlation</w:t>
      </w:r>
      <w:r w:rsidDel="00000000" w:rsidR="00000000" w:rsidRPr="00000000">
        <w:rPr>
          <w:rtl w:val="0"/>
        </w:rPr>
        <w:t xml:space="preserve"> exists between five-year GDP growth and the structural optimality index of an economy as we define and calculate, China indeed has a </w:t>
      </w:r>
      <w:r w:rsidDel="00000000" w:rsidR="00000000" w:rsidRPr="00000000">
        <w:rPr>
          <w:rtl w:val="0"/>
        </w:rPr>
        <w:t xml:space="preserve">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With the revised focus, China has further potential to advance its economic growth to maintain its position among other countries to continue its </w:t>
      </w:r>
      <w:r w:rsidDel="00000000" w:rsidR="00000000" w:rsidRPr="00000000">
        <w:rPr>
          <w:rtl w:val="0"/>
        </w:rPr>
        <w:t xml:space="preserve">post-pandemic recovery economic expansion</w:t>
      </w:r>
      <w:r w:rsidDel="00000000" w:rsidR="00000000" w:rsidRPr="00000000">
        <w:rPr>
          <w:rtl w:val="0"/>
        </w:rPr>
        <w:t xml:space="preserve">.</w:t>
      </w:r>
    </w:p>
    <w:p w:rsidR="00000000" w:rsidDel="00000000" w:rsidP="00000000" w:rsidRDefault="00000000" w:rsidRPr="00000000" w14:paraId="0000017B">
      <w:pPr>
        <w:pageBreakBefore w:val="0"/>
        <w:jc w:val="both"/>
        <w:rPr/>
      </w:pPr>
      <w:r w:rsidDel="00000000" w:rsidR="00000000" w:rsidRPr="00000000">
        <w:rPr>
          <w:rtl w:val="0"/>
        </w:rPr>
      </w:r>
    </w:p>
    <w:p w:rsidR="00000000" w:rsidDel="00000000" w:rsidP="00000000" w:rsidRDefault="00000000" w:rsidRPr="00000000" w14:paraId="0000017C">
      <w:pPr>
        <w:pageBreakBefore w:val="0"/>
        <w:jc w:val="both"/>
        <w:rPr/>
      </w:pPr>
      <w:r w:rsidDel="00000000" w:rsidR="00000000" w:rsidRPr="00000000">
        <w:rPr>
          <w:rtl w:val="0"/>
        </w:rPr>
      </w:r>
    </w:p>
    <w:p w:rsidR="00000000" w:rsidDel="00000000" w:rsidP="00000000" w:rsidRDefault="00000000" w:rsidRPr="00000000" w14:paraId="0000017D">
      <w:pPr>
        <w:pageBreakBefore w:val="0"/>
        <w:jc w:val="both"/>
        <w:rPr/>
      </w:pPr>
      <w:r w:rsidDel="00000000" w:rsidR="00000000" w:rsidRPr="00000000">
        <w:rPr>
          <w:rtl w:val="0"/>
        </w:rPr>
      </w:r>
    </w:p>
    <w:p w:rsidR="00000000" w:rsidDel="00000000" w:rsidP="00000000" w:rsidRDefault="00000000" w:rsidRPr="00000000" w14:paraId="0000017E">
      <w:pPr>
        <w:pageBreakBefore w:val="0"/>
        <w:jc w:val="both"/>
        <w:rPr/>
      </w:pP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8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8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8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8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8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8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8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91">
      <w:pPr>
        <w:pageBreakBefore w:val="0"/>
        <w:jc w:val="both"/>
        <w:rPr/>
      </w:pPr>
      <w:r w:rsidDel="00000000" w:rsidR="00000000" w:rsidRPr="00000000">
        <w:rPr>
          <w:rtl w:val="0"/>
        </w:rPr>
      </w:r>
    </w:p>
    <w:sectPr>
      <w:headerReference r:id="rId23" w:type="default"/>
      <w:footerReference r:id="rId24" w:type="default"/>
      <w:footerReference r:id="rId25" w:type="first"/>
      <w:footerReference r:id="rId2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png"/><Relationship Id="rId21" Type="http://schemas.openxmlformats.org/officeDocument/2006/relationships/image" Target="media/image11.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7.png"/><Relationship Id="rId8" Type="http://schemas.openxmlformats.org/officeDocument/2006/relationships/image" Target="media/image14.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9.jpg"/><Relationship Id="rId15" Type="http://schemas.openxmlformats.org/officeDocument/2006/relationships/image" Target="media/image16.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