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15.png"/>
            <a:graphic>
              <a:graphicData uri="http://schemas.openxmlformats.org/drawingml/2006/picture">
                <pic:pic>
                  <pic:nvPicPr>
                    <pic:cNvPr id="0" name="image1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Germany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Germany</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Germany went through during the period from 2019 to 2022. Specifically, we dive into the topic through a macroeconomic overview of Germany from the perspective of Gross Domestic Product (GDP) and Economic Complexity Index (ECI), which reflect countries’ production capability and production structure, respectively. We find that during the period of our interest, Germany demonstrated a low level of economic growth with an average annual GDP growth rate of 1.26% between 2019 and 2022, with an increased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Germany on the industry group level, as well as the stagnant macro and microeconomic strategies. The product classification system we adopt allows us to measure the realized industry development for various industry groups and to observe that Germany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Germany could further its gains by prioritizing Weapons, Food and Preparations, Animals and By-products, and Precious Stones in 2022. We further note that Germany has a </w:t>
      </w:r>
      <w:r w:rsidDel="00000000" w:rsidR="00000000" w:rsidRPr="00000000">
        <w:rPr>
          <w:rtl w:val="0"/>
        </w:rPr>
        <w:t xml:space="preserve">heavily </w:t>
      </w:r>
      <w:r w:rsidDel="00000000" w:rsidR="00000000" w:rsidRPr="00000000">
        <w:rPr>
          <w:rtl w:val="0"/>
        </w:rPr>
        <w:t xml:space="preserve">mismatched development strategy that indicates a </w:t>
      </w:r>
      <w:r w:rsidDel="00000000" w:rsidR="00000000" w:rsidRPr="00000000">
        <w:rPr>
          <w:rtl w:val="0"/>
        </w:rPr>
        <w:t xml:space="preserve">low </w:t>
      </w:r>
      <w:r w:rsidDel="00000000" w:rsidR="00000000" w:rsidRPr="00000000">
        <w:rPr>
          <w:rtl w:val="0"/>
        </w:rPr>
        <w:t xml:space="preserve">level (compared to other developed countries) of structural optimality on the complexity level, having an adjusted R-square of around</w:t>
      </w:r>
      <w:r w:rsidDel="00000000" w:rsidR="00000000" w:rsidRPr="00000000">
        <w:rPr>
          <w:rtl w:val="0"/>
        </w:rPr>
        <w:t xml:space="preserve"> 25.4% </w:t>
      </w:r>
      <w:r w:rsidDel="00000000" w:rsidR="00000000" w:rsidRPr="00000000">
        <w:rPr>
          <w:rtl w:val="0"/>
        </w:rPr>
        <w:t xml:space="preserve">in 2022.</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Germany indeed has a</w:t>
      </w:r>
      <w:r w:rsidDel="00000000" w:rsidR="00000000" w:rsidRPr="00000000">
        <w:rPr>
          <w:rtl w:val="0"/>
        </w:rPr>
        <w:t xml:space="preserve"> </w:t>
      </w:r>
      <w:r w:rsidDel="00000000" w:rsidR="00000000" w:rsidRPr="00000000">
        <w:rPr>
          <w:rtl w:val="0"/>
        </w:rPr>
        <w:t xml:space="preserve">suboptimal </w:t>
      </w:r>
      <w:r w:rsidDel="00000000" w:rsidR="00000000" w:rsidRPr="00000000">
        <w:rPr>
          <w:rtl w:val="0"/>
        </w:rPr>
        <w:t xml:space="preserve">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2022 showed a significant improvement in Germany’s economic growth, boosting its position on the global scale. Its GDP recovered to above the pre-pandemic levels, and it saw a </w:t>
      </w:r>
      <w:r w:rsidDel="00000000" w:rsidR="00000000" w:rsidRPr="00000000">
        <w:rPr>
          <w:rtl w:val="0"/>
        </w:rPr>
        <w:t xml:space="preserve">significant boost</w:t>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Germany went through during the period from 2019 to 2022, including the COVID pandemic. Specifically, we dive into the topic through a macroeconomic overview of Germany from the perspective of Gross Domestic Product (GDP) and Economic Complexity Index (ECI), which reflect countries’ production capability and production structure, respectively. We then analyze the industrial framework and changes of Germany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Germany,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 illustrates the time-series GDP results for Germany and four of its peer countries China, Japan, France, and USA from 2019 to 2022. Similar to the other countries, Germany</w:t>
      </w:r>
      <w:r w:rsidDel="00000000" w:rsidR="00000000" w:rsidRPr="00000000">
        <w:rPr>
          <w:rtl w:val="0"/>
        </w:rPr>
        <w:t xml:space="preserve"> </w:t>
      </w:r>
      <w:r w:rsidDel="00000000" w:rsidR="00000000" w:rsidRPr="00000000">
        <w:rPr>
          <w:rtl w:val="0"/>
        </w:rPr>
        <w:t xml:space="preserve">displayed an eventual upward trend over the period; however, its growth was less consistent than both China and</w:t>
      </w:r>
      <w:r w:rsidDel="00000000" w:rsidR="00000000" w:rsidRPr="00000000">
        <w:rPr>
          <w:rtl w:val="0"/>
        </w:rPr>
        <w:t xml:space="preserve"> </w:t>
      </w:r>
      <w:r w:rsidDel="00000000" w:rsidR="00000000" w:rsidRPr="00000000">
        <w:rPr>
          <w:rtl w:val="0"/>
        </w:rPr>
        <w:t xml:space="preserve">USA’s growth. Germany’s average annual GDP growth rate was 1.26%, which puts it lower than China’s 6.25%, USA’s 4.62% but higher than France’s 0.69% and Japan’s -4.43%.</w:t>
      </w:r>
    </w:p>
    <w:p w:rsidR="00000000" w:rsidDel="00000000" w:rsidP="00000000" w:rsidRDefault="00000000" w:rsidRPr="00000000" w14:paraId="0000001E">
      <w:pPr>
        <w:jc w:val="center"/>
        <w:rPr>
          <w:color w:val="444499"/>
          <w:sz w:val="20"/>
          <w:szCs w:val="20"/>
        </w:rPr>
      </w:pPr>
      <w:r w:rsidDel="00000000" w:rsidR="00000000" w:rsidRPr="00000000">
        <w:rPr>
          <w:i w:val="1"/>
          <w:iCs w:val="1"/>
          <w:color w:val="444499"/>
          <w:sz w:val="20"/>
          <w:szCs w:val="20"/>
        </w:rPr>
        <w:drawing>
          <wp:inline distB="114300" distT="114300" distL="114300" distR="114300">
            <wp:extent cx="2863688" cy="2144132"/>
            <wp:effectExtent b="0" l="0" r="0" t="0"/>
            <wp:docPr id="9"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63688" cy="214413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20">
      <w:pPr>
        <w:pageBreakBefore w:val="0"/>
        <w:jc w:val="left"/>
        <w:rPr/>
      </w:pPr>
      <w:r w:rsidDel="00000000" w:rsidR="00000000" w:rsidRPr="00000000">
        <w:rPr>
          <w:rtl w:val="0"/>
        </w:rPr>
      </w:r>
    </w:p>
    <w:p w:rsidR="00000000" w:rsidDel="00000000" w:rsidP="00000000" w:rsidRDefault="00000000" w:rsidRPr="00000000" w14:paraId="00000021">
      <w:pPr>
        <w:pageBreakBefore w:val="0"/>
        <w:jc w:val="left"/>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As shown, Germany exhibits a decrease in production capability from 2019 to 2022. Germany is in a moderate position in ECI terms, as its ECI change of -180.12% is greater than Japan’s -203.32% and USA’s -193.0% but less than China’s -174.98% and France’s -157.77%. Germany, China, Japan, and Germany all experience a drastic decrease between 2020-2021. This decrease in Germany may be explained by budgetary constraints placed on the country during the COVID-19 pandemic.</w:t>
      </w:r>
    </w:p>
    <w:p w:rsidR="00000000" w:rsidDel="00000000" w:rsidP="00000000" w:rsidRDefault="00000000" w:rsidRPr="00000000" w14:paraId="00000026">
      <w:pPr>
        <w:pageBreakBefore w:val="0"/>
        <w:jc w:val="center"/>
        <w:rPr/>
      </w:pPr>
      <w:r w:rsidDel="00000000" w:rsidR="00000000" w:rsidRPr="00000000">
        <w:rPr/>
        <w:drawing>
          <wp:inline distB="114300" distT="114300" distL="114300" distR="114300">
            <wp:extent cx="2732069" cy="2043113"/>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32069"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 </w:t>
      </w:r>
      <w:r w:rsidDel="00000000" w:rsidR="00000000" w:rsidRPr="00000000">
        <w:rPr>
          <w:rtl w:val="0"/>
        </w:rPr>
        <w:t xml:space="preserve">                        </w:t>
      </w:r>
    </w:p>
    <w:p w:rsidR="00000000" w:rsidDel="00000000" w:rsidP="00000000" w:rsidRDefault="00000000" w:rsidRPr="00000000" w14:paraId="00000028">
      <w:pPr>
        <w:pageBreakBefore w:val="0"/>
        <w:jc w:val="left"/>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Figure 3 offers a further comparison of GDP Growth and ECI over the time span from 2019 to 2022 for Germany. The GDP growth during the period from 2019 to 2021 is accompanied by a similarly volatile decrease in ECI. The results show that the economic growth experienced by Germany during the period from 2019 to 2022 is </w:t>
      </w:r>
      <w:r w:rsidDel="00000000" w:rsidR="00000000" w:rsidRPr="00000000">
        <w:rPr>
          <w:rtl w:val="0"/>
        </w:rPr>
        <w:t xml:space="preserve">only partially consistent</w:t>
      </w:r>
      <w:r w:rsidDel="00000000" w:rsidR="00000000" w:rsidRPr="00000000">
        <w:rPr>
          <w:rtl w:val="0"/>
        </w:rPr>
        <w:t xml:space="preserve"> with the predictions by ECI and that Germany made weak progress towards effectively developing a competitive product space that helps to accumulate complicated knowledge and technology. In order to provide a more concrete answer to why this has happened, we will dive into an analysis of Germany’s production structure and its product space designs in the next few sections.</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387594" cy="2538413"/>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387594"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b w:val="0"/>
          <w:bCs w:val="0"/>
          <w:i w:val="1"/>
          <w:iCs w:val="1"/>
          <w:color w:val="444499"/>
          <w:sz w:val="20"/>
          <w:szCs w:val="20"/>
        </w:rPr>
      </w:pPr>
      <w:r w:rsidDel="00000000" w:rsidR="00000000" w:rsidRPr="00000000">
        <w:rPr>
          <w:sz w:val="22"/>
          <w:szCs w:val="22"/>
          <w:rtl w:val="0"/>
        </w:rPr>
        <w:t xml:space="preserve">Figure 3. GDP Growth and ECI for</w:t>
      </w:r>
      <w:r w:rsidDel="00000000" w:rsidR="00000000" w:rsidRPr="00000000">
        <w:rPr>
          <w:sz w:val="22"/>
          <w:szCs w:val="22"/>
          <w:rtl w:val="0"/>
        </w:rPr>
        <w:t xml:space="preserve"> </w:t>
      </w:r>
      <w:r w:rsidDel="00000000" w:rsidR="00000000" w:rsidRPr="00000000">
        <w:rPr>
          <w:sz w:val="22"/>
          <w:szCs w:val="22"/>
          <w:rtl w:val="0"/>
        </w:rPr>
        <w:t xml:space="preserve">Germany (2019-2022)</w:t>
      </w:r>
      <w:r w:rsidDel="00000000" w:rsidR="00000000" w:rsidRPr="00000000">
        <w:rPr>
          <w:rtl w:val="0"/>
        </w:rPr>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2">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C">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6">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7">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8">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B">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F">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0">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jc w:val="center"/>
              <w:rPr/>
            </w:pPr>
            <w:r w:rsidDel="00000000" w:rsidR="00000000" w:rsidRPr="00000000">
              <w:rPr>
                <w:rtl w:val="0"/>
              </w:rPr>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9">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A">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D">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4">
      <w:pPr>
        <w:pageBreakBefore w:val="0"/>
        <w:jc w:val="center"/>
        <w:rPr>
          <w:sz w:val="22"/>
          <w:szCs w:val="22"/>
        </w:rPr>
      </w:pPr>
      <w:r w:rsidDel="00000000" w:rsidR="00000000" w:rsidRPr="00000000">
        <w:rPr>
          <w:rtl w:val="0"/>
        </w:rPr>
      </w:r>
    </w:p>
    <w:p w:rsidR="00000000" w:rsidDel="00000000" w:rsidP="00000000" w:rsidRDefault="00000000" w:rsidRPr="00000000" w14:paraId="00000085">
      <w:pPr>
        <w:pageBreakBefore w:val="0"/>
        <w:jc w:val="both"/>
        <w:rPr>
          <w:b w:val="1"/>
          <w:bCs w:val="1"/>
        </w:rPr>
      </w:pPr>
      <w:r w:rsidDel="00000000" w:rsidR="00000000" w:rsidRPr="00000000">
        <w:rPr>
          <w:rtl w:val="0"/>
        </w:rPr>
      </w:r>
    </w:p>
    <w:p w:rsidR="00000000" w:rsidDel="00000000" w:rsidP="00000000" w:rsidRDefault="00000000" w:rsidRPr="00000000" w14:paraId="0000008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7">
      <w:pPr>
        <w:pageBreakBefore w:val="0"/>
        <w:jc w:val="both"/>
        <w:rPr/>
      </w:pPr>
      <w:r w:rsidDel="00000000" w:rsidR="00000000" w:rsidRPr="00000000">
        <w:rPr>
          <w:rtl w:val="0"/>
        </w:rPr>
        <w:t xml:space="preserve">Based on the aforementioned product categorization, we aim to capture Germany’s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Germany and the 18 product groups in 2022 through the difference, where a positive RID indicates a shortening of the distance (i.e., advancement of the industry), and a negative RID indicates the reverse.</w:t>
      </w:r>
    </w:p>
    <w:p w:rsidR="00000000" w:rsidDel="00000000" w:rsidP="00000000" w:rsidRDefault="00000000" w:rsidRPr="00000000" w14:paraId="00000088">
      <w:pPr>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ind w:left="18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0.02390</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0.03822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0.04059</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0.04351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0.05124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0.05509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0.06139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0.06415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0.06880</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0.07197</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0.07859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0.08518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0.08865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0.09328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0.09329</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0.11991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0.12742</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0.14740</w:t>
            </w:r>
          </w:p>
        </w:tc>
      </w:tr>
    </w:tbl>
    <w:p w:rsidR="00000000" w:rsidDel="00000000" w:rsidP="00000000" w:rsidRDefault="00000000" w:rsidRPr="00000000" w14:paraId="000000AF">
      <w:pPr>
        <w:pageBreakBefore w:val="0"/>
        <w:jc w:val="center"/>
        <w:rPr>
          <w:b w:val="1"/>
          <w:bCs w:val="1"/>
        </w:rPr>
      </w:pPr>
      <w:r w:rsidDel="00000000" w:rsidR="00000000" w:rsidRPr="00000000">
        <w:rPr>
          <w:sz w:val="22"/>
          <w:szCs w:val="22"/>
          <w:rtl w:val="0"/>
        </w:rPr>
        <w:t xml:space="preserve">Table 3. Realized Industry Development (RID) of Germany</w:t>
      </w:r>
      <w:r w:rsidDel="00000000" w:rsidR="00000000" w:rsidRPr="00000000">
        <w:rPr>
          <w:rtl w:val="0"/>
        </w:rPr>
      </w:r>
    </w:p>
    <w:p w:rsidR="00000000" w:rsidDel="00000000" w:rsidP="00000000" w:rsidRDefault="00000000" w:rsidRPr="00000000" w14:paraId="000000B0">
      <w:pPr>
        <w:pageBreakBefore w:val="0"/>
        <w:jc w:val="both"/>
        <w:rPr>
          <w:b w:val="1"/>
          <w:bCs w:val="1"/>
        </w:rPr>
      </w:pPr>
      <w:r w:rsidDel="00000000" w:rsidR="00000000" w:rsidRPr="00000000">
        <w:rPr>
          <w:rtl w:val="0"/>
        </w:rPr>
      </w:r>
    </w:p>
    <w:p w:rsidR="00000000" w:rsidDel="00000000" w:rsidP="00000000" w:rsidRDefault="00000000" w:rsidRPr="00000000" w14:paraId="000000B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2">
      <w:pPr>
        <w:pageBreakBefore w:val="0"/>
        <w:jc w:val="both"/>
        <w:rPr/>
      </w:pPr>
      <w:r w:rsidDel="00000000" w:rsidR="00000000" w:rsidRPr="00000000">
        <w:rPr>
          <w:rtl w:val="0"/>
        </w:rPr>
        <w:t xml:space="preserve">Table 4a below summarizes how the production strategy adopted by Germany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3">
      <w:pPr>
        <w:jc w:val="both"/>
        <w:rPr/>
      </w:pPr>
      <w:r w:rsidDel="00000000" w:rsidR="00000000" w:rsidRPr="00000000">
        <w:rPr>
          <w:rtl w:val="0"/>
        </w:rPr>
      </w:r>
    </w:p>
    <w:tbl>
      <w:tblPr>
        <w:tblStyle w:val="Table5"/>
        <w:tblW w:w="9030.0" w:type="dxa"/>
        <w:jc w:val="center"/>
        <w:tblLayout w:type="fixed"/>
        <w:tblLook w:val="04A0"/>
      </w:tblPr>
      <w:tblGrid>
        <w:gridCol w:w="1125"/>
        <w:gridCol w:w="2835"/>
        <w:gridCol w:w="2550"/>
        <w:gridCol w:w="2520"/>
        <w:tblGridChange w:id="0">
          <w:tblGrid>
            <w:gridCol w:w="1125"/>
            <w:gridCol w:w="2835"/>
            <w:gridCol w:w="2550"/>
            <w:gridCol w:w="2520"/>
          </w:tblGrid>
        </w:tblGridChange>
      </w:tblGrid>
      <w:tr>
        <w:trPr>
          <w:cantSplit w:val="0"/>
          <w:tblHeader w:val="0"/>
        </w:trPr>
        <w:tc>
          <w:tcPr>
            <w:vAlign w:val="center"/>
          </w:tcPr>
          <w:p w:rsidR="00000000" w:rsidDel="00000000" w:rsidP="00000000" w:rsidRDefault="00000000" w:rsidRPr="00000000" w14:paraId="000000B4">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5">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6">
            <w:pPr>
              <w:jc w:val="both"/>
              <w:rPr/>
            </w:pPr>
            <w:r w:rsidDel="00000000" w:rsidR="00000000" w:rsidRPr="00000000">
              <w:rPr>
                <w:rtl w:val="0"/>
              </w:rPr>
              <w:t xml:space="preserve">Greece</w:t>
            </w:r>
          </w:p>
        </w:tc>
        <w:tc>
          <w:tcPr>
            <w:vAlign w:val="center"/>
          </w:tcPr>
          <w:p w:rsidR="00000000" w:rsidDel="00000000" w:rsidP="00000000" w:rsidRDefault="00000000" w:rsidRPr="00000000" w14:paraId="000000B7">
            <w:pPr>
              <w:jc w:val="both"/>
              <w:rPr/>
            </w:pPr>
            <w:r w:rsidDel="00000000" w:rsidR="00000000" w:rsidRPr="00000000">
              <w:rPr>
                <w:rtl w:val="0"/>
              </w:rPr>
              <w:t xml:space="preserve">Portugal</w:t>
            </w:r>
          </w:p>
        </w:tc>
      </w:tr>
      <w:tr>
        <w:trPr>
          <w:cantSplit w:val="0"/>
          <w:tblHeader w:val="0"/>
        </w:trPr>
        <w:tc>
          <w:tcPr>
            <w:vAlign w:val="center"/>
          </w:tcPr>
          <w:p w:rsidR="00000000" w:rsidDel="00000000" w:rsidP="00000000" w:rsidRDefault="00000000" w:rsidRPr="00000000" w14:paraId="000000B8">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9">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BA">
            <w:pPr>
              <w:jc w:val="both"/>
              <w:rPr>
                <w:sz w:val="20"/>
                <w:szCs w:val="20"/>
              </w:rPr>
            </w:pPr>
            <w:r w:rsidDel="00000000" w:rsidR="00000000" w:rsidRPr="00000000">
              <w:rPr>
                <w:color w:val="000000"/>
                <w:rtl w:val="0"/>
              </w:rPr>
              <w:t xml:space="preserve">Energy Drilling</w:t>
            </w:r>
            <w:r w:rsidDel="00000000" w:rsidR="00000000" w:rsidRPr="00000000">
              <w:rPr>
                <w:rtl w:val="0"/>
              </w:rPr>
            </w:r>
          </w:p>
        </w:tc>
        <w:tc>
          <w:tcPr>
            <w:vAlign w:val="center"/>
          </w:tcPr>
          <w:p w:rsidR="00000000" w:rsidDel="00000000" w:rsidP="00000000" w:rsidRDefault="00000000" w:rsidRPr="00000000" w14:paraId="000000BB">
            <w:pPr>
              <w:jc w:val="both"/>
              <w:rPr>
                <w:sz w:val="20"/>
                <w:szCs w:val="20"/>
              </w:rPr>
            </w:pPr>
            <w:r w:rsidDel="00000000" w:rsidR="00000000" w:rsidRPr="00000000">
              <w:rPr>
                <w:color w:val="000000"/>
                <w:rtl w:val="0"/>
              </w:rPr>
              <w:t xml:space="preserve">Textile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D">
            <w:pPr>
              <w:jc w:val="both"/>
              <w:rPr>
                <w:sz w:val="20"/>
                <w:szCs w:val="20"/>
              </w:rPr>
            </w:pPr>
            <w:r w:rsidDel="00000000" w:rsidR="00000000" w:rsidRPr="00000000">
              <w:rPr>
                <w:color w:val="000000"/>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E">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BF">
            <w:pPr>
              <w:jc w:val="both"/>
              <w:rPr>
                <w:sz w:val="20"/>
                <w:szCs w:val="20"/>
              </w:rPr>
            </w:pPr>
            <w:r w:rsidDel="00000000" w:rsidR="00000000" w:rsidRPr="00000000">
              <w:rPr>
                <w:color w:val="000000"/>
                <w:rtl w:val="0"/>
              </w:rPr>
              <w:t xml:space="preserve">Fruit and Plants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1">
            <w:pPr>
              <w:jc w:val="both"/>
              <w:rPr>
                <w:sz w:val="20"/>
                <w:szCs w:val="20"/>
              </w:rPr>
            </w:pPr>
            <w:r w:rsidDel="00000000" w:rsidR="00000000" w:rsidRPr="00000000">
              <w:rPr>
                <w:color w:val="000000"/>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2">
            <w:pPr>
              <w:jc w:val="both"/>
              <w:rPr>
                <w:sz w:val="20"/>
                <w:szCs w:val="20"/>
              </w:rPr>
            </w:pPr>
            <w:r w:rsidDel="00000000" w:rsidR="00000000" w:rsidRPr="00000000">
              <w:rPr>
                <w:color w:val="000000"/>
                <w:rtl w:val="0"/>
              </w:rPr>
              <w:t xml:space="preserve">Services and Utilities</w:t>
            </w:r>
            <w:r w:rsidDel="00000000" w:rsidR="00000000" w:rsidRPr="00000000">
              <w:rPr>
                <w:rtl w:val="0"/>
              </w:rPr>
            </w:r>
          </w:p>
        </w:tc>
        <w:tc>
          <w:tcPr>
            <w:vAlign w:val="center"/>
          </w:tcPr>
          <w:p w:rsidR="00000000" w:rsidDel="00000000" w:rsidP="00000000" w:rsidRDefault="00000000" w:rsidRPr="00000000" w14:paraId="000000C3">
            <w:pPr>
              <w:jc w:val="both"/>
              <w:rPr>
                <w:sz w:val="20"/>
                <w:szCs w:val="20"/>
              </w:rPr>
            </w:pPr>
            <w:r w:rsidDel="00000000" w:rsidR="00000000" w:rsidRPr="00000000">
              <w:rPr>
                <w:color w:val="000000"/>
                <w:rtl w:val="0"/>
              </w:rPr>
              <w:t xml:space="preserve">Daily Instruments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5">
            <w:pPr>
              <w:jc w:val="both"/>
              <w:rPr>
                <w:sz w:val="20"/>
                <w:szCs w:val="20"/>
              </w:rPr>
            </w:pPr>
            <w:r w:rsidDel="00000000" w:rsidR="00000000" w:rsidRPr="00000000">
              <w:rPr>
                <w:color w:val="000000"/>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6">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c>
          <w:tcPr>
            <w:vAlign w:val="center"/>
          </w:tcPr>
          <w:p w:rsidR="00000000" w:rsidDel="00000000" w:rsidP="00000000" w:rsidRDefault="00000000" w:rsidRPr="00000000" w14:paraId="000000C7">
            <w:pPr>
              <w:jc w:val="both"/>
              <w:rPr>
                <w:sz w:val="20"/>
                <w:szCs w:val="20"/>
              </w:rPr>
            </w:pPr>
            <w:r w:rsidDel="00000000" w:rsidR="00000000" w:rsidRPr="00000000">
              <w:rPr>
                <w:color w:val="000000"/>
                <w:rtl w:val="0"/>
              </w:rPr>
              <w:t xml:space="preserve">Clothing &amp; Accessories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9">
            <w:pPr>
              <w:jc w:val="both"/>
              <w:rPr>
                <w:sz w:val="20"/>
                <w:szCs w:val="20"/>
              </w:rPr>
            </w:pPr>
            <w:r w:rsidDel="00000000" w:rsidR="00000000" w:rsidRPr="00000000">
              <w:rPr>
                <w:color w:val="000000"/>
                <w:rtl w:val="0"/>
              </w:rPr>
              <w:t xml:space="preserve">Animals &amp; By-products</w:t>
            </w:r>
            <w:r w:rsidDel="00000000" w:rsidR="00000000" w:rsidRPr="00000000">
              <w:rPr>
                <w:rtl w:val="0"/>
              </w:rPr>
            </w:r>
          </w:p>
        </w:tc>
        <w:tc>
          <w:tcPr>
            <w:vAlign w:val="center"/>
          </w:tcPr>
          <w:p w:rsidR="00000000" w:rsidDel="00000000" w:rsidP="00000000" w:rsidRDefault="00000000" w:rsidRPr="00000000" w14:paraId="000000CA">
            <w:pPr>
              <w:jc w:val="both"/>
              <w:rPr>
                <w:sz w:val="20"/>
                <w:szCs w:val="20"/>
              </w:rPr>
            </w:pPr>
            <w:r w:rsidDel="00000000" w:rsidR="00000000" w:rsidRPr="00000000">
              <w:rPr>
                <w:color w:val="000000"/>
                <w:rtl w:val="0"/>
              </w:rPr>
              <w:t xml:space="preserve">Wood Products</w:t>
            </w:r>
            <w:r w:rsidDel="00000000" w:rsidR="00000000" w:rsidRPr="00000000">
              <w:rPr>
                <w:rtl w:val="0"/>
              </w:rPr>
            </w:r>
          </w:p>
        </w:tc>
        <w:tc>
          <w:tcPr>
            <w:vAlign w:val="center"/>
          </w:tcPr>
          <w:p w:rsidR="00000000" w:rsidDel="00000000" w:rsidP="00000000" w:rsidRDefault="00000000" w:rsidRPr="00000000" w14:paraId="000000CB">
            <w:pPr>
              <w:jc w:val="both"/>
              <w:rPr>
                <w:sz w:val="20"/>
                <w:szCs w:val="20"/>
              </w:rPr>
            </w:pPr>
            <w:r w:rsidDel="00000000" w:rsidR="00000000" w:rsidRPr="00000000">
              <w:rPr>
                <w:color w:val="000000"/>
                <w:rtl w:val="0"/>
              </w:rPr>
              <w:t xml:space="preserve">Transportation</w:t>
            </w:r>
            <w:r w:rsidDel="00000000" w:rsidR="00000000" w:rsidRPr="00000000">
              <w:rPr>
                <w:rtl w:val="0"/>
              </w:rPr>
            </w:r>
          </w:p>
        </w:tc>
      </w:tr>
    </w:tbl>
    <w:p w:rsidR="00000000" w:rsidDel="00000000" w:rsidP="00000000" w:rsidRDefault="00000000" w:rsidRPr="00000000" w14:paraId="000000CC">
      <w:pPr>
        <w:jc w:val="center"/>
        <w:rPr>
          <w:sz w:val="22"/>
          <w:szCs w:val="22"/>
        </w:rPr>
      </w:pPr>
      <w:r w:rsidDel="00000000" w:rsidR="00000000" w:rsidRPr="00000000">
        <w:rPr>
          <w:sz w:val="22"/>
          <w:szCs w:val="22"/>
          <w:rtl w:val="0"/>
        </w:rPr>
        <w:t xml:space="preserve">Table 4. RID Comparison across Leading Economies (2022)</w:t>
      </w:r>
    </w:p>
    <w:p w:rsidR="00000000" w:rsidDel="00000000" w:rsidP="00000000" w:rsidRDefault="00000000" w:rsidRPr="00000000" w14:paraId="000000CD">
      <w:pPr>
        <w:jc w:val="center"/>
        <w:rPr>
          <w:sz w:val="22"/>
          <w:szCs w:val="22"/>
        </w:rPr>
      </w:pPr>
      <w:r w:rsidDel="00000000" w:rsidR="00000000" w:rsidRPr="00000000">
        <w:rPr>
          <w:rtl w:val="0"/>
        </w:rPr>
      </w:r>
    </w:p>
    <w:p w:rsidR="00000000" w:rsidDel="00000000" w:rsidP="00000000" w:rsidRDefault="00000000" w:rsidRPr="00000000" w14:paraId="000000CE">
      <w:pPr>
        <w:jc w:val="both"/>
        <w:rPr>
          <w:sz w:val="22"/>
          <w:szCs w:val="22"/>
        </w:rPr>
      </w:pPr>
      <w:r w:rsidDel="00000000" w:rsidR="00000000" w:rsidRPr="00000000">
        <w:rPr>
          <w:rtl w:val="0"/>
        </w:rPr>
        <w:t xml:space="preserve">Table 4b further examines Germany’s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0">
            <w:pPr>
              <w:jc w:val="both"/>
              <w:rPr/>
            </w:pPr>
            <w:r w:rsidDel="00000000" w:rsidR="00000000" w:rsidRPr="00000000">
              <w:rPr>
                <w:rtl w:val="0"/>
              </w:rPr>
              <w:t xml:space="preserve">Ranking</w:t>
            </w:r>
          </w:p>
        </w:tc>
        <w:tc>
          <w:tcPr/>
          <w:p w:rsidR="00000000" w:rsidDel="00000000" w:rsidP="00000000" w:rsidRDefault="00000000" w:rsidRPr="00000000" w14:paraId="000000D1">
            <w:pPr>
              <w:jc w:val="both"/>
              <w:rPr/>
            </w:pPr>
            <w:r w:rsidDel="00000000" w:rsidR="00000000" w:rsidRPr="00000000">
              <w:rPr>
                <w:rtl w:val="0"/>
              </w:rPr>
              <w:t xml:space="preserve">China</w:t>
            </w:r>
          </w:p>
        </w:tc>
        <w:tc>
          <w:tcPr/>
          <w:p w:rsidR="00000000" w:rsidDel="00000000" w:rsidP="00000000" w:rsidRDefault="00000000" w:rsidRPr="00000000" w14:paraId="000000D2">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4">
            <w:pPr>
              <w:jc w:val="both"/>
              <w:rPr>
                <w:color w:val="000000"/>
                <w:sz w:val="20"/>
                <w:szCs w:val="20"/>
              </w:rPr>
            </w:pPr>
            <w:r w:rsidDel="00000000" w:rsidR="00000000" w:rsidRPr="00000000">
              <w:rPr>
                <w:color w:val="000000"/>
                <w:sz w:val="20"/>
                <w:szCs w:val="20"/>
                <w:rtl w:val="0"/>
              </w:rPr>
              <w:t xml:space="preserve">Chemicals</w:t>
            </w:r>
          </w:p>
        </w:tc>
        <w:tc>
          <w:tcPr>
            <w:vAlign w:val="bottom"/>
          </w:tcPr>
          <w:p w:rsidR="00000000" w:rsidDel="00000000" w:rsidP="00000000" w:rsidRDefault="00000000" w:rsidRPr="00000000" w14:paraId="000000D5">
            <w:pPr>
              <w:jc w:val="both"/>
              <w:rPr>
                <w:color w:val="000000"/>
                <w:sz w:val="20"/>
                <w:szCs w:val="20"/>
              </w:rPr>
            </w:pPr>
            <w:r w:rsidDel="00000000" w:rsidR="00000000" w:rsidRPr="00000000">
              <w:rPr>
                <w:color w:val="000000"/>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6">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7">
            <w:pPr>
              <w:jc w:val="both"/>
              <w:rPr>
                <w:color w:val="000000"/>
                <w:sz w:val="20"/>
                <w:szCs w:val="20"/>
              </w:rPr>
            </w:pPr>
            <w:r w:rsidDel="00000000" w:rsidR="00000000" w:rsidRPr="00000000">
              <w:rPr>
                <w:color w:val="000000"/>
                <w:sz w:val="20"/>
                <w:szCs w:val="20"/>
                <w:rtl w:val="0"/>
              </w:rPr>
              <w:t xml:space="preserve">Daily Instruments</w:t>
            </w:r>
          </w:p>
        </w:tc>
        <w:tc>
          <w:tcPr>
            <w:vAlign w:val="bottom"/>
          </w:tcPr>
          <w:p w:rsidR="00000000" w:rsidDel="00000000" w:rsidP="00000000" w:rsidRDefault="00000000" w:rsidRPr="00000000" w14:paraId="000000D8">
            <w:pPr>
              <w:jc w:val="both"/>
              <w:rPr>
                <w:color w:val="000000"/>
                <w:sz w:val="20"/>
                <w:szCs w:val="20"/>
              </w:rPr>
            </w:pPr>
            <w:r w:rsidDel="00000000" w:rsidR="00000000" w:rsidRPr="00000000">
              <w:rPr>
                <w:color w:val="000000"/>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9">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A">
            <w:pPr>
              <w:jc w:val="both"/>
              <w:rPr>
                <w:color w:val="000000"/>
                <w:sz w:val="20"/>
                <w:szCs w:val="20"/>
              </w:rPr>
            </w:pPr>
            <w:r w:rsidDel="00000000" w:rsidR="00000000" w:rsidRPr="00000000">
              <w:rPr>
                <w:color w:val="000000"/>
                <w:sz w:val="20"/>
                <w:szCs w:val="20"/>
                <w:rtl w:val="0"/>
              </w:rPr>
              <w:t xml:space="preserve">Transportation</w:t>
            </w:r>
          </w:p>
        </w:tc>
        <w:tc>
          <w:tcPr>
            <w:vAlign w:val="bottom"/>
          </w:tcPr>
          <w:p w:rsidR="00000000" w:rsidDel="00000000" w:rsidP="00000000" w:rsidRDefault="00000000" w:rsidRPr="00000000" w14:paraId="000000DB">
            <w:pPr>
              <w:jc w:val="both"/>
              <w:rPr>
                <w:color w:val="000000"/>
                <w:sz w:val="20"/>
                <w:szCs w:val="20"/>
              </w:rPr>
            </w:pPr>
            <w:r w:rsidDel="00000000" w:rsidR="00000000" w:rsidRPr="00000000">
              <w:rPr>
                <w:color w:val="000000"/>
                <w:sz w:val="20"/>
                <w:szCs w:val="20"/>
                <w:rtl w:val="0"/>
              </w:rPr>
              <w:t xml:space="preserve">Energy Drilling &amp; Mining</w:t>
            </w:r>
          </w:p>
        </w:tc>
      </w:tr>
      <w:tr>
        <w:trPr>
          <w:cantSplit w:val="0"/>
          <w:trHeight w:val="60" w:hRule="atLeast"/>
          <w:tblHeader w:val="0"/>
        </w:trPr>
        <w:tc>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D">
            <w:pPr>
              <w:jc w:val="both"/>
              <w:rPr>
                <w:color w:val="000000"/>
                <w:sz w:val="20"/>
                <w:szCs w:val="20"/>
              </w:rPr>
            </w:pPr>
            <w:r w:rsidDel="00000000" w:rsidR="00000000" w:rsidRPr="00000000">
              <w:rPr>
                <w:color w:val="000000"/>
                <w:sz w:val="20"/>
                <w:szCs w:val="20"/>
                <w:rtl w:val="0"/>
              </w:rPr>
              <w:t xml:space="preserve">Raw Manufacturing</w:t>
            </w:r>
          </w:p>
        </w:tc>
        <w:tc>
          <w:tcPr>
            <w:vAlign w:val="bottom"/>
          </w:tcPr>
          <w:p w:rsidR="00000000" w:rsidDel="00000000" w:rsidP="00000000" w:rsidRDefault="00000000" w:rsidRPr="00000000" w14:paraId="000000DE">
            <w:pPr>
              <w:jc w:val="both"/>
              <w:rPr>
                <w:color w:val="000000"/>
                <w:sz w:val="20"/>
                <w:szCs w:val="20"/>
              </w:rPr>
            </w:pPr>
            <w:r w:rsidDel="00000000" w:rsidR="00000000" w:rsidRPr="00000000">
              <w:rPr>
                <w:color w:val="000000"/>
                <w:sz w:val="20"/>
                <w:szCs w:val="20"/>
                <w:rtl w:val="0"/>
              </w:rPr>
              <w:t xml:space="preserve">Machinery &amp; Construction</w:t>
            </w:r>
          </w:p>
        </w:tc>
      </w:tr>
      <w:tr>
        <w:trPr>
          <w:cantSplit w:val="0"/>
          <w:trHeight w:val="225"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0">
            <w:pPr>
              <w:jc w:val="both"/>
              <w:rPr>
                <w:color w:val="000000"/>
                <w:sz w:val="20"/>
                <w:szCs w:val="20"/>
              </w:rPr>
            </w:pPr>
            <w:r w:rsidDel="00000000" w:rsidR="00000000" w:rsidRPr="00000000">
              <w:rPr>
                <w:color w:val="000000"/>
                <w:sz w:val="20"/>
                <w:szCs w:val="20"/>
                <w:rtl w:val="0"/>
              </w:rPr>
              <w:t xml:space="preserve">Weapons</w:t>
            </w:r>
          </w:p>
        </w:tc>
        <w:tc>
          <w:tcPr>
            <w:vAlign w:val="bottom"/>
          </w:tcPr>
          <w:p w:rsidR="00000000" w:rsidDel="00000000" w:rsidP="00000000" w:rsidRDefault="00000000" w:rsidRPr="00000000" w14:paraId="000000E1">
            <w:pPr>
              <w:jc w:val="both"/>
              <w:rPr>
                <w:color w:val="000000"/>
                <w:sz w:val="20"/>
                <w:szCs w:val="20"/>
              </w:rPr>
            </w:pPr>
            <w:r w:rsidDel="00000000" w:rsidR="00000000" w:rsidRPr="00000000">
              <w:rPr>
                <w:color w:val="000000"/>
                <w:sz w:val="20"/>
                <w:szCs w:val="20"/>
                <w:rtl w:val="0"/>
              </w:rPr>
              <w:t xml:space="preserve">Chemical Manufacturing</w:t>
            </w:r>
          </w:p>
        </w:tc>
      </w:tr>
    </w:tbl>
    <w:p w:rsidR="00000000" w:rsidDel="00000000" w:rsidP="00000000" w:rsidRDefault="00000000" w:rsidRPr="00000000" w14:paraId="000000E2">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6">
      <w:pPr>
        <w:pageBreakBefore w:val="0"/>
        <w:jc w:val="both"/>
        <w:rPr>
          <w:b w:val="1"/>
          <w:bCs w:val="1"/>
        </w:rPr>
      </w:pPr>
      <w:r w:rsidDel="00000000" w:rsidR="00000000" w:rsidRPr="00000000">
        <w:rPr>
          <w:rtl w:val="0"/>
        </w:rPr>
      </w:r>
    </w:p>
    <w:p w:rsidR="00000000" w:rsidDel="00000000" w:rsidP="00000000" w:rsidRDefault="00000000" w:rsidRPr="00000000" w14:paraId="000000E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B">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C">
      <w:pPr>
        <w:pageBreakBefore w:val="0"/>
        <w:jc w:val="left"/>
        <w:rPr/>
      </w:pPr>
      <w:r w:rsidDel="00000000" w:rsidR="00000000" w:rsidRPr="00000000">
        <w:rPr>
          <w:rtl w:val="0"/>
        </w:rPr>
      </w:r>
    </w:p>
    <w:p w:rsidR="00000000" w:rsidDel="00000000" w:rsidP="00000000" w:rsidRDefault="00000000" w:rsidRPr="00000000" w14:paraId="000000ED">
      <w:pPr>
        <w:tabs>
          <w:tab w:val="center" w:leader="none" w:pos="4680"/>
          <w:tab w:val="right" w:leader="none" w:pos="9360"/>
        </w:tabs>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731200" cy="1892300"/>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center"/>
        <w:rPr>
          <w:sz w:val="22"/>
          <w:szCs w:val="22"/>
        </w:rPr>
      </w:pPr>
      <w:r w:rsidDel="00000000" w:rsidR="00000000" w:rsidRPr="00000000">
        <w:rPr>
          <w:sz w:val="22"/>
          <w:szCs w:val="22"/>
          <w:rtl w:val="0"/>
        </w:rPr>
        <w:t xml:space="preserve">Table 5.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22)</w:t>
      </w:r>
    </w:p>
    <w:p w:rsidR="00000000" w:rsidDel="00000000" w:rsidP="00000000" w:rsidRDefault="00000000" w:rsidRPr="00000000" w14:paraId="000000EF">
      <w:pPr>
        <w:pageBreakBefore w:val="0"/>
        <w:jc w:val="center"/>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We define the ranking of opportunity gain for a country c, as the Suggested Development Vector (SDV) of c. Table 5 summarizes how the SDV of Germany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0F1">
      <w:pPr>
        <w:pageBreakBefore w:val="0"/>
        <w:jc w:val="both"/>
        <w:rPr/>
      </w:pP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Raw Manufacturing and Transportation industries. It can be concluded that Germany shares the characteristics of developing countries, with a balanced economic structure that leans towards moderate complex-level industries. However, its ECI has decreased over the past four years, and thus there remains significant room for improvement.</w:t>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both"/>
        <w:rPr>
          <w:sz w:val="22"/>
          <w:szCs w:val="22"/>
        </w:rPr>
      </w:pPr>
      <w:r w:rsidDel="00000000" w:rsidR="00000000" w:rsidRPr="00000000">
        <w:rPr/>
        <w:drawing>
          <wp:inline distB="114300" distT="114300" distL="114300" distR="114300">
            <wp:extent cx="5731200" cy="2273300"/>
            <wp:effectExtent b="0" l="0" r="0" t="0"/>
            <wp:docPr id="14"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0F6">
      <w:pPr>
        <w:pageBreakBefore w:val="0"/>
        <w:jc w:val="center"/>
        <w:rPr>
          <w:sz w:val="22"/>
          <w:szCs w:val="22"/>
        </w:rPr>
      </w:pPr>
      <w:r w:rsidDel="00000000" w:rsidR="00000000" w:rsidRPr="00000000">
        <w:rPr>
          <w:rtl w:val="0"/>
        </w:rPr>
      </w:r>
    </w:p>
    <w:p w:rsidR="00000000" w:rsidDel="00000000" w:rsidP="00000000" w:rsidRDefault="00000000" w:rsidRPr="00000000" w14:paraId="000000F7">
      <w:pPr>
        <w:pageBreakBefore w:val="0"/>
        <w:jc w:val="center"/>
        <w:rPr/>
      </w:pPr>
      <w:r w:rsidDel="00000000" w:rsidR="00000000" w:rsidRPr="00000000">
        <w:rPr>
          <w:rtl w:val="0"/>
        </w:rPr>
      </w:r>
    </w:p>
    <w:p w:rsidR="00000000" w:rsidDel="00000000" w:rsidP="00000000" w:rsidRDefault="00000000" w:rsidRPr="00000000" w14:paraId="000000F8">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9">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A">
      <w:pPr>
        <w:pageBreakBefore w:val="0"/>
        <w:jc w:val="both"/>
        <w:rPr/>
      </w:pPr>
      <w:r w:rsidDel="00000000" w:rsidR="00000000" w:rsidRPr="00000000">
        <w:rPr>
          <w:rtl w:val="0"/>
        </w:rPr>
      </w:r>
    </w:p>
    <w:p w:rsidR="00000000" w:rsidDel="00000000" w:rsidP="00000000" w:rsidRDefault="00000000" w:rsidRPr="00000000" w14:paraId="000000FB">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jc w:val="center"/>
        <w:rPr/>
      </w:pPr>
      <w:r w:rsidDel="00000000" w:rsidR="00000000" w:rsidRPr="00000000">
        <w:rPr>
          <w:rtl w:val="0"/>
        </w:rPr>
      </w:r>
    </w:p>
    <w:p w:rsidR="00000000" w:rsidDel="00000000" w:rsidP="00000000" w:rsidRDefault="00000000" w:rsidRPr="00000000" w14:paraId="000000FD">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0FE">
      <w:pPr>
        <w:pageBreakBefore w:val="0"/>
        <w:jc w:val="both"/>
        <w:rPr/>
      </w:pPr>
      <w:r w:rsidDel="00000000" w:rsidR="00000000" w:rsidRPr="00000000">
        <w:rPr>
          <w:rtl w:val="0"/>
        </w:rPr>
        <w:t xml:space="preserve"> </w:t>
      </w:r>
    </w:p>
    <w:p w:rsidR="00000000" w:rsidDel="00000000" w:rsidP="00000000" w:rsidRDefault="00000000" w:rsidRPr="00000000" w14:paraId="000000FF">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0">
      <w:pPr>
        <w:pageBreakBefore w:val="0"/>
        <w:jc w:val="both"/>
        <w:rPr/>
      </w:pPr>
      <w:r w:rsidDel="00000000" w:rsidR="00000000" w:rsidRPr="00000000">
        <w:rPr>
          <w:rtl w:val="0"/>
        </w:rPr>
        <w:t xml:space="preserve"> </w:t>
      </w:r>
    </w:p>
    <w:p w:rsidR="00000000" w:rsidDel="00000000" w:rsidP="00000000" w:rsidRDefault="00000000" w:rsidRPr="00000000" w14:paraId="00000101">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2">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6">
      <w:pPr>
        <w:pageBreakBefore w:val="0"/>
        <w:rPr/>
      </w:pPr>
      <w:r w:rsidDel="00000000" w:rsidR="00000000" w:rsidRPr="00000000">
        <w:rPr>
          <w:rtl w:val="0"/>
        </w:rPr>
        <w:t xml:space="preserve"> </w:t>
      </w:r>
    </w:p>
    <w:p w:rsidR="00000000" w:rsidDel="00000000" w:rsidP="00000000" w:rsidRDefault="00000000" w:rsidRPr="00000000" w14:paraId="00000107">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A">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ageBreakBefore w:val="0"/>
        <w:jc w:val="both"/>
        <w:rPr>
          <w:b w:val="1"/>
          <w:bCs w:val="1"/>
        </w:rPr>
      </w:pPr>
      <w:r w:rsidDel="00000000" w:rsidR="00000000" w:rsidRPr="00000000">
        <w:rPr>
          <w:rtl w:val="0"/>
        </w:rPr>
      </w:r>
    </w:p>
    <w:p w:rsidR="00000000" w:rsidDel="00000000" w:rsidP="00000000" w:rsidRDefault="00000000" w:rsidRPr="00000000" w14:paraId="0000010D">
      <w:pPr>
        <w:pageBreakBefore w:val="0"/>
        <w:jc w:val="both"/>
        <w:rPr>
          <w:b w:val="1"/>
          <w:bCs w:val="1"/>
        </w:rPr>
      </w:pP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0F">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0">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1">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7">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8">
      <w:pPr>
        <w:pageBreakBefore w:val="0"/>
        <w:jc w:val="center"/>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Germany in 2022. We can see that for different percentages of heuristic total export growth, the ECIs of Germany actually have different increments.</w:t>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For 2022, in the case of 5 percent export growth, Machinery and Construction is the primary industry with Vegetables, Fruits and Plants as the secondary industry. With a budget of 10 percent export growth, Food and Preparations, Weapons, and Animals and By-products account for most of the portfolio. For 15%, Weapons occupy more of the portfolio as the leading industry with Food and Preparations as a secondary industry. For 20%, Animals and By-products is the leading industry while Precious Stones is a secondary industry. This suggests that with increases in investment, resources should be directed to Animals and By-products, Weapons, and Food and Preparations. A more detailed numerical representation of the portfolio is shown in Table 8. The increased ECI row of the table suggests that Germany should focus on increases of 15% and 20% as it contributes the most to the overall increase in ECI. Thus, for optimal development, it should invest in Weapons, Food and Preparations, Animals and By-products, and Precious Stones.</w:t>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sz w:val="22"/>
          <w:szCs w:val="22"/>
        </w:rPr>
      </w:pPr>
      <w:r w:rsidDel="00000000" w:rsidR="00000000" w:rsidRPr="00000000">
        <w:rPr/>
        <w:drawing>
          <wp:inline distB="114300" distT="114300" distL="114300" distR="114300">
            <wp:extent cx="5734050" cy="2047875"/>
            <wp:effectExtent b="0" l="0" r="0" t="0"/>
            <wp:docPr id="12" name="image12.png"/>
            <a:graphic>
              <a:graphicData uri="http://schemas.openxmlformats.org/drawingml/2006/picture">
                <pic:pic>
                  <pic:nvPicPr>
                    <pic:cNvPr id="0" name="image12.png"/>
                    <pic:cNvPicPr preferRelativeResize="0"/>
                  </pic:nvPicPr>
                  <pic:blipFill>
                    <a:blip r:embed="rId15"/>
                    <a:srcRect b="23256" l="0" r="0" t="5316"/>
                    <a:stretch>
                      <a:fillRect/>
                    </a:stretch>
                  </pic:blipFill>
                  <pic:spPr>
                    <a:xfrm>
                      <a:off x="0" y="0"/>
                      <a:ext cx="57340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jc w:val="center"/>
        <w:rPr>
          <w:sz w:val="22"/>
          <w:szCs w:val="22"/>
        </w:rPr>
      </w:pPr>
      <w:r w:rsidDel="00000000" w:rsidR="00000000" w:rsidRPr="00000000">
        <w:rPr>
          <w:sz w:val="22"/>
          <w:szCs w:val="22"/>
        </w:rPr>
        <w:drawing>
          <wp:inline distB="114300" distT="114300" distL="114300" distR="114300">
            <wp:extent cx="5734050" cy="1990725"/>
            <wp:effectExtent b="0" l="0" r="0" t="0"/>
            <wp:docPr id="6" name="image5.png"/>
            <a:graphic>
              <a:graphicData uri="http://schemas.openxmlformats.org/drawingml/2006/picture">
                <pic:pic>
                  <pic:nvPicPr>
                    <pic:cNvPr id="0" name="image5.png"/>
                    <pic:cNvPicPr preferRelativeResize="0"/>
                  </pic:nvPicPr>
                  <pic:blipFill>
                    <a:blip r:embed="rId16"/>
                    <a:srcRect b="8612" l="0" r="0" t="-8612"/>
                    <a:stretch>
                      <a:fillRect/>
                    </a:stretch>
                  </pic:blipFill>
                  <pic:spPr>
                    <a:xfrm>
                      <a:off x="0" y="0"/>
                      <a:ext cx="57340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sz w:val="22"/>
          <w:szCs w:val="22"/>
        </w:rPr>
      </w:pPr>
      <w:r w:rsidDel="00000000" w:rsidR="00000000" w:rsidRPr="00000000">
        <w:rPr>
          <w:sz w:val="22"/>
          <w:szCs w:val="22"/>
          <w:rtl w:val="0"/>
        </w:rPr>
        <w:t xml:space="preserve">Figure 4. Greedy-Based ECI Improvement Results of Germany with Different Budgets (2022)</w:t>
      </w:r>
    </w:p>
    <w:p w:rsidR="00000000" w:rsidDel="00000000" w:rsidP="00000000" w:rsidRDefault="00000000" w:rsidRPr="00000000" w14:paraId="00000140">
      <w:pPr>
        <w:jc w:val="center"/>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1">
            <w:pPr>
              <w:jc w:val="center"/>
              <w:rPr>
                <w:sz w:val="20"/>
                <w:szCs w:val="20"/>
              </w:rPr>
            </w:pPr>
            <w:r w:rsidDel="00000000" w:rsidR="00000000" w:rsidRPr="00000000">
              <w:rPr>
                <w:b w:val="1"/>
                <w:bCs w:val="1"/>
                <w:sz w:val="20"/>
                <w:szCs w:val="20"/>
                <w:rtl w:val="0"/>
              </w:rPr>
              <w:t xml:space="preserve">Germany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6">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7">
            <w:pPr>
              <w:jc w:val="center"/>
              <w:rPr>
                <w:sz w:val="20"/>
                <w:szCs w:val="20"/>
              </w:rPr>
            </w:pPr>
            <w:r w:rsidDel="00000000" w:rsidR="00000000" w:rsidRPr="00000000">
              <w:rPr>
                <w:b w:val="1"/>
                <w:bCs w:val="1"/>
                <w:sz w:val="20"/>
                <w:szCs w:val="20"/>
                <w:rtl w:val="0"/>
              </w:rPr>
              <w:t xml:space="preserve">-1.593</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B">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C">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E">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F">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1.67E+10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4.45E+10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8.90E+10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6.45E+11</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4.45E+10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4.45E+10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6.67E+10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8.60E+10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Food and Preparations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8.90E+10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1.56E+11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5.56E+09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Wood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5.56E+09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8.60E+10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Clothing and Accessories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6.67E+10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4.45E+10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4.30E+10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Metals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1.11E+10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1.11E+10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5.56E+10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1.11E+10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8.60E+10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4.30E+10</w:t>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Weapons</w:t>
            </w:r>
          </w:p>
        </w:tc>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5.56E+10</w:t>
            </w:r>
          </w:p>
        </w:tc>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3.01E+11</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5.56E+09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2.22E+10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Services and Utilities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1.11E+10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0.00E+00</w:t>
            </w:r>
          </w:p>
        </w:tc>
      </w:tr>
      <w:tr>
        <w:trPr>
          <w:cantSplit w:val="0"/>
          <w:trHeight w:val="225" w:hRule="atLeast"/>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6">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7">
            <w:pPr>
              <w:widowControl w:val="0"/>
              <w:spacing w:line="276" w:lineRule="auto"/>
              <w:rPr>
                <w:b w:val="1"/>
                <w:bCs w:val="1"/>
                <w:sz w:val="20"/>
                <w:szCs w:val="20"/>
              </w:rPr>
            </w:pPr>
            <w:r w:rsidDel="00000000" w:rsidR="00000000" w:rsidRPr="00000000">
              <w:rPr>
                <w:b w:val="1"/>
                <w:bCs w:val="1"/>
                <w:sz w:val="20"/>
                <w:szCs w:val="20"/>
                <w:rtl w:val="0"/>
              </w:rPr>
              <w:t xml:space="preserve">-5.12E-01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8">
            <w:pPr>
              <w:widowControl w:val="0"/>
              <w:spacing w:line="276" w:lineRule="auto"/>
              <w:rPr>
                <w:b w:val="1"/>
                <w:bCs w:val="1"/>
                <w:sz w:val="20"/>
                <w:szCs w:val="20"/>
              </w:rPr>
            </w:pPr>
            <w:r w:rsidDel="00000000" w:rsidR="00000000" w:rsidRPr="00000000">
              <w:rPr>
                <w:b w:val="1"/>
                <w:bCs w:val="1"/>
                <w:sz w:val="20"/>
                <w:szCs w:val="20"/>
                <w:rtl w:val="0"/>
              </w:rPr>
              <w:t xml:space="preserve">-1.59E-01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9">
            <w:pPr>
              <w:widowControl w:val="0"/>
              <w:spacing w:line="276" w:lineRule="auto"/>
              <w:rPr>
                <w:b w:val="1"/>
                <w:bCs w:val="1"/>
                <w:sz w:val="18"/>
                <w:szCs w:val="18"/>
              </w:rPr>
            </w:pPr>
            <w:r w:rsidDel="00000000" w:rsidR="00000000" w:rsidRPr="00000000">
              <w:rPr>
                <w:b w:val="1"/>
                <w:bCs w:val="1"/>
                <w:sz w:val="20"/>
                <w:szCs w:val="20"/>
                <w:rtl w:val="0"/>
              </w:rPr>
              <w:t xml:space="preserve">7.79E-01</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A">
            <w:pPr>
              <w:widowControl w:val="0"/>
              <w:spacing w:line="276" w:lineRule="auto"/>
              <w:rPr>
                <w:b w:val="1"/>
                <w:bCs w:val="1"/>
                <w:sz w:val="18"/>
                <w:szCs w:val="18"/>
              </w:rPr>
            </w:pPr>
            <w:r w:rsidDel="00000000" w:rsidR="00000000" w:rsidRPr="00000000">
              <w:rPr>
                <w:b w:val="1"/>
                <w:bCs w:val="1"/>
                <w:sz w:val="20"/>
                <w:szCs w:val="20"/>
                <w:rtl w:val="0"/>
              </w:rPr>
              <w:t xml:space="preserve">2.39E+00</w:t>
            </w:r>
            <w:r w:rsidDel="00000000" w:rsidR="00000000" w:rsidRPr="00000000">
              <w:rPr>
                <w:rtl w:val="0"/>
              </w:rPr>
            </w:r>
          </w:p>
        </w:tc>
      </w:tr>
    </w:tbl>
    <w:p w:rsidR="00000000" w:rsidDel="00000000" w:rsidP="00000000" w:rsidRDefault="00000000" w:rsidRPr="00000000" w14:paraId="0000019B">
      <w:pPr>
        <w:jc w:val="center"/>
        <w:rPr>
          <w:sz w:val="22"/>
          <w:szCs w:val="22"/>
        </w:rPr>
      </w:pPr>
      <w:r w:rsidDel="00000000" w:rsidR="00000000" w:rsidRPr="00000000">
        <w:rPr>
          <w:rtl w:val="0"/>
        </w:rPr>
      </w:r>
    </w:p>
    <w:p w:rsidR="00000000" w:rsidDel="00000000" w:rsidP="00000000" w:rsidRDefault="00000000" w:rsidRPr="00000000" w14:paraId="0000019C">
      <w:pPr>
        <w:jc w:val="center"/>
        <w:rPr>
          <w:sz w:val="22"/>
          <w:szCs w:val="22"/>
        </w:rPr>
      </w:pPr>
      <w:r w:rsidDel="00000000" w:rsidR="00000000" w:rsidRPr="00000000">
        <w:rPr>
          <w:sz w:val="22"/>
          <w:szCs w:val="22"/>
          <w:rtl w:val="0"/>
        </w:rPr>
        <w:t xml:space="preserve">Table 8. Portfolio of Germany </w:t>
      </w:r>
      <w:r w:rsidDel="00000000" w:rsidR="00000000" w:rsidRPr="00000000">
        <w:rPr>
          <w:sz w:val="22"/>
          <w:szCs w:val="22"/>
          <w:rtl w:val="0"/>
        </w:rPr>
        <w:t xml:space="preserve">(2022)</w:t>
      </w:r>
      <w:r w:rsidDel="00000000" w:rsidR="00000000" w:rsidRPr="00000000">
        <w:rPr>
          <w:rtl w:val="0"/>
        </w:rPr>
      </w:r>
    </w:p>
    <w:p w:rsidR="00000000" w:rsidDel="00000000" w:rsidP="00000000" w:rsidRDefault="00000000" w:rsidRPr="00000000" w14:paraId="0000019D">
      <w:pPr>
        <w:jc w:val="center"/>
        <w:rPr>
          <w:sz w:val="22"/>
          <w:szCs w:val="22"/>
        </w:rPr>
      </w:pPr>
      <w:r w:rsidDel="00000000" w:rsidR="00000000" w:rsidRPr="00000000">
        <w:rPr>
          <w:rtl w:val="0"/>
        </w:rPr>
      </w:r>
    </w:p>
    <w:p w:rsidR="00000000" w:rsidDel="00000000" w:rsidP="00000000" w:rsidRDefault="00000000" w:rsidRPr="00000000" w14:paraId="0000019E">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9F">
      <w:pPr>
        <w:pageBreakBefore w:val="0"/>
        <w:spacing w:after="0" w:before="0" w:line="276" w:lineRule="auto"/>
        <w:rPr/>
      </w:pPr>
      <w:r w:rsidDel="00000000" w:rsidR="00000000" w:rsidRPr="00000000">
        <w:rPr>
          <w:rtl w:val="0"/>
        </w:rPr>
        <w:t xml:space="preserve">In the following section, our broad aim is to understand how sensitive Germany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A0">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A1">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A2">
      <w:pPr>
        <w:jc w:val="both"/>
        <w:rPr>
          <w:b w:val="1"/>
          <w:bCs w:val="1"/>
        </w:rPr>
      </w:pPr>
      <w:r w:rsidDel="00000000" w:rsidR="00000000" w:rsidRPr="00000000">
        <w:rPr>
          <w:b w:val="1"/>
          <w:bCs w:val="1"/>
        </w:rPr>
        <w:drawing>
          <wp:inline distB="114300" distT="114300" distL="114300" distR="114300">
            <wp:extent cx="5310188" cy="2519630"/>
            <wp:effectExtent b="0" l="0" r="0" t="0"/>
            <wp:docPr id="7" name="image2.jpg"/>
            <a:graphic>
              <a:graphicData uri="http://schemas.openxmlformats.org/drawingml/2006/picture">
                <pic:pic>
                  <pic:nvPicPr>
                    <pic:cNvPr id="0" name="image2.jpg"/>
                    <pic:cNvPicPr preferRelativeResize="0"/>
                  </pic:nvPicPr>
                  <pic:blipFill>
                    <a:blip r:embed="rId17"/>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A4">
      <w:pPr>
        <w:spacing w:after="240" w:before="240" w:line="276" w:lineRule="auto"/>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p>
    <w:p w:rsidR="00000000" w:rsidDel="00000000" w:rsidP="00000000" w:rsidRDefault="00000000" w:rsidRPr="00000000" w14:paraId="000001A5">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A6">
      <w:pPr>
        <w:pageBreakBefore w:val="0"/>
        <w:jc w:val="both"/>
        <w:rPr/>
      </w:pPr>
      <w:r w:rsidDel="00000000" w:rsidR="00000000" w:rsidRPr="00000000">
        <w:rPr>
          <w:rtl w:val="0"/>
        </w:rPr>
        <w:t xml:space="preserve">We examine Germany’s ECI Decremental and Incremental Sensitivity Charts for 2022. An increase in Textile will lead to the highest change in ECI, followed by Vegetables, Fruits and Plants. For the negative shock cases, Wood Products becomes most impactful. The rest of the industries do not appear to have the same level of sensitivity. This suggests that in economic downturns, Germany should continue to invest in Wood Products to avoid additional decreases in ECI.</w:t>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drawing>
          <wp:inline distB="114300" distT="114300" distL="114300" distR="114300">
            <wp:extent cx="5731200" cy="2197100"/>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Germany (2022)</w:t>
      </w:r>
    </w:p>
    <w:p w:rsidR="00000000" w:rsidDel="00000000" w:rsidP="00000000" w:rsidRDefault="00000000" w:rsidRPr="00000000" w14:paraId="000001AA">
      <w:pPr>
        <w:jc w:val="center"/>
        <w:rPr>
          <w:sz w:val="22"/>
          <w:szCs w:val="22"/>
        </w:rPr>
      </w:pPr>
      <w:r w:rsidDel="00000000" w:rsidR="00000000" w:rsidRPr="00000000">
        <w:rPr>
          <w:sz w:val="22"/>
          <w:szCs w:val="22"/>
        </w:rPr>
        <w:drawing>
          <wp:inline distB="114300" distT="114300" distL="114300" distR="114300">
            <wp:extent cx="5731200" cy="2197100"/>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jc w:val="center"/>
        <w:rPr/>
      </w:pPr>
      <w:r w:rsidDel="00000000" w:rsidR="00000000" w:rsidRPr="00000000">
        <w:rPr>
          <w:sz w:val="22"/>
          <w:szCs w:val="22"/>
          <w:rtl w:val="0"/>
        </w:rPr>
        <w:t xml:space="preserve">Figure 6b. Decremental ECI Sensitivity for Germany (2022)</w:t>
      </w: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rtl w:val="0"/>
        </w:rPr>
      </w:r>
    </w:p>
    <w:p w:rsidR="00000000" w:rsidDel="00000000" w:rsidP="00000000" w:rsidRDefault="00000000" w:rsidRPr="00000000" w14:paraId="000001A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AE">
      <w:pPr>
        <w:pageBreakBefore w:val="0"/>
        <w:jc w:val="both"/>
        <w:rPr>
          <w:b w:val="1"/>
          <w:bCs w:val="1"/>
        </w:rPr>
      </w:pPr>
      <w:r w:rsidDel="00000000" w:rsidR="00000000" w:rsidRPr="00000000">
        <w:rPr>
          <w:rtl w:val="0"/>
        </w:rPr>
      </w:r>
    </w:p>
    <w:p w:rsidR="00000000" w:rsidDel="00000000" w:rsidP="00000000" w:rsidRDefault="00000000" w:rsidRPr="00000000" w14:paraId="000001A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B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B1">
      <w:pPr>
        <w:pageBreakBefore w:val="0"/>
        <w:jc w:val="both"/>
        <w:rPr/>
      </w:pPr>
      <w:r w:rsidDel="00000000" w:rsidR="00000000" w:rsidRPr="00000000">
        <w:rPr>
          <w:rtl w:val="0"/>
        </w:rPr>
      </w:r>
    </w:p>
    <w:p w:rsidR="00000000" w:rsidDel="00000000" w:rsidP="00000000" w:rsidRDefault="00000000" w:rsidRPr="00000000" w14:paraId="000001B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r w:rsidDel="00000000" w:rsidR="00000000" w:rsidRPr="00000000">
        <w:rPr>
          <w:rtl w:val="0"/>
        </w:rPr>
        <w:t xml:space="preserve">[Percentage]</w:t>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w:t>
      </w:r>
      <w:r w:rsidDel="00000000" w:rsidR="00000000" w:rsidRPr="00000000">
        <w:rPr>
          <w:rtl w:val="0"/>
        </w:rPr>
        <w:t xml:space="preserve">[Percentage]</w:t>
      </w:r>
      <w:r w:rsidDel="00000000" w:rsidR="00000000" w:rsidRPr="00000000">
        <w:rPr>
          <w:rtl w:val="0"/>
        </w:rPr>
        <w:t xml:space="preserve">%</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B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B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B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B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[F-Stat]</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B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B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[Prob]</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B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[R^2 adj]</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B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[nobs]</w:t>
            </w:r>
          </w:p>
        </w:tc>
      </w:tr>
    </w:tbl>
    <w:p w:rsidR="00000000" w:rsidDel="00000000" w:rsidP="00000000" w:rsidRDefault="00000000" w:rsidRPr="00000000" w14:paraId="000001BC">
      <w:pPr>
        <w:pageBreakBefore w:val="0"/>
        <w:jc w:val="left"/>
        <w:rPr/>
      </w:pPr>
      <w:r w:rsidDel="00000000" w:rsidR="00000000" w:rsidRPr="00000000">
        <w:rPr>
          <w:rtl w:val="0"/>
        </w:rPr>
      </w:r>
    </w:p>
    <w:p w:rsidR="00000000" w:rsidDel="00000000" w:rsidP="00000000" w:rsidRDefault="00000000" w:rsidRPr="00000000" w14:paraId="000001BD">
      <w:pPr>
        <w:pageBreakBefore w:val="0"/>
        <w:jc w:val="center"/>
        <w:rPr>
          <w:sz w:val="22"/>
          <w:szCs w:val="22"/>
        </w:rPr>
      </w:pPr>
      <w:r w:rsidDel="00000000" w:rsidR="00000000" w:rsidRPr="00000000">
        <w:rPr>
          <w:sz w:val="22"/>
          <w:szCs w:val="22"/>
        </w:rPr>
        <w:drawing>
          <wp:inline distB="114300" distT="114300" distL="114300" distR="114300">
            <wp:extent cx="4649625" cy="3335404"/>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49625" cy="333540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BF">
      <w:pPr>
        <w:pageBreakBefore w:val="0"/>
        <w:jc w:val="both"/>
        <w:rPr/>
      </w:pPr>
      <w:r w:rsidDel="00000000" w:rsidR="00000000" w:rsidRPr="00000000">
        <w:rPr>
          <w:rtl w:val="0"/>
        </w:rPr>
      </w:r>
    </w:p>
    <w:p w:rsidR="00000000" w:rsidDel="00000000" w:rsidP="00000000" w:rsidRDefault="00000000" w:rsidRPr="00000000" w14:paraId="000001C0">
      <w:pPr>
        <w:pageBreakBefore w:val="0"/>
        <w:jc w:val="both"/>
        <w:rPr>
          <w:b w:val="1"/>
          <w:bCs w:val="1"/>
        </w:rPr>
      </w:pPr>
      <w:r w:rsidDel="00000000" w:rsidR="00000000" w:rsidRPr="00000000">
        <w:rPr>
          <w:b w:val="1"/>
          <w:bCs w:val="1"/>
          <w:rtl w:val="0"/>
        </w:rPr>
        <w:t xml:space="preserve">5.2 SOI of Germany and Its Implications</w:t>
      </w:r>
    </w:p>
    <w:p w:rsidR="00000000" w:rsidDel="00000000" w:rsidP="00000000" w:rsidRDefault="00000000" w:rsidRPr="00000000" w14:paraId="000001C1">
      <w:pPr>
        <w:pageBreakBefore w:val="0"/>
        <w:jc w:val="both"/>
        <w:rPr/>
      </w:pPr>
      <w:r w:rsidDel="00000000" w:rsidR="00000000" w:rsidRPr="00000000">
        <w:rPr>
          <w:rtl w:val="0"/>
        </w:rPr>
        <w:t xml:space="preserve">During the first examined period, Germany, for instance, has a low level of structural optimality as compared with its developed peers. As the regression in Figure 10 suggests (the red curve represents export increase and the blue curve stands for opportunity gain of the corresponding industry), Germany demonstrates a low level of correlation with the suggested developmental path, having an adjusted R-square of around 25.4%. </w:t>
      </w:r>
    </w:p>
    <w:p w:rsidR="00000000" w:rsidDel="00000000" w:rsidP="00000000" w:rsidRDefault="00000000" w:rsidRPr="00000000" w14:paraId="000001C2">
      <w:pPr>
        <w:pageBreakBefore w:val="0"/>
        <w:jc w:val="both"/>
        <w:rPr/>
      </w:pPr>
      <w:r w:rsidDel="00000000" w:rsidR="00000000" w:rsidRPr="00000000">
        <w:rPr>
          <w:rtl w:val="0"/>
        </w:rPr>
      </w:r>
    </w:p>
    <w:p w:rsidR="00000000" w:rsidDel="00000000" w:rsidP="00000000" w:rsidRDefault="00000000" w:rsidRPr="00000000" w14:paraId="000001C3">
      <w:pPr>
        <w:pageBreakBefore w:val="0"/>
        <w:jc w:val="both"/>
        <w:rPr/>
      </w:pPr>
      <w:r w:rsidDel="00000000" w:rsidR="00000000" w:rsidRPr="00000000">
        <w:rPr>
          <w:rtl w:val="0"/>
        </w:rPr>
        <w:t xml:space="preserve">Germany ranks in the middle quartile among all countries in terms of SOI and has made a moderate rate of economic progress among its emerging peers from 2019 to 2022 with a</w:t>
      </w:r>
      <w:r w:rsidDel="00000000" w:rsidR="00000000" w:rsidRPr="00000000">
        <w:rPr>
          <w:rtl w:val="0"/>
        </w:rPr>
        <w:t xml:space="preserve"> 3-year GDP growth rate of</w:t>
      </w:r>
      <w:r w:rsidDel="00000000" w:rsidR="00000000" w:rsidRPr="00000000">
        <w:rPr>
          <w:rtl w:val="0"/>
        </w:rPr>
        <w:t xml:space="preserve"> 1.26%, which is consistent with the regression result in Figure 4. Specifically, Germany’s slow economic progress from 2019 to 2022 can be at least partially explained by a development strategy that demonstrates a considerable but not perfect level of matches with our suggested developmental path. In specific, Germany invested heavily in the Transportation industry, while it should have focused more on industry groups such as Energy Drilling and Mining.</w:t>
      </w:r>
    </w:p>
    <w:p w:rsidR="00000000" w:rsidDel="00000000" w:rsidP="00000000" w:rsidRDefault="00000000" w:rsidRPr="00000000" w14:paraId="000001C4">
      <w:pPr>
        <w:pageBreakBefore w:val="0"/>
        <w:jc w:val="both"/>
        <w:rPr/>
      </w:pPr>
      <w:r w:rsidDel="00000000" w:rsidR="00000000" w:rsidRPr="00000000">
        <w:rPr/>
        <w:drawing>
          <wp:inline distB="114300" distT="114300" distL="114300" distR="114300">
            <wp:extent cx="5795963" cy="2320311"/>
            <wp:effectExtent b="0" l="0" r="0" t="0"/>
            <wp:docPr id="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95963" cy="2320311"/>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b w:val="1"/>
          <w:bCs w:val="1"/>
        </w:rPr>
      </w:pPr>
      <w:r w:rsidDel="00000000" w:rsidR="00000000" w:rsidRPr="00000000">
        <w:rPr>
          <w:sz w:val="22"/>
          <w:szCs w:val="22"/>
          <w:rtl w:val="0"/>
        </w:rPr>
        <w:t xml:space="preserve">Figure 10. SOI of Germany (2019-2022)</w:t>
      </w:r>
      <w:r w:rsidDel="00000000" w:rsidR="00000000" w:rsidRPr="00000000">
        <w:rPr>
          <w:rtl w:val="0"/>
        </w:rPr>
      </w:r>
    </w:p>
    <w:p w:rsidR="00000000" w:rsidDel="00000000" w:rsidP="00000000" w:rsidRDefault="00000000" w:rsidRPr="00000000" w14:paraId="000001C6">
      <w:pPr>
        <w:pageBreakBefore w:val="0"/>
        <w:jc w:val="both"/>
        <w:rPr>
          <w:b w:val="1"/>
          <w:bCs w:val="1"/>
        </w:rPr>
      </w:pPr>
      <w:r w:rsidDel="00000000" w:rsidR="00000000" w:rsidRPr="00000000">
        <w:rPr>
          <w:rtl w:val="0"/>
        </w:rPr>
      </w:r>
    </w:p>
    <w:p w:rsidR="00000000" w:rsidDel="00000000" w:rsidP="00000000" w:rsidRDefault="00000000" w:rsidRPr="00000000" w14:paraId="000001C7">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C9">
      <w:pPr>
        <w:pageBreakBefore w:val="0"/>
        <w:jc w:val="both"/>
        <w:rPr/>
      </w:pPr>
      <w:r w:rsidDel="00000000" w:rsidR="00000000" w:rsidRPr="00000000">
        <w:rPr>
          <w:rtl w:val="0"/>
        </w:rPr>
      </w:r>
    </w:p>
    <w:p w:rsidR="00000000" w:rsidDel="00000000" w:rsidP="00000000" w:rsidRDefault="00000000" w:rsidRPr="00000000" w14:paraId="000001CA">
      <w:pPr>
        <w:pageBreakBefore w:val="0"/>
        <w:jc w:val="both"/>
        <w:rPr/>
      </w:pPr>
      <w:r w:rsidDel="00000000" w:rsidR="00000000" w:rsidRPr="00000000">
        <w:rPr>
          <w:rtl w:val="0"/>
        </w:rPr>
        <w:t xml:space="preserve">In conclusion, Germany has demonstrated a low level of economic growth in terms of annual GDP increase during the period from 2019 to 2022, concurrent with a decrease in economic complexity as compared with major developed economies.</w:t>
      </w:r>
    </w:p>
    <w:p w:rsidR="00000000" w:rsidDel="00000000" w:rsidP="00000000" w:rsidRDefault="00000000" w:rsidRPr="00000000" w14:paraId="000001CB">
      <w:pPr>
        <w:pageBreakBefore w:val="0"/>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We believe that the mixed progress during this period can be partially explained through the analysis of the economic and product complexity structure of Germany on the industry group level. The product classification system we adopt allows us to measure the realized industry development for various industry groups and to observe that Germany regressed in developing most of its industries during the period. Despite a relatively less intense ECI decrease compared to its peers, Germany did not undergo similar GDP growth, which indicates that there is further potential to target specific industries.</w:t>
      </w:r>
    </w:p>
    <w:p w:rsidR="00000000" w:rsidDel="00000000" w:rsidP="00000000" w:rsidRDefault="00000000" w:rsidRPr="00000000" w14:paraId="000001CD">
      <w:pPr>
        <w:pageBreakBefore w:val="0"/>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Based on our analysis of the opportunity gain and sensitivity analysis of major industry groups for 2019-2022, Germany can further its gains by prioritizing Weapons, Food and Preparations, Animals and By-products, and Precious Stones. We further note that Germany has a heavily mismatched development strategy that indicates a low level (compared to other developed countries) of structural optimality on the complexity level, having an adjusted R-square of around 25.4%. Since a positive correlation exists between three-year GDP growth and the structural optimality index of an economy as we define and calculate, Germany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We infer that during the  COVID-19 period, Germany focused on developing lower complexity industries, in line with lower demand for these industries given the global economic downturn. With the revised focus, Germany has further potential to advance its economic growth to maintain its position among other countries to continue its post-pandemic recovery.</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pPr>
      <w:r w:rsidDel="00000000" w:rsidR="00000000" w:rsidRPr="00000000">
        <w:rPr>
          <w:rtl w:val="0"/>
        </w:rPr>
      </w:r>
    </w:p>
    <w:p w:rsidR="00000000" w:rsidDel="00000000" w:rsidP="00000000" w:rsidRDefault="00000000" w:rsidRPr="00000000" w14:paraId="000001D4">
      <w:pPr>
        <w:pageBreakBefore w:val="0"/>
        <w:jc w:val="both"/>
        <w:rPr/>
      </w:pP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D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D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D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D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E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E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E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E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E8">
      <w:pPr>
        <w:pageBreakBefore w:val="0"/>
        <w:jc w:val="both"/>
        <w:rPr/>
      </w:pPr>
      <w:r w:rsidDel="00000000" w:rsidR="00000000" w:rsidRPr="00000000">
        <w:rPr>
          <w:rtl w:val="0"/>
        </w:rPr>
      </w:r>
    </w:p>
    <w:sectPr>
      <w:headerReference r:id="rId22" w:type="default"/>
      <w:footerReference r:id="rId23" w:type="default"/>
      <w:footerReference r:id="rId24" w:type="first"/>
      <w:footerReference r:id="rId25"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eader" Target="header1.xml"/><Relationship Id="rId21" Type="http://schemas.openxmlformats.org/officeDocument/2006/relationships/image" Target="media/image11.png"/><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8.jp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2.jpg"/><Relationship Id="rId16"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