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tl w:val="0"/>
        </w:rPr>
        <w:t xml:space="preserve">20</w:t>
      </w:r>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5" name="image31.png"/>
            <a:graphic>
              <a:graphicData uri="http://schemas.openxmlformats.org/drawingml/2006/picture">
                <pic:pic>
                  <pic:nvPicPr>
                    <pic:cNvPr id="0" name="image3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India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India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India</w:t>
      </w:r>
      <w:r w:rsidDel="00000000" w:rsidR="00000000" w:rsidRPr="00000000">
        <w:rPr>
          <w:rtl w:val="0"/>
        </w:rPr>
        <w:t xml:space="preserve"> went through during the period from 2013 to 2022. Specifically, we dive into the topic through a macroeconomic overview of </w:t>
      </w:r>
      <w:r w:rsidDel="00000000" w:rsidR="00000000" w:rsidRPr="00000000">
        <w:rPr>
          <w:rtl w:val="0"/>
        </w:rPr>
        <w:t xml:space="preserve">India</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India</w:t>
      </w:r>
      <w:r w:rsidDel="00000000" w:rsidR="00000000" w:rsidRPr="00000000">
        <w:rPr>
          <w:rtl w:val="0"/>
        </w:rPr>
        <w:t xml:space="preserve"> demonstrated a high level of economic growth with an average annual GDP growth rate of 7.75% between 2013 and 2018 and 4.90% between 2019 and 2022, with a similar economic complexity compared to other major 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w:t>
      </w:r>
      <w:r w:rsidDel="00000000" w:rsidR="00000000" w:rsidRPr="00000000">
        <w:rPr>
          <w:rtl w:val="0"/>
        </w:rPr>
        <w:t xml:space="preserve">India</w:t>
      </w:r>
      <w:r w:rsidDel="00000000" w:rsidR="00000000" w:rsidRPr="00000000">
        <w:rPr>
          <w:rtl w:val="0"/>
        </w:rPr>
        <w:t xml:space="preserve"> on the industry group level, as well as the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India</w:t>
      </w:r>
      <w:r w:rsidDel="00000000" w:rsidR="00000000" w:rsidRPr="00000000">
        <w:rPr>
          <w:rtl w:val="0"/>
        </w:rPr>
        <w:t xml:space="preserve"> regressed in developing most of its industries during the period while its emerging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India</w:t>
      </w:r>
      <w:r w:rsidDel="00000000" w:rsidR="00000000" w:rsidRPr="00000000">
        <w:rPr>
          <w:rtl w:val="0"/>
        </w:rPr>
        <w:t xml:space="preserve"> could have furthered its gains by prioritizing Weapons, Raw Manufacturing, and High-complexity Products in 2018. Three years later, in 2022, its focus should have shifted to the Weapons and Machinery and Construction industries, which are also one of the more developed industries at the time. We further note that </w:t>
      </w:r>
      <w:r w:rsidDel="00000000" w:rsidR="00000000" w:rsidRPr="00000000">
        <w:rPr>
          <w:rtl w:val="0"/>
        </w:rPr>
        <w:t xml:space="preserve">India</w:t>
      </w:r>
      <w:r w:rsidDel="00000000" w:rsidR="00000000" w:rsidRPr="00000000">
        <w:rPr>
          <w:rtl w:val="0"/>
        </w:rPr>
        <w:t xml:space="preserve"> has a mismatched development strategy that indicates a low level (compared to other emerging countries) of structural optimality on the complexity level, having an adjusted R-square of around 0.126 in 2018 and a lower score of 0.090 in 2022, demonstrating degradation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India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years between 2019 and 2022 showed a significant improvement in </w:t>
      </w:r>
      <w:r w:rsidDel="00000000" w:rsidR="00000000" w:rsidRPr="00000000">
        <w:rPr>
          <w:rtl w:val="0"/>
        </w:rPr>
        <w:t xml:space="preserve">India</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India</w:t>
      </w:r>
      <w:r w:rsidDel="00000000" w:rsidR="00000000" w:rsidRPr="00000000">
        <w:rPr>
          <w:rtl w:val="0"/>
        </w:rPr>
        <w:t xml:space="preserve"> went through during the period from 2019 to 2022, before and after the COVID pandemic, compared to its performance from 2013 to 2018, before and after the launch of the “Make in India” campaign. Specifically, we dive into the topic through a macroeconomic overview of </w:t>
      </w:r>
      <w:r w:rsidDel="00000000" w:rsidR="00000000" w:rsidRPr="00000000">
        <w:rPr>
          <w:rtl w:val="0"/>
        </w:rPr>
        <w:t xml:space="preserve">India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India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India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India</w:t>
      </w:r>
      <w:r w:rsidDel="00000000" w:rsidR="00000000" w:rsidRPr="00000000">
        <w:rPr>
          <w:rtl w:val="0"/>
        </w:rPr>
        <w:t xml:space="preserve"> and three of its peer countries (Russia, China, and Japan) from 2013 to 2018. Similar to the other countries, </w:t>
      </w:r>
      <w:r w:rsidDel="00000000" w:rsidR="00000000" w:rsidRPr="00000000">
        <w:rPr>
          <w:rtl w:val="0"/>
        </w:rPr>
        <w:t xml:space="preserve">India </w:t>
      </w:r>
      <w:r w:rsidDel="00000000" w:rsidR="00000000" w:rsidRPr="00000000">
        <w:rPr>
          <w:rtl w:val="0"/>
        </w:rPr>
        <w:t xml:space="preserve">displayed an eventual upward trend over the period; however, its growth was less consistent than China’s growth.  This is confirmed by India’s average annual growth rate of 7.75% over the five-year period, which is higher than that of Russia (1.31%) and Japan (1.46%), and similar to China’s (7.18%).</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India</w:t>
      </w:r>
      <w:r w:rsidDel="00000000" w:rsidR="00000000" w:rsidRPr="00000000">
        <w:rPr>
          <w:rtl w:val="0"/>
        </w:rPr>
        <w:t xml:space="preserve"> and its peer countries (Malaysia, Mexico, and China) from 2019 to 2022. Similar to the other countries, </w:t>
      </w:r>
      <w:r w:rsidDel="00000000" w:rsidR="00000000" w:rsidRPr="00000000">
        <w:rPr>
          <w:rtl w:val="0"/>
        </w:rPr>
        <w:t xml:space="preserve">India</w:t>
      </w:r>
      <w:r w:rsidDel="00000000" w:rsidR="00000000" w:rsidRPr="00000000">
        <w:rPr>
          <w:rtl w:val="0"/>
        </w:rPr>
        <w:t xml:space="preserve"> displayed a drop in GDP from 2019 to 2020 because of the pandemic, with all GDPs rebounding in 2022. Over these three years, </w:t>
      </w:r>
      <w:r w:rsidDel="00000000" w:rsidR="00000000" w:rsidRPr="00000000">
        <w:rPr>
          <w:rtl w:val="0"/>
        </w:rPr>
        <w:t xml:space="preserve">India</w:t>
      </w:r>
      <w:r w:rsidDel="00000000" w:rsidR="00000000" w:rsidRPr="00000000">
        <w:rPr>
          <w:rtl w:val="0"/>
        </w:rPr>
        <w:t xml:space="preserve">’s average annual GDP growth rate (4.90%) is moderate, as it is greater than Malaysia’s (2.96%) and Mexico’s (3.34%), but less than China’s (6.25%). </w:t>
      </w:r>
    </w:p>
    <w:p w:rsidR="00000000" w:rsidDel="00000000" w:rsidP="00000000" w:rsidRDefault="00000000" w:rsidRPr="00000000" w14:paraId="00000020">
      <w:pPr>
        <w:pageBreakBefore w:val="0"/>
        <w:rPr>
          <w:i w:val="1"/>
          <w:iCs w:val="1"/>
          <w:color w:val="444499"/>
          <w:sz w:val="20"/>
          <w:szCs w:val="20"/>
        </w:rPr>
      </w:pPr>
      <w:r w:rsidDel="00000000" w:rsidR="00000000" w:rsidRPr="00000000">
        <w:rPr/>
        <w:drawing>
          <wp:inline distB="114300" distT="114300" distL="114300" distR="114300">
            <wp:extent cx="2870482" cy="1871663"/>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870482" cy="1871663"/>
                    </a:xfrm>
                    <a:prstGeom prst="rect"/>
                    <a:ln/>
                  </pic:spPr>
                </pic:pic>
              </a:graphicData>
            </a:graphic>
          </wp:inline>
        </w:drawing>
      </w:r>
      <w:r w:rsidDel="00000000" w:rsidR="00000000" w:rsidRPr="00000000">
        <w:rPr/>
        <w:drawing>
          <wp:inline distB="114300" distT="114300" distL="114300" distR="114300">
            <wp:extent cx="2405063" cy="1945559"/>
            <wp:effectExtent b="0" l="0" r="0" t="0"/>
            <wp:docPr id="4" name="image4.png"/>
            <a:graphic>
              <a:graphicData uri="http://schemas.openxmlformats.org/drawingml/2006/picture">
                <pic:pic>
                  <pic:nvPicPr>
                    <pic:cNvPr id="0" name="image4.png"/>
                    <pic:cNvPicPr preferRelativeResize="0"/>
                  </pic:nvPicPr>
                  <pic:blipFill>
                    <a:blip r:embed="rId9"/>
                    <a:srcRect b="0" l="0" r="7170" t="0"/>
                    <a:stretch>
                      <a:fillRect/>
                    </a:stretch>
                  </pic:blipFill>
                  <pic:spPr>
                    <a:xfrm>
                      <a:off x="0" y="0"/>
                      <a:ext cx="2405063" cy="194555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2019-2022)</w:t>
      </w:r>
    </w:p>
    <w:p w:rsidR="00000000" w:rsidDel="00000000" w:rsidP="00000000" w:rsidRDefault="00000000" w:rsidRPr="00000000" w14:paraId="00000022">
      <w:pPr>
        <w:pageBreakBefore w:val="0"/>
        <w:jc w:val="left"/>
        <w:rPr/>
      </w:pPr>
      <w:r w:rsidDel="00000000" w:rsidR="00000000" w:rsidRPr="00000000">
        <w:rPr>
          <w:rtl w:val="0"/>
        </w:rPr>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As shown, </w:t>
      </w:r>
      <w:r w:rsidDel="00000000" w:rsidR="00000000" w:rsidRPr="00000000">
        <w:rPr>
          <w:rtl w:val="0"/>
        </w:rPr>
        <w:t xml:space="preserve">India</w:t>
      </w:r>
      <w:r w:rsidDel="00000000" w:rsidR="00000000" w:rsidRPr="00000000">
        <w:rPr>
          <w:rtl w:val="0"/>
        </w:rPr>
        <w:t xml:space="preserve"> exhibits a decrease in production capability from 2013 to 2018. </w:t>
      </w:r>
      <w:r w:rsidDel="00000000" w:rsidR="00000000" w:rsidRPr="00000000">
        <w:rPr>
          <w:rtl w:val="0"/>
        </w:rPr>
        <w:t xml:space="preserve">India</w:t>
      </w:r>
      <w:r w:rsidDel="00000000" w:rsidR="00000000" w:rsidRPr="00000000">
        <w:rPr>
          <w:rtl w:val="0"/>
        </w:rPr>
        <w:t xml:space="preserve"> is in a weak position in ECI terms, as its ECI change of -40.35% is lower than that of Russia (64.66%), China (-13.27%), and Japan (-8.79%).</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decrease in</w:t>
      </w:r>
      <w:r w:rsidDel="00000000" w:rsidR="00000000" w:rsidRPr="00000000">
        <w:rPr>
          <w:rtl w:val="0"/>
        </w:rPr>
        <w:t xml:space="preserve"> ECI level between 2019 and 2020, with slight increases between 2020 and 2022.</w:t>
      </w:r>
      <w:r w:rsidDel="00000000" w:rsidR="00000000" w:rsidRPr="00000000">
        <w:rPr>
          <w:rtl w:val="0"/>
        </w:rPr>
        <w:t xml:space="preserve"> India</w:t>
      </w:r>
      <w:r w:rsidDel="00000000" w:rsidR="00000000" w:rsidRPr="00000000">
        <w:rPr>
          <w:rtl w:val="0"/>
        </w:rPr>
        <w:t xml:space="preserve"> exhibits an increase between 2019 and 2020, with growth in the technology sector being one of the reasons. </w:t>
      </w:r>
      <w:r w:rsidDel="00000000" w:rsidR="00000000" w:rsidRPr="00000000">
        <w:rPr>
          <w:rtl w:val="0"/>
        </w:rPr>
        <w:t xml:space="preserve">India</w:t>
      </w:r>
      <w:r w:rsidDel="00000000" w:rsidR="00000000" w:rsidRPr="00000000">
        <w:rPr>
          <w:rtl w:val="0"/>
        </w:rPr>
        <w:t xml:space="preserve"> has seen a 215.84% increase in its ECI, which is greater than Malaysia’s (-166.2%), China’s (-158.24%), and Mexico’s (-202.7%). </w:t>
      </w:r>
    </w:p>
    <w:p w:rsidR="00000000" w:rsidDel="00000000" w:rsidP="00000000" w:rsidRDefault="00000000" w:rsidRPr="00000000" w14:paraId="0000002B">
      <w:pPr>
        <w:pageBreakBefore w:val="0"/>
        <w:jc w:val="left"/>
        <w:rPr/>
      </w:pPr>
      <w:r w:rsidDel="00000000" w:rsidR="00000000" w:rsidRPr="00000000">
        <w:rPr/>
        <w:drawing>
          <wp:inline distB="114300" distT="114300" distL="114300" distR="114300">
            <wp:extent cx="2687411" cy="1881188"/>
            <wp:effectExtent b="0" l="0" r="0" t="0"/>
            <wp:docPr id="2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687411" cy="18811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645181" cy="1995488"/>
            <wp:effectExtent b="0" l="0" r="0" t="0"/>
            <wp:docPr id="24"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645181"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2019-2022) </w:t>
      </w:r>
      <w:r w:rsidDel="00000000" w:rsidR="00000000" w:rsidRPr="00000000">
        <w:rPr>
          <w:rtl w:val="0"/>
        </w:rPr>
        <w:t xml:space="preserve">                        </w:t>
      </w:r>
    </w:p>
    <w:p w:rsidR="00000000" w:rsidDel="00000000" w:rsidP="00000000" w:rsidRDefault="00000000" w:rsidRPr="00000000" w14:paraId="0000002D">
      <w:pPr>
        <w:pageBreakBefore w:val="0"/>
        <w:jc w:val="left"/>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Figures 3a and 3b offer a further comparison of GDP Growth and ECI over the time span from 2013 to 2022 for </w:t>
      </w:r>
      <w:r w:rsidDel="00000000" w:rsidR="00000000" w:rsidRPr="00000000">
        <w:rPr>
          <w:rtl w:val="0"/>
        </w:rPr>
        <w:t xml:space="preserve">India</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2022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India</w:t>
      </w:r>
      <w:r w:rsidDel="00000000" w:rsidR="00000000" w:rsidRPr="00000000">
        <w:rPr>
          <w:rtl w:val="0"/>
        </w:rPr>
        <w:t xml:space="preserve"> during the period from 2013 to 2018 is only slightly correlated with the predictions by ECI and that </w:t>
      </w:r>
      <w:r w:rsidDel="00000000" w:rsidR="00000000" w:rsidRPr="00000000">
        <w:rPr>
          <w:rtl w:val="0"/>
        </w:rPr>
        <w:t xml:space="preserve">India</w:t>
      </w:r>
      <w:r w:rsidDel="00000000" w:rsidR="00000000" w:rsidRPr="00000000">
        <w:rPr>
          <w:rtl w:val="0"/>
        </w:rPr>
        <w:t xml:space="preserve"> made weak progress towards effectively developing a competitive product space that helps to accumulate complicated knowledge and technology. </w:t>
      </w:r>
      <w:r w:rsidDel="00000000" w:rsidR="00000000" w:rsidRPr="00000000">
        <w:rPr>
          <w:rtl w:val="0"/>
        </w:rPr>
        <w:t xml:space="preserve">For the period 2019 to 2022,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India</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drawing>
          <wp:inline distB="114300" distT="114300" distL="114300" distR="114300">
            <wp:extent cx="2866300" cy="1614488"/>
            <wp:effectExtent b="0" l="0" r="0" t="0"/>
            <wp:docPr id="31"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2866300" cy="1614488"/>
                    </a:xfrm>
                    <a:prstGeom prst="rect"/>
                    <a:ln/>
                  </pic:spPr>
                </pic:pic>
              </a:graphicData>
            </a:graphic>
          </wp:inline>
        </w:drawing>
      </w:r>
      <w:r w:rsidDel="00000000" w:rsidR="00000000" w:rsidRPr="00000000">
        <w:rPr/>
        <w:drawing>
          <wp:inline distB="114300" distT="114300" distL="114300" distR="114300">
            <wp:extent cx="2263613" cy="1700138"/>
            <wp:effectExtent b="0" l="0" r="0" t="0"/>
            <wp:docPr id="21"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263613" cy="170013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India</w:t>
      </w:r>
      <w:r w:rsidDel="00000000" w:rsidR="00000000" w:rsidRPr="00000000">
        <w:rPr>
          <w:sz w:val="22"/>
          <w:szCs w:val="22"/>
          <w:rtl w:val="0"/>
        </w:rPr>
        <w:t xml:space="preserve"> (left: 2013-2018; right: 2019-2022)</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India'</w:t>
      </w:r>
      <w:r w:rsidDel="00000000" w:rsidR="00000000" w:rsidRPr="00000000">
        <w:rPr>
          <w:rtl w:val="0"/>
        </w:rPr>
        <w:t xml:space="preserve">s realized industry production strategy between 2013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India</w:t>
      </w:r>
      <w:r w:rsidDel="00000000" w:rsidR="00000000" w:rsidRPr="00000000">
        <w:rPr>
          <w:rtl w:val="0"/>
        </w:rPr>
        <w:t xml:space="preserve"> and the 18 product groups in 2022 and 2018 through the difference, where a positive RID indicates a shortening of the distance (i.e., advancement of the industry), and a negative RID indicates the reverse. It is notable that the number of industries with positive RID has decreased from 2018 to 2022.</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w:t>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0.000850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0.020327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-0.046311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-0.002772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-0.017180</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-0.005812</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0.030216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0.006997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-0.012925</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0.053971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-0.005397</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-0.013036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-0.002336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-0.013561</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-0.012870</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-0.011949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-0.003868</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-0.020676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-0.014967</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-0.032151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-0.022936</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-0.009016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-0.004701</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-0.015875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-0.008554</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-0.035327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-0.012672</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0.029753</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-0.010873</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-0.013117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-0.008646</w:t>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-0.021231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0.013287</w:t>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-0.001932</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-0.019597</w:t>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-0.006538</w:t>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India</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r w:rsidDel="00000000" w:rsidR="00000000" w:rsidRPr="00000000">
        <w:rPr>
          <w:rtl w:val="0"/>
        </w:rPr>
        <w:t xml:space="preserve">India</w:t>
      </w:r>
      <w:r w:rsidDel="00000000" w:rsidR="00000000" w:rsidRPr="00000000">
        <w:rPr>
          <w:rtl w:val="0"/>
        </w:rPr>
        <w:t xml:space="preserve"> compares with selected leading economies in the world across different years, as measured in RID. Leading economies such as Germany, France, and Canada gave a considerable level of attention to more advanced product groups such as High-complexity Products in 2018 and Transportation in 2022.</w:t>
      </w:r>
    </w:p>
    <w:p w:rsidR="00000000" w:rsidDel="00000000" w:rsidP="00000000" w:rsidRDefault="00000000" w:rsidRPr="00000000" w14:paraId="000000CA">
      <w:pPr>
        <w:tabs>
          <w:tab w:val="center" w:leader="none" w:pos="4680"/>
          <w:tab w:val="right" w:leader="none" w:pos="9360"/>
        </w:tabs>
        <w:jc w:val="center"/>
        <w:rPr/>
      </w:pPr>
      <w:r w:rsidDel="00000000" w:rsidR="00000000" w:rsidRPr="00000000">
        <w:rPr>
          <w:rtl w:val="0"/>
        </w:rPr>
      </w:r>
    </w:p>
    <w:tbl>
      <w:tblPr>
        <w:tblStyle w:val="Table5"/>
        <w:tblpPr w:leftFromText="180" w:rightFromText="180" w:topFromText="180" w:bottomFromText="180" w:vertAnchor="text" w:horzAnchor="text" w:tblpX="30" w:tblpY="0"/>
        <w:tblW w:w="8967.0" w:type="dxa"/>
        <w:jc w:val="left"/>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D">
            <w:pPr>
              <w:jc w:val="both"/>
              <w:rPr/>
            </w:pPr>
            <w:r w:rsidDel="00000000" w:rsidR="00000000" w:rsidRPr="00000000">
              <w:rPr>
                <w:rtl w:val="0"/>
              </w:rPr>
              <w:t xml:space="preserve">the UK</w:t>
            </w:r>
          </w:p>
        </w:tc>
        <w:tc>
          <w:tcPr>
            <w:vAlign w:val="center"/>
          </w:tcPr>
          <w:p w:rsidR="00000000" w:rsidDel="00000000" w:rsidP="00000000" w:rsidRDefault="00000000" w:rsidRPr="00000000" w14:paraId="000000CE">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3">
      <w:pPr>
        <w:jc w:val="center"/>
        <w:rPr/>
      </w:pPr>
      <w:r w:rsidDel="00000000" w:rsidR="00000000" w:rsidRPr="00000000">
        <w:rPr>
          <w:rtl w:val="0"/>
        </w:rPr>
        <w:t xml:space="preserve">Table 4a: RID Comparison across Leading Economies (2018)</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tbl>
      <w:tblPr>
        <w:tblStyle w:val="Table6"/>
        <w:tblW w:w="6415.0" w:type="dxa"/>
        <w:jc w:val="center"/>
        <w:tblLayout w:type="fixed"/>
        <w:tblLook w:val="04A0"/>
      </w:tblPr>
      <w:tblGrid>
        <w:gridCol w:w="1122"/>
        <w:gridCol w:w="2842"/>
        <w:gridCol w:w="2451"/>
        <w:tblGridChange w:id="0">
          <w:tblGrid>
            <w:gridCol w:w="1122"/>
            <w:gridCol w:w="284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Canada</w:t>
            </w:r>
          </w:p>
        </w:tc>
        <w:tc>
          <w:tcPr/>
          <w:p w:rsidR="00000000" w:rsidDel="00000000" w:rsidP="00000000" w:rsidRDefault="00000000" w:rsidRPr="00000000" w14:paraId="000000E7">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9">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EB">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ind w:left="90" w:firstLine="0"/>
              <w:jc w:val="both"/>
              <w:rPr>
                <w:sz w:val="20"/>
                <w:szCs w:val="20"/>
              </w:rPr>
            </w:pPr>
            <w:r w:rsidDel="00000000" w:rsidR="00000000" w:rsidRPr="00000000">
              <w:rPr>
                <w:sz w:val="20"/>
                <w:szCs w:val="20"/>
                <w:rtl w:val="0"/>
              </w:rPr>
              <w:t xml:space="preserve">Animals and By-products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D">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ind w:left="90" w:firstLine="0"/>
              <w:jc w:val="both"/>
              <w:rPr>
                <w:sz w:val="20"/>
                <w:szCs w:val="20"/>
              </w:rPr>
            </w:pPr>
            <w:r w:rsidDel="00000000" w:rsidR="00000000" w:rsidRPr="00000000">
              <w:rPr>
                <w:sz w:val="20"/>
                <w:szCs w:val="20"/>
                <w:rtl w:val="0"/>
              </w:rPr>
              <w:t xml:space="preserve">Vegetables, Fruits and Plants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4">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5">
            <w:pPr>
              <w:ind w:left="90" w:firstLine="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ind w:left="90" w:firstLine="0"/>
              <w:jc w:val="both"/>
              <w:rPr>
                <w:sz w:val="20"/>
                <w:szCs w:val="20"/>
              </w:rPr>
            </w:pPr>
            <w:r w:rsidDel="00000000" w:rsidR="00000000" w:rsidRPr="00000000">
              <w:rPr>
                <w:sz w:val="20"/>
                <w:szCs w:val="20"/>
                <w:rtl w:val="0"/>
              </w:rPr>
              <w:t xml:space="preserve">Metals</w:t>
            </w:r>
          </w:p>
        </w:tc>
      </w:tr>
    </w:tbl>
    <w:p w:rsidR="00000000" w:rsidDel="00000000" w:rsidP="00000000" w:rsidRDefault="00000000" w:rsidRPr="00000000" w14:paraId="000000F7">
      <w:pPr>
        <w:jc w:val="center"/>
        <w:rPr/>
      </w:pPr>
      <w:r w:rsidDel="00000000" w:rsidR="00000000" w:rsidRPr="00000000">
        <w:rPr>
          <w:rtl w:val="0"/>
        </w:rPr>
        <w:t xml:space="preserve">Table 4b: RID Comparison across Leading Economies (2022)</w:t>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jc w:val="both"/>
        <w:rPr>
          <w:sz w:val="22"/>
          <w:szCs w:val="22"/>
        </w:rPr>
      </w:pPr>
      <w:r w:rsidDel="00000000" w:rsidR="00000000" w:rsidRPr="00000000">
        <w:rPr>
          <w:rtl w:val="0"/>
        </w:rPr>
        <w:t xml:space="preserve">Tables 4c-4d further examine </w:t>
      </w:r>
      <w:r w:rsidDel="00000000" w:rsidR="00000000" w:rsidRPr="00000000">
        <w:rPr>
          <w:rtl w:val="0"/>
        </w:rPr>
        <w:t xml:space="preserve">India</w:t>
      </w:r>
      <w:r w:rsidDel="00000000" w:rsidR="00000000" w:rsidRPr="00000000">
        <w:rPr>
          <w:rtl w:val="0"/>
        </w:rPr>
        <w:t xml:space="preserve">'s development strategy against those of emerging economies on a global scale. Reasonably, emerging economies such as China, South Korea, and Singapore have devoted the majority of their efforts to intermediate industry groups, showing moderate shifts in strategies over the course of four years.</w:t>
      </w:r>
      <w:r w:rsidDel="00000000" w:rsidR="00000000" w:rsidRPr="00000000">
        <w:rPr>
          <w:rtl w:val="0"/>
        </w:rPr>
      </w:r>
    </w:p>
    <w:p w:rsidR="00000000" w:rsidDel="00000000" w:rsidP="00000000" w:rsidRDefault="00000000" w:rsidRPr="00000000" w14:paraId="000000FA">
      <w:pPr>
        <w:tabs>
          <w:tab w:val="center" w:leader="none" w:pos="4680"/>
          <w:tab w:val="right" w:leader="none" w:pos="9360"/>
        </w:tabs>
        <w:jc w:val="center"/>
        <w:rPr/>
      </w:pPr>
      <w:r w:rsidDel="00000000" w:rsidR="00000000" w:rsidRPr="00000000">
        <w:rPr>
          <w:rtl w:val="0"/>
        </w:rPr>
      </w:r>
    </w:p>
    <w:tbl>
      <w:tblPr>
        <w:tblStyle w:val="Table7"/>
        <w:tblW w:w="8955.0" w:type="dxa"/>
        <w:jc w:val="center"/>
        <w:tblLayout w:type="fixed"/>
        <w:tblLook w:val="04A0"/>
      </w:tblPr>
      <w:tblGrid>
        <w:gridCol w:w="1125"/>
        <w:gridCol w:w="2595"/>
        <w:gridCol w:w="2610"/>
        <w:gridCol w:w="2625"/>
        <w:tblGridChange w:id="0">
          <w:tblGrid>
            <w:gridCol w:w="1125"/>
            <w:gridCol w:w="2595"/>
            <w:gridCol w:w="2610"/>
            <w:gridCol w:w="2625"/>
          </w:tblGrid>
        </w:tblGridChange>
      </w:tblGrid>
      <w:tr>
        <w:trPr>
          <w:cantSplit w:val="0"/>
          <w:trHeight w:val="135" w:hRule="atLeast"/>
          <w:tblHeader w:val="0"/>
        </w:trPr>
        <w:tc>
          <w:tcPr/>
          <w:p w:rsidR="00000000" w:rsidDel="00000000" w:rsidP="00000000" w:rsidRDefault="00000000" w:rsidRPr="00000000" w14:paraId="000000FB">
            <w:pPr>
              <w:jc w:val="both"/>
              <w:rPr/>
            </w:pPr>
            <w:r w:rsidDel="00000000" w:rsidR="00000000" w:rsidRPr="00000000">
              <w:rPr>
                <w:rtl w:val="0"/>
              </w:rPr>
              <w:t xml:space="preserve">Ranking</w:t>
            </w:r>
          </w:p>
        </w:tc>
        <w:tc>
          <w:tcPr/>
          <w:p w:rsidR="00000000" w:rsidDel="00000000" w:rsidP="00000000" w:rsidRDefault="00000000" w:rsidRPr="00000000" w14:paraId="000000FC">
            <w:pPr>
              <w:jc w:val="both"/>
              <w:rPr/>
            </w:pPr>
            <w:r w:rsidDel="00000000" w:rsidR="00000000" w:rsidRPr="00000000">
              <w:rPr>
                <w:rtl w:val="0"/>
              </w:rPr>
              <w:t xml:space="preserve">China</w:t>
            </w:r>
          </w:p>
        </w:tc>
        <w:tc>
          <w:tcPr/>
          <w:p w:rsidR="00000000" w:rsidDel="00000000" w:rsidP="00000000" w:rsidRDefault="00000000" w:rsidRPr="00000000" w14:paraId="000000FD">
            <w:pPr>
              <w:jc w:val="both"/>
              <w:rPr/>
            </w:pPr>
            <w:r w:rsidDel="00000000" w:rsidR="00000000" w:rsidRPr="00000000">
              <w:rPr>
                <w:rtl w:val="0"/>
              </w:rPr>
              <w:t xml:space="preserve">South Korea</w:t>
            </w:r>
          </w:p>
        </w:tc>
        <w:tc>
          <w:tcPr/>
          <w:p w:rsidR="00000000" w:rsidDel="00000000" w:rsidP="00000000" w:rsidRDefault="00000000" w:rsidRPr="00000000" w14:paraId="000000FE">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FF">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1">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3">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5">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0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0D">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0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3">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4">
      <w:pPr>
        <w:tabs>
          <w:tab w:val="center" w:leader="none" w:pos="4680"/>
          <w:tab w:val="right" w:leader="none" w:pos="9360"/>
        </w:tabs>
        <w:jc w:val="center"/>
        <w:rPr/>
      </w:pPr>
      <w:r w:rsidDel="00000000" w:rsidR="00000000" w:rsidRPr="00000000">
        <w:rPr>
          <w:rtl w:val="0"/>
        </w:rPr>
      </w:r>
    </w:p>
    <w:tbl>
      <w:tblPr>
        <w:tblStyle w:val="Table8"/>
        <w:tblW w:w="8955.0" w:type="dxa"/>
        <w:jc w:val="center"/>
        <w:tblLayout w:type="fixed"/>
        <w:tblLook w:val="04A0"/>
      </w:tblPr>
      <w:tblGrid>
        <w:gridCol w:w="1125"/>
        <w:gridCol w:w="2595"/>
        <w:gridCol w:w="2565"/>
        <w:gridCol w:w="2670"/>
        <w:tblGridChange w:id="0">
          <w:tblGrid>
            <w:gridCol w:w="1125"/>
            <w:gridCol w:w="2595"/>
            <w:gridCol w:w="2565"/>
            <w:gridCol w:w="2670"/>
          </w:tblGrid>
        </w:tblGridChange>
      </w:tblGrid>
      <w:tr>
        <w:trPr>
          <w:cantSplit w:val="0"/>
          <w:trHeight w:val="135" w:hRule="atLeast"/>
          <w:tblHeader w:val="0"/>
        </w:trPr>
        <w:tc>
          <w:tcPr/>
          <w:p w:rsidR="00000000" w:rsidDel="00000000" w:rsidP="00000000" w:rsidRDefault="00000000" w:rsidRPr="00000000" w14:paraId="00000115">
            <w:pPr>
              <w:jc w:val="both"/>
              <w:rPr/>
            </w:pPr>
            <w:r w:rsidDel="00000000" w:rsidR="00000000" w:rsidRPr="00000000">
              <w:rPr>
                <w:rtl w:val="0"/>
              </w:rPr>
              <w:t xml:space="preserve">Ranking</w:t>
            </w:r>
          </w:p>
        </w:tc>
        <w:tc>
          <w:tcPr/>
          <w:p w:rsidR="00000000" w:rsidDel="00000000" w:rsidP="00000000" w:rsidRDefault="00000000" w:rsidRPr="00000000" w14:paraId="00000116">
            <w:pPr>
              <w:jc w:val="both"/>
              <w:rPr/>
            </w:pPr>
            <w:r w:rsidDel="00000000" w:rsidR="00000000" w:rsidRPr="00000000">
              <w:rPr>
                <w:rtl w:val="0"/>
              </w:rPr>
              <w:t xml:space="preserve">China</w:t>
            </w:r>
          </w:p>
        </w:tc>
        <w:tc>
          <w:tcPr/>
          <w:p w:rsidR="00000000" w:rsidDel="00000000" w:rsidP="00000000" w:rsidRDefault="00000000" w:rsidRPr="00000000" w14:paraId="00000117">
            <w:pPr>
              <w:jc w:val="both"/>
              <w:rPr/>
            </w:pPr>
            <w:r w:rsidDel="00000000" w:rsidR="00000000" w:rsidRPr="00000000">
              <w:rPr>
                <w:rtl w:val="0"/>
              </w:rPr>
              <w:t xml:space="preserve">South Korea</w:t>
            </w:r>
          </w:p>
        </w:tc>
        <w:tc>
          <w:tcPr/>
          <w:p w:rsidR="00000000" w:rsidDel="00000000" w:rsidP="00000000" w:rsidRDefault="00000000" w:rsidRPr="00000000" w14:paraId="00000118">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19">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B">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1D">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Chemicals</w:t>
            </w:r>
          </w:p>
        </w:tc>
        <w:tc>
          <w:tcPr>
            <w:vAlign w:val="bottom"/>
          </w:tcPr>
          <w:p w:rsidR="00000000" w:rsidDel="00000000" w:rsidP="00000000" w:rsidRDefault="00000000" w:rsidRPr="00000000" w14:paraId="0000011F">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Weapons</w:t>
            </w:r>
          </w:p>
        </w:tc>
      </w:tr>
      <w:tr>
        <w:trPr>
          <w:cantSplit w:val="0"/>
          <w:trHeight w:val="275.00000000000006" w:hRule="atLeast"/>
          <w:tblHeader w:val="0"/>
        </w:trPr>
        <w:tc>
          <w:tcPr/>
          <w:p w:rsidR="00000000" w:rsidDel="00000000" w:rsidP="00000000" w:rsidRDefault="00000000" w:rsidRPr="00000000" w14:paraId="00000121">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22">
            <w:pPr>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Metals</w:t>
            </w:r>
          </w:p>
        </w:tc>
        <w:tc>
          <w:tcPr>
            <w:vAlign w:val="bottom"/>
          </w:tcPr>
          <w:p w:rsidR="00000000" w:rsidDel="00000000" w:rsidP="00000000" w:rsidRDefault="00000000" w:rsidRPr="00000000" w14:paraId="00000124">
            <w:pPr>
              <w:jc w:val="both"/>
              <w:rPr>
                <w:sz w:val="20"/>
                <w:szCs w:val="20"/>
              </w:rPr>
            </w:pPr>
            <w:r w:rsidDel="00000000" w:rsidR="00000000" w:rsidRPr="00000000">
              <w:rPr>
                <w:sz w:val="20"/>
                <w:szCs w:val="20"/>
                <w:rtl w:val="0"/>
              </w:rPr>
              <w:t xml:space="preserve">High-complexity Products</w:t>
            </w:r>
          </w:p>
        </w:tc>
      </w:tr>
      <w:tr>
        <w:trPr>
          <w:cantSplit w:val="0"/>
          <w:trHeight w:val="60" w:hRule="atLeast"/>
          <w:tblHeader w:val="0"/>
        </w:trPr>
        <w:tc>
          <w:tcPr/>
          <w:p w:rsidR="00000000" w:rsidDel="00000000" w:rsidP="00000000" w:rsidRDefault="00000000" w:rsidRPr="00000000" w14:paraId="00000125">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26">
            <w:pPr>
              <w:jc w:val="both"/>
              <w:rPr>
                <w:sz w:val="20"/>
                <w:szCs w:val="20"/>
              </w:rPr>
            </w:pPr>
            <w:r w:rsidDel="00000000" w:rsidR="00000000" w:rsidRPr="00000000">
              <w:rPr>
                <w:sz w:val="20"/>
                <w:szCs w:val="20"/>
                <w:rtl w:val="0"/>
              </w:rPr>
              <w:t xml:space="preserve">Metals</w:t>
            </w:r>
          </w:p>
        </w:tc>
        <w:tc>
          <w:tcPr>
            <w:vAlign w:val="bottom"/>
          </w:tcPr>
          <w:p w:rsidR="00000000" w:rsidDel="00000000" w:rsidP="00000000" w:rsidRDefault="00000000" w:rsidRPr="00000000" w14:paraId="00000127">
            <w:pPr>
              <w:jc w:val="both"/>
              <w:rPr>
                <w:sz w:val="20"/>
                <w:szCs w:val="20"/>
              </w:rPr>
            </w:pPr>
            <w:r w:rsidDel="00000000" w:rsidR="00000000" w:rsidRPr="00000000">
              <w:rPr>
                <w:sz w:val="20"/>
                <w:szCs w:val="20"/>
                <w:rtl w:val="0"/>
              </w:rPr>
              <w:t xml:space="preserve">Raw Manufacturing </w:t>
            </w:r>
          </w:p>
        </w:tc>
        <w:tc>
          <w:tcPr>
            <w:vAlign w:val="bottom"/>
          </w:tcPr>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Energy Drilling and Mining</w:t>
            </w:r>
          </w:p>
        </w:tc>
      </w:tr>
      <w:tr>
        <w:trPr>
          <w:cantSplit w:val="0"/>
          <w:trHeight w:val="225" w:hRule="atLeast"/>
          <w:tblHeader w:val="0"/>
        </w:trPr>
        <w:tc>
          <w:tcPr/>
          <w:p w:rsidR="00000000" w:rsidDel="00000000" w:rsidP="00000000" w:rsidRDefault="00000000" w:rsidRPr="00000000" w14:paraId="00000129">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Machinery and Construction</w:t>
            </w:r>
          </w:p>
        </w:tc>
      </w:tr>
    </w:tbl>
    <w:p w:rsidR="00000000" w:rsidDel="00000000" w:rsidP="00000000" w:rsidRDefault="00000000" w:rsidRPr="00000000" w14:paraId="0000012D">
      <w:pPr>
        <w:jc w:val="center"/>
        <w:rPr/>
      </w:pPr>
      <w:r w:rsidDel="00000000" w:rsidR="00000000" w:rsidRPr="00000000">
        <w:rPr>
          <w:sz w:val="22"/>
          <w:szCs w:val="22"/>
          <w:rtl w:val="0"/>
        </w:rPr>
        <w:t xml:space="preserve">Table 4d: RID Comparison across Emerging Economies (2022)</w:t>
      </w:r>
      <w:r w:rsidDel="00000000" w:rsidR="00000000" w:rsidRPr="00000000">
        <w:rPr>
          <w:rtl w:val="0"/>
        </w:rPr>
      </w:r>
    </w:p>
    <w:p w:rsidR="00000000" w:rsidDel="00000000" w:rsidP="00000000" w:rsidRDefault="00000000" w:rsidRPr="00000000" w14:paraId="0000012E">
      <w:pPr>
        <w:pageBreakBefore w:val="0"/>
        <w:jc w:val="center"/>
        <w:rPr>
          <w:sz w:val="22"/>
          <w:szCs w:val="22"/>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1">
      <w:pPr>
        <w:pageBreakBefore w:val="0"/>
        <w:jc w:val="both"/>
        <w:rPr>
          <w:b w:val="1"/>
          <w:bCs w:val="1"/>
        </w:rPr>
      </w:pPr>
      <w:r w:rsidDel="00000000" w:rsidR="00000000" w:rsidRPr="00000000">
        <w:rPr>
          <w:rtl w:val="0"/>
        </w:rPr>
      </w:r>
    </w:p>
    <w:p w:rsidR="00000000" w:rsidDel="00000000" w:rsidP="00000000" w:rsidRDefault="00000000" w:rsidRPr="00000000" w14:paraId="0000013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5">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6">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7">
      <w:pPr>
        <w:pageBreakBefore w:val="0"/>
        <w:jc w:val="both"/>
        <w:rPr/>
      </w:pPr>
      <w:r w:rsidDel="00000000" w:rsidR="00000000" w:rsidRPr="00000000">
        <w:rPr>
          <w:rtl w:val="0"/>
        </w:rPr>
      </w:r>
    </w:p>
    <w:p w:rsidR="00000000" w:rsidDel="00000000" w:rsidP="00000000" w:rsidRDefault="00000000" w:rsidRPr="00000000" w14:paraId="00000138">
      <w:pPr>
        <w:jc w:val="center"/>
        <w:rPr>
          <w:sz w:val="22"/>
          <w:szCs w:val="22"/>
        </w:rPr>
      </w:pPr>
      <w:r w:rsidDel="00000000" w:rsidR="00000000" w:rsidRPr="00000000">
        <w:rPr/>
        <w:drawing>
          <wp:inline distB="114300" distT="114300" distL="114300" distR="114300">
            <wp:extent cx="5731200" cy="2984500"/>
            <wp:effectExtent b="0" l="0" r="0" t="0"/>
            <wp:docPr id="30"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731200" cy="2984500"/>
                    </a:xfrm>
                    <a:prstGeom prst="rect"/>
                    <a:ln/>
                  </pic:spPr>
                </pic:pic>
              </a:graphicData>
            </a:graphic>
          </wp:inline>
        </w:drawing>
      </w: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39">
      <w:pPr>
        <w:jc w:val="center"/>
        <w:rPr>
          <w:sz w:val="22"/>
          <w:szCs w:val="22"/>
        </w:rPr>
      </w:pPr>
      <w:r w:rsidDel="00000000" w:rsidR="00000000" w:rsidRPr="00000000">
        <w:rPr/>
        <w:drawing>
          <wp:inline distB="114300" distT="114300" distL="114300" distR="114300">
            <wp:extent cx="5731200" cy="2959100"/>
            <wp:effectExtent b="0" l="0" r="0" t="0"/>
            <wp:docPr id="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31200" cy="2959100"/>
                    </a:xfrm>
                    <a:prstGeom prst="rect"/>
                    <a:ln/>
                  </pic:spPr>
                </pic:pic>
              </a:graphicData>
            </a:graphic>
          </wp:inline>
        </w:drawing>
      </w: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3A">
      <w:pPr>
        <w:pageBreakBefore w:val="0"/>
        <w:jc w:val="left"/>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C">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India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Malaysia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E">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Togo</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4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5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6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6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D">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1">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r>
      <w:tr>
        <w:trPr>
          <w:cantSplit w:val="0"/>
          <w:trHeight w:val="375" w:hRule="atLeast"/>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8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0.338973</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-0.498173</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right="-75"/>
              <w:rPr>
                <w:b w:val="1"/>
                <w:bCs w:val="1"/>
                <w:color w:val="7b7b7b"/>
                <w:sz w:val="20"/>
                <w:szCs w:val="20"/>
                <w:highlight w:val="white"/>
              </w:rPr>
            </w:pPr>
            <w:r w:rsidDel="00000000" w:rsidR="00000000" w:rsidRPr="00000000">
              <w:rPr>
                <w:b w:val="1"/>
                <w:bCs w:val="1"/>
                <w:color w:val="7b7b7b"/>
                <w:sz w:val="20"/>
                <w:szCs w:val="20"/>
                <w:highlight w:val="white"/>
                <w:rtl w:val="0"/>
              </w:rPr>
              <w:t xml:space="preserve">0.315147</w:t>
            </w:r>
          </w:p>
        </w:tc>
      </w:tr>
    </w:tbl>
    <w:p w:rsidR="00000000" w:rsidDel="00000000" w:rsidP="00000000" w:rsidRDefault="00000000" w:rsidRPr="00000000" w14:paraId="0000018B">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18C">
      <w:pPr>
        <w:pageBreakBefore w:val="0"/>
        <w:jc w:val="center"/>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India</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Machinery and Construction. It can be concluded that </w:t>
      </w:r>
      <w:r w:rsidDel="00000000" w:rsidR="00000000" w:rsidRPr="00000000">
        <w:rPr>
          <w:rtl w:val="0"/>
        </w:rPr>
        <w:t xml:space="preserve">India</w:t>
      </w:r>
      <w:r w:rsidDel="00000000" w:rsidR="00000000" w:rsidRPr="00000000">
        <w:rPr>
          <w:rtl w:val="0"/>
        </w:rPr>
        <w:t xml:space="preserve"> shares the characteristics of developing countries, with a balanced economic structure.</w:t>
      </w:r>
    </w:p>
    <w:p w:rsidR="00000000" w:rsidDel="00000000" w:rsidP="00000000" w:rsidRDefault="00000000" w:rsidRPr="00000000" w14:paraId="00000190">
      <w:pPr>
        <w:pageBreakBefore w:val="0"/>
        <w:jc w:val="both"/>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drawing>
          <wp:inline distB="114300" distT="114300" distL="114300" distR="114300">
            <wp:extent cx="5731200" cy="2273300"/>
            <wp:effectExtent b="0" l="0" r="0" t="0"/>
            <wp:docPr id="16"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731200" cy="2273300"/>
                    </a:xfrm>
                    <a:prstGeom prst="rect"/>
                    <a:ln/>
                  </pic:spPr>
                </pic:pic>
              </a:graphicData>
            </a:graphic>
          </wp:inline>
        </w:drawing>
      </w: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192">
      <w:pPr>
        <w:pageBreakBefore w:val="0"/>
        <w:jc w:val="center"/>
        <w:rPr>
          <w:sz w:val="22"/>
          <w:szCs w:val="22"/>
        </w:rPr>
      </w:pPr>
      <w:r w:rsidDel="00000000" w:rsidR="00000000" w:rsidRPr="00000000">
        <w:rPr>
          <w:rtl w:val="0"/>
        </w:rPr>
      </w:r>
    </w:p>
    <w:p w:rsidR="00000000" w:rsidDel="00000000" w:rsidP="00000000" w:rsidRDefault="00000000" w:rsidRPr="00000000" w14:paraId="00000193">
      <w:pPr>
        <w:pageBreakBefore w:val="0"/>
        <w:jc w:val="center"/>
        <w:rPr/>
      </w:pPr>
      <w:r w:rsidDel="00000000" w:rsidR="00000000" w:rsidRPr="00000000">
        <w:rPr>
          <w:rtl w:val="0"/>
        </w:rPr>
      </w:r>
    </w:p>
    <w:p w:rsidR="00000000" w:rsidDel="00000000" w:rsidP="00000000" w:rsidRDefault="00000000" w:rsidRPr="00000000" w14:paraId="00000194">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2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jc w:val="center"/>
        <w:rPr/>
      </w:pPr>
      <w:r w:rsidDel="00000000" w:rsidR="00000000" w:rsidRPr="00000000">
        <w:rPr>
          <w:rtl w:val="0"/>
        </w:rPr>
      </w:r>
    </w:p>
    <w:p w:rsidR="00000000" w:rsidDel="00000000" w:rsidP="00000000" w:rsidRDefault="00000000" w:rsidRPr="00000000" w14:paraId="00000199">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9A">
      <w:pPr>
        <w:pageBreakBefore w:val="0"/>
        <w:jc w:val="both"/>
        <w:rPr/>
      </w:pPr>
      <w:r w:rsidDel="00000000" w:rsidR="00000000" w:rsidRPr="00000000">
        <w:rPr>
          <w:rtl w:val="0"/>
        </w:rPr>
        <w:t xml:space="preserve"> </w:t>
      </w:r>
    </w:p>
    <w:p w:rsidR="00000000" w:rsidDel="00000000" w:rsidP="00000000" w:rsidRDefault="00000000" w:rsidRPr="00000000" w14:paraId="0000019B">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9C">
      <w:pPr>
        <w:pageBreakBefore w:val="0"/>
        <w:jc w:val="both"/>
        <w:rPr/>
      </w:pPr>
      <w:r w:rsidDel="00000000" w:rsidR="00000000" w:rsidRPr="00000000">
        <w:rPr>
          <w:rtl w:val="0"/>
        </w:rPr>
        <w:t xml:space="preserve"> </w:t>
      </w:r>
    </w:p>
    <w:p w:rsidR="00000000" w:rsidDel="00000000" w:rsidP="00000000" w:rsidRDefault="00000000" w:rsidRPr="00000000" w14:paraId="0000019D">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9E">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A2">
      <w:pPr>
        <w:pageBreakBefore w:val="0"/>
        <w:rPr/>
      </w:pPr>
      <w:r w:rsidDel="00000000" w:rsidR="00000000" w:rsidRPr="00000000">
        <w:rPr>
          <w:rtl w:val="0"/>
        </w:rPr>
        <w:t xml:space="preserve"> </w:t>
      </w:r>
    </w:p>
    <w:p w:rsidR="00000000" w:rsidDel="00000000" w:rsidP="00000000" w:rsidRDefault="00000000" w:rsidRPr="00000000" w14:paraId="000001A3">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A6">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pageBreakBefore w:val="0"/>
        <w:jc w:val="both"/>
        <w:rPr>
          <w:b w:val="1"/>
          <w:bCs w:val="1"/>
        </w:rPr>
      </w:pPr>
      <w:r w:rsidDel="00000000" w:rsidR="00000000" w:rsidRPr="00000000">
        <w:rPr>
          <w:rtl w:val="0"/>
        </w:rPr>
      </w:r>
    </w:p>
    <w:p w:rsidR="00000000" w:rsidDel="00000000" w:rsidP="00000000" w:rsidRDefault="00000000" w:rsidRPr="00000000" w14:paraId="000001A9">
      <w:pPr>
        <w:pageBreakBefore w:val="0"/>
        <w:jc w:val="both"/>
        <w:rPr>
          <w:b w:val="1"/>
          <w:bCs w:val="1"/>
        </w:rPr>
      </w:pPr>
      <w:r w:rsidDel="00000000" w:rsidR="00000000" w:rsidRPr="00000000">
        <w:rPr>
          <w:rtl w:val="0"/>
        </w:rPr>
      </w:r>
    </w:p>
    <w:p w:rsidR="00000000" w:rsidDel="00000000" w:rsidP="00000000" w:rsidRDefault="00000000" w:rsidRPr="00000000" w14:paraId="000001A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AB">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AC">
      <w:pPr>
        <w:pageBreakBefore w:val="0"/>
        <w:jc w:val="both"/>
        <w:rPr/>
      </w:pPr>
      <w:r w:rsidDel="00000000" w:rsidR="00000000" w:rsidRPr="00000000">
        <w:rPr>
          <w:rtl w:val="0"/>
        </w:rPr>
      </w:r>
    </w:p>
    <w:tbl>
      <w:tblPr>
        <w:tblStyle w:val="Table10"/>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D">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E">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D3">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D4">
      <w:pPr>
        <w:pageBreakBefore w:val="0"/>
        <w:jc w:val="center"/>
        <w:rPr/>
      </w:pP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India</w:t>
      </w:r>
      <w:r w:rsidDel="00000000" w:rsidR="00000000" w:rsidRPr="00000000">
        <w:rPr>
          <w:rtl w:val="0"/>
        </w:rPr>
        <w:t xml:space="preserve"> in 2013, 2018, and 2022. We can see that for different percentages of heuristic total export growth, the ECIs of </w:t>
      </w:r>
      <w:r w:rsidDel="00000000" w:rsidR="00000000" w:rsidRPr="00000000">
        <w:rPr>
          <w:rtl w:val="0"/>
        </w:rPr>
        <w:t xml:space="preserve">India</w:t>
      </w:r>
      <w:r w:rsidDel="00000000" w:rsidR="00000000" w:rsidRPr="00000000">
        <w:rPr>
          <w:rtl w:val="0"/>
        </w:rPr>
        <w:t xml:space="preserve"> actually have different increments. </w:t>
      </w:r>
    </w:p>
    <w:p w:rsidR="00000000" w:rsidDel="00000000" w:rsidP="00000000" w:rsidRDefault="00000000" w:rsidRPr="00000000" w14:paraId="000001D6">
      <w:pPr>
        <w:pageBreakBefore w:val="0"/>
        <w:jc w:val="both"/>
        <w:rPr/>
      </w:pPr>
      <w:r w:rsidDel="00000000" w:rsidR="00000000" w:rsidRPr="00000000">
        <w:rPr>
          <w:rtl w:val="0"/>
        </w:rPr>
      </w:r>
    </w:p>
    <w:p w:rsidR="00000000" w:rsidDel="00000000" w:rsidP="00000000" w:rsidRDefault="00000000" w:rsidRPr="00000000" w14:paraId="000001D7">
      <w:pPr>
        <w:pageBreakBefore w:val="0"/>
        <w:jc w:val="both"/>
        <w:rPr/>
      </w:pPr>
      <w:r w:rsidDel="00000000" w:rsidR="00000000" w:rsidRPr="00000000">
        <w:rPr>
          <w:rtl w:val="0"/>
        </w:rPr>
        <w:t xml:space="preserve">For 2013, in the case of 5 percent export growth, Raw Manufacturing is one of the main components. With a budget of 10 percent export growth, Weapons and Daily Instruments account for most of the portfolio. As the budget increases to 15 percent, the portfolio becomes significantly more diverse, with key industries including machinery and construction, daily instruments, and raw manufacturing. When the budget rises to 20 percent, the portfolio becomes even more comprehensive, with metals added as a critical industry for development. In addition to the previously mentioned sectors, products such as chemical manufacturing and high-complexity goods are also considered. Among the four ECI improvement trajectories, the most significant gains are observed in raw manufacturing, services, and utilities. This suggests that, with lower expectations for economic improvement, India should focus more on developing these sectors. A more detailed numerical representation of the portfolio is shown in Table 8a. </w:t>
      </w:r>
    </w:p>
    <w:p w:rsidR="00000000" w:rsidDel="00000000" w:rsidP="00000000" w:rsidRDefault="00000000" w:rsidRPr="00000000" w14:paraId="000001D8">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189230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648325" cy="1762125"/>
            <wp:effectExtent b="0" l="0" r="0" t="0"/>
            <wp:docPr id="11" name="image8.png"/>
            <a:graphic>
              <a:graphicData uri="http://schemas.openxmlformats.org/drawingml/2006/picture">
                <pic:pic>
                  <pic:nvPicPr>
                    <pic:cNvPr id="0" name="image8.png"/>
                    <pic:cNvPicPr preferRelativeResize="0"/>
                  </pic:nvPicPr>
                  <pic:blipFill>
                    <a:blip r:embed="rId20"/>
                    <a:srcRect b="7035" l="3142" r="0" t="0"/>
                    <a:stretch>
                      <a:fillRect/>
                    </a:stretch>
                  </pic:blipFill>
                  <pic:spPr>
                    <a:xfrm>
                      <a:off x="0" y="0"/>
                      <a:ext cx="56483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ageBreakBefore w:val="0"/>
        <w:jc w:val="both"/>
        <w:rPr/>
      </w:pPr>
      <w:r w:rsidDel="00000000" w:rsidR="00000000" w:rsidRPr="00000000">
        <w:rPr>
          <w:rtl w:val="0"/>
        </w:rPr>
      </w:r>
    </w:p>
    <w:p w:rsidR="00000000" w:rsidDel="00000000" w:rsidP="00000000" w:rsidRDefault="00000000" w:rsidRPr="00000000" w14:paraId="000001DA">
      <w:pPr>
        <w:pageBreakBefore w:val="0"/>
        <w:jc w:val="center"/>
        <w:rPr>
          <w:sz w:val="22"/>
          <w:szCs w:val="22"/>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India</w:t>
      </w:r>
      <w:r w:rsidDel="00000000" w:rsidR="00000000" w:rsidRPr="00000000">
        <w:rPr>
          <w:sz w:val="22"/>
          <w:szCs w:val="22"/>
          <w:rtl w:val="0"/>
        </w:rPr>
        <w:t xml:space="preserve"> with Different Budgets (2013)</w:t>
        <w:br w:type="textWrapping"/>
      </w:r>
    </w:p>
    <w:p w:rsidR="00000000" w:rsidDel="00000000" w:rsidP="00000000" w:rsidRDefault="00000000" w:rsidRPr="00000000" w14:paraId="000001DB">
      <w:pPr>
        <w:jc w:val="both"/>
        <w:rPr/>
      </w:pPr>
      <w:r w:rsidDel="00000000" w:rsidR="00000000" w:rsidRPr="00000000">
        <w:rPr/>
        <w:drawing>
          <wp:inline distB="114300" distT="114300" distL="114300" distR="114300">
            <wp:extent cx="5731200" cy="1752600"/>
            <wp:effectExtent b="0" l="0" r="0" t="0"/>
            <wp:docPr id="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center"/>
        <w:rPr>
          <w:sz w:val="22"/>
          <w:szCs w:val="22"/>
        </w:rPr>
      </w:pPr>
      <w:r w:rsidDel="00000000" w:rsidR="00000000" w:rsidRPr="00000000">
        <w:rPr>
          <w:rtl w:val="0"/>
        </w:rPr>
        <w:t xml:space="preserve">T</w:t>
      </w:r>
      <w:r w:rsidDel="00000000" w:rsidR="00000000" w:rsidRPr="00000000">
        <w:rPr>
          <w:sz w:val="22"/>
          <w:szCs w:val="22"/>
          <w:rtl w:val="0"/>
        </w:rPr>
        <w:t xml:space="preserve">able 8a. Portfolio of </w:t>
      </w:r>
      <w:r w:rsidDel="00000000" w:rsidR="00000000" w:rsidRPr="00000000">
        <w:rPr>
          <w:sz w:val="22"/>
          <w:szCs w:val="22"/>
          <w:rtl w:val="0"/>
        </w:rPr>
        <w:t xml:space="preserve">India</w:t>
      </w:r>
      <w:r w:rsidDel="00000000" w:rsidR="00000000" w:rsidRPr="00000000">
        <w:rPr>
          <w:sz w:val="22"/>
          <w:szCs w:val="22"/>
          <w:rtl w:val="0"/>
        </w:rPr>
        <w:t xml:space="preserve"> (2013)</w:t>
      </w:r>
    </w:p>
    <w:p w:rsidR="00000000" w:rsidDel="00000000" w:rsidP="00000000" w:rsidRDefault="00000000" w:rsidRPr="00000000" w14:paraId="000001DD">
      <w:pPr>
        <w:pageBreakBefore w:val="0"/>
        <w:jc w:val="both"/>
        <w:rPr/>
      </w:pPr>
      <w:r w:rsidDel="00000000" w:rsidR="00000000" w:rsidRPr="00000000">
        <w:rPr>
          <w:rtl w:val="0"/>
        </w:rPr>
      </w:r>
    </w:p>
    <w:p w:rsidR="00000000" w:rsidDel="00000000" w:rsidP="00000000" w:rsidRDefault="00000000" w:rsidRPr="00000000" w14:paraId="000001DE">
      <w:pPr>
        <w:pageBreakBefore w:val="0"/>
        <w:jc w:val="both"/>
        <w:rPr/>
      </w:pPr>
      <w:r w:rsidDel="00000000" w:rsidR="00000000" w:rsidRPr="00000000">
        <w:rPr>
          <w:rtl w:val="0"/>
        </w:rPr>
        <w:t xml:space="preserve">For further suggestions on </w:t>
      </w:r>
      <w:r w:rsidDel="00000000" w:rsidR="00000000" w:rsidRPr="00000000">
        <w:rPr>
          <w:rtl w:val="0"/>
        </w:rPr>
        <w:t xml:space="preserve">India</w:t>
      </w:r>
      <w:r w:rsidDel="00000000" w:rsidR="00000000" w:rsidRPr="00000000">
        <w:rPr>
          <w:rtl w:val="0"/>
        </w:rPr>
        <w:t xml:space="preserve">’s development in the future, we also offer the optimization result based on its export data in 2018. Below is the economic panel for India in 2018. For the cases of 5% and 10% export growth, while the ECI improvement trajectories are relatively similar, the main components of the portfolio are quite distinct. At 5% growth, daily instruments and textiles dominate the portfolio, whereas at 10% growth, weapons and raw manufacturing take precedence. As the export growth budget increases to 15% or 20%, India’s ECI improves significantly, rising from -0.50 to 1.00 or even 1.20. With a 15% export growth budget, the portfolio is primarily composed of machinery and construction, raw manufacturing, and daily instruments. However, when the budget increases to 20%, the portfolio becomes more balanced, with machinery and construction, daily instruments, transportation, and metals emerging as the key components, each holding a similar weight. A more detailed numerical representation of the portfolio is shown in Table 8b. </w:t>
      </w:r>
    </w:p>
    <w:p w:rsidR="00000000" w:rsidDel="00000000" w:rsidP="00000000" w:rsidRDefault="00000000" w:rsidRPr="00000000" w14:paraId="000001DF">
      <w:pPr>
        <w:pageBreakBefore w:val="0"/>
        <w:jc w:val="both"/>
        <w:rPr/>
      </w:pP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drawing>
          <wp:inline distB="114300" distT="114300" distL="114300" distR="114300">
            <wp:extent cx="5731200" cy="1892300"/>
            <wp:effectExtent b="0" l="0" r="0" t="0"/>
            <wp:docPr id="35"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653088" cy="1819275"/>
            <wp:effectExtent b="0" l="0" r="0" t="0"/>
            <wp:docPr id="18" name="image14.png"/>
            <a:graphic>
              <a:graphicData uri="http://schemas.openxmlformats.org/drawingml/2006/picture">
                <pic:pic>
                  <pic:nvPicPr>
                    <pic:cNvPr id="0" name="image14.png"/>
                    <pic:cNvPicPr preferRelativeResize="0"/>
                  </pic:nvPicPr>
                  <pic:blipFill>
                    <a:blip r:embed="rId23"/>
                    <a:srcRect b="4020" l="2824" r="0" t="0"/>
                    <a:stretch>
                      <a:fillRect/>
                    </a:stretch>
                  </pic:blipFill>
                  <pic:spPr>
                    <a:xfrm>
                      <a:off x="0" y="0"/>
                      <a:ext cx="5653088"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India</w:t>
      </w:r>
      <w:r w:rsidDel="00000000" w:rsidR="00000000" w:rsidRPr="00000000">
        <w:rPr>
          <w:sz w:val="22"/>
          <w:szCs w:val="22"/>
          <w:rtl w:val="0"/>
        </w:rPr>
        <w:t xml:space="preserve"> with Different Budgets (2018)</w:t>
      </w:r>
    </w:p>
    <w:p w:rsidR="00000000" w:rsidDel="00000000" w:rsidP="00000000" w:rsidRDefault="00000000" w:rsidRPr="00000000" w14:paraId="000001E2">
      <w:pPr>
        <w:jc w:val="center"/>
        <w:rPr>
          <w:sz w:val="22"/>
          <w:szCs w:val="22"/>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drawing>
          <wp:inline distB="114300" distT="114300" distL="114300" distR="114300">
            <wp:extent cx="5731200" cy="1447800"/>
            <wp:effectExtent b="0" l="0" r="0" t="0"/>
            <wp:docPr id="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ageBreakBefore w:val="0"/>
        <w:jc w:val="center"/>
        <w:rPr>
          <w:sz w:val="22"/>
          <w:szCs w:val="22"/>
        </w:rPr>
      </w:pPr>
      <w:r w:rsidDel="00000000" w:rsidR="00000000" w:rsidRPr="00000000">
        <w:rPr>
          <w:rtl w:val="0"/>
        </w:rPr>
        <w:t xml:space="preserve">T</w:t>
      </w:r>
      <w:r w:rsidDel="00000000" w:rsidR="00000000" w:rsidRPr="00000000">
        <w:rPr>
          <w:sz w:val="22"/>
          <w:szCs w:val="22"/>
          <w:rtl w:val="0"/>
        </w:rPr>
        <w:t xml:space="preserve">able 8b. Portfolio of </w:t>
      </w:r>
      <w:r w:rsidDel="00000000" w:rsidR="00000000" w:rsidRPr="00000000">
        <w:rPr>
          <w:sz w:val="22"/>
          <w:szCs w:val="22"/>
          <w:rtl w:val="0"/>
        </w:rPr>
        <w:t xml:space="preserve">India</w:t>
      </w:r>
      <w:r w:rsidDel="00000000" w:rsidR="00000000" w:rsidRPr="00000000">
        <w:rPr>
          <w:sz w:val="22"/>
          <w:szCs w:val="22"/>
          <w:rtl w:val="0"/>
        </w:rPr>
        <w:t xml:space="preserve"> (2018)</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w:t>
      </w:r>
      <w:r w:rsidDel="00000000" w:rsidR="00000000" w:rsidRPr="00000000">
        <w:rPr>
          <w:rtl w:val="0"/>
        </w:rPr>
        <w:t xml:space="preserve">2. </w:t>
      </w:r>
      <w:r w:rsidDel="00000000" w:rsidR="00000000" w:rsidRPr="00000000">
        <w:rPr>
          <w:rtl w:val="0"/>
        </w:rPr>
        <w:t xml:space="preserve">For 2022, </w:t>
      </w:r>
      <w:r w:rsidDel="00000000" w:rsidR="00000000" w:rsidRPr="00000000">
        <w:rPr>
          <w:rtl w:val="0"/>
        </w:rPr>
        <w:t xml:space="preserve">a 5 percent increase in export would emphasize Textiles, followed by Food and Preparations, and Chemicals for 10, 15, and 20 percent export growth respectively. These strategies go in line with the suggested trajectories based on ECI. As export growth increases to 15 and 20 percent, Chemicals emerge as a key focus, reflecting the need for higher complexity and technological advancement in the portfolio. The investment strategies follow this trajectory, with a progressive shift toward industries that contribute to economic complexity and growth. A more detailed numerical representation of the portfolio for </w:t>
      </w:r>
      <w:r w:rsidDel="00000000" w:rsidR="00000000" w:rsidRPr="00000000">
        <w:rPr>
          <w:rtl w:val="0"/>
        </w:rPr>
        <w:t xml:space="preserve">India</w:t>
      </w:r>
      <w:r w:rsidDel="00000000" w:rsidR="00000000" w:rsidRPr="00000000">
        <w:rPr>
          <w:rtl w:val="0"/>
        </w:rPr>
        <w:t xml:space="preserve"> is shown in Table 8c.</w:t>
      </w:r>
    </w:p>
    <w:p w:rsidR="00000000" w:rsidDel="00000000" w:rsidP="00000000" w:rsidRDefault="00000000" w:rsidRPr="00000000" w14:paraId="000001E7">
      <w:pPr>
        <w:pageBreakBefore w:val="0"/>
        <w:rPr>
          <w:sz w:val="22"/>
          <w:szCs w:val="22"/>
        </w:rPr>
      </w:pPr>
      <w:r w:rsidDel="00000000" w:rsidR="00000000" w:rsidRPr="00000000">
        <w:rPr/>
        <w:drawing>
          <wp:inline distB="114300" distT="114300" distL="114300" distR="114300">
            <wp:extent cx="5734050" cy="2057400"/>
            <wp:effectExtent b="0" l="0" r="0" t="0"/>
            <wp:docPr id="33" name="image29.png"/>
            <a:graphic>
              <a:graphicData uri="http://schemas.openxmlformats.org/drawingml/2006/picture">
                <pic:pic>
                  <pic:nvPicPr>
                    <pic:cNvPr id="0" name="image29.png"/>
                    <pic:cNvPicPr preferRelativeResize="0"/>
                  </pic:nvPicPr>
                  <pic:blipFill>
                    <a:blip r:embed="rId25"/>
                    <a:srcRect b="28239"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jc w:val="center"/>
        <w:rPr>
          <w:sz w:val="22"/>
          <w:szCs w:val="22"/>
        </w:rPr>
      </w:pPr>
      <w:r w:rsidDel="00000000" w:rsidR="00000000" w:rsidRPr="00000000">
        <w:rPr>
          <w:sz w:val="22"/>
          <w:szCs w:val="22"/>
        </w:rPr>
        <w:drawing>
          <wp:inline distB="114300" distT="114300" distL="114300" distR="114300">
            <wp:extent cx="5731200" cy="2159000"/>
            <wp:effectExtent b="0" l="0" r="0" t="0"/>
            <wp:docPr id="10"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sz w:val="22"/>
          <w:szCs w:val="22"/>
        </w:rPr>
      </w:pPr>
      <w:r w:rsidDel="00000000" w:rsidR="00000000" w:rsidRPr="00000000">
        <w:rPr>
          <w:sz w:val="22"/>
          <w:szCs w:val="22"/>
          <w:rtl w:val="0"/>
        </w:rPr>
        <w:t xml:space="preserve">Figure 4c. Greedy-Based ECI Improvement Results of </w:t>
      </w:r>
      <w:r w:rsidDel="00000000" w:rsidR="00000000" w:rsidRPr="00000000">
        <w:rPr>
          <w:sz w:val="22"/>
          <w:szCs w:val="22"/>
          <w:rtl w:val="0"/>
        </w:rPr>
        <w:t xml:space="preserve">India</w:t>
      </w:r>
      <w:r w:rsidDel="00000000" w:rsidR="00000000" w:rsidRPr="00000000">
        <w:rPr>
          <w:sz w:val="22"/>
          <w:szCs w:val="22"/>
          <w:rtl w:val="0"/>
        </w:rPr>
        <w:t xml:space="preserve"> with Different Budgets (2022)</w:t>
      </w:r>
    </w:p>
    <w:p w:rsidR="00000000" w:rsidDel="00000000" w:rsidP="00000000" w:rsidRDefault="00000000" w:rsidRPr="00000000" w14:paraId="000001EA">
      <w:pPr>
        <w:jc w:val="left"/>
        <w:rPr>
          <w:sz w:val="22"/>
          <w:szCs w:val="22"/>
        </w:rPr>
      </w:pPr>
      <w:r w:rsidDel="00000000" w:rsidR="00000000" w:rsidRPr="00000000">
        <w:rPr>
          <w:rtl w:val="0"/>
        </w:rPr>
      </w:r>
    </w:p>
    <w:tbl>
      <w:tblPr>
        <w:tblStyle w:val="Table11"/>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B">
            <w:pPr>
              <w:jc w:val="center"/>
              <w:rPr>
                <w:sz w:val="20"/>
                <w:szCs w:val="20"/>
              </w:rPr>
            </w:pPr>
            <w:r w:rsidDel="00000000" w:rsidR="00000000" w:rsidRPr="00000000">
              <w:rPr>
                <w:b w:val="1"/>
                <w:bCs w:val="1"/>
                <w:sz w:val="20"/>
                <w:szCs w:val="20"/>
                <w:rtl w:val="0"/>
              </w:rPr>
              <w:t xml:space="preserve">India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1">
            <w:pPr>
              <w:jc w:val="center"/>
              <w:rPr>
                <w:sz w:val="20"/>
                <w:szCs w:val="20"/>
              </w:rPr>
            </w:pPr>
            <w:r w:rsidDel="00000000" w:rsidR="00000000" w:rsidRPr="00000000">
              <w:rPr>
                <w:b w:val="1"/>
                <w:bCs w:val="1"/>
                <w:sz w:val="20"/>
                <w:szCs w:val="20"/>
                <w:rtl w:val="0"/>
              </w:rPr>
              <w:t xml:space="preserve">0.339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Food and Preparations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3.52E+09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2.87E+10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D">
            <w:pPr>
              <w:widowControl w:val="0"/>
              <w:spacing w:line="276" w:lineRule="auto"/>
              <w:rPr>
                <w:sz w:val="18"/>
                <w:szCs w:val="18"/>
              </w:rPr>
            </w:pPr>
            <w:r w:rsidDel="00000000" w:rsidR="00000000" w:rsidRPr="00000000">
              <w:rPr>
                <w:sz w:val="20"/>
                <w:szCs w:val="20"/>
                <w:rtl w:val="0"/>
              </w:rPr>
              <w:t xml:space="preserve">7.23E+09</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2.87E+10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2">
            <w:pPr>
              <w:widowControl w:val="0"/>
              <w:spacing w:line="276" w:lineRule="auto"/>
              <w:rPr>
                <w:sz w:val="18"/>
                <w:szCs w:val="18"/>
              </w:rPr>
            </w:pPr>
            <w:r w:rsidDel="00000000" w:rsidR="00000000" w:rsidRPr="00000000">
              <w:rPr>
                <w:sz w:val="20"/>
                <w:szCs w:val="20"/>
                <w:rtl w:val="0"/>
              </w:rPr>
              <w:t xml:space="preserve">6.51E+10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3">
            <w:pPr>
              <w:widowControl w:val="0"/>
              <w:spacing w:line="276" w:lineRule="auto"/>
              <w:rPr>
                <w:sz w:val="18"/>
                <w:szCs w:val="18"/>
              </w:rPr>
            </w:pPr>
            <w:r w:rsidDel="00000000" w:rsidR="00000000" w:rsidRPr="00000000">
              <w:rPr>
                <w:sz w:val="20"/>
                <w:szCs w:val="20"/>
                <w:rtl w:val="0"/>
              </w:rPr>
              <w:t xml:space="preserve">6.42E+10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Wood 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8">
            <w:pPr>
              <w:widowControl w:val="0"/>
              <w:spacing w:line="276" w:lineRule="auto"/>
              <w:rPr>
                <w:sz w:val="18"/>
                <w:szCs w:val="18"/>
              </w:rPr>
            </w:pPr>
            <w:r w:rsidDel="00000000" w:rsidR="00000000" w:rsidRPr="00000000">
              <w:rPr>
                <w:sz w:val="20"/>
                <w:szCs w:val="20"/>
                <w:rtl w:val="0"/>
              </w:rPr>
              <w:t xml:space="preserve">4.59E+09</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2.25E+10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4.66E+10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C">
            <w:pPr>
              <w:widowControl w:val="0"/>
              <w:spacing w:line="276" w:lineRule="auto"/>
              <w:rPr>
                <w:sz w:val="18"/>
                <w:szCs w:val="18"/>
              </w:rPr>
            </w:pPr>
            <w:r w:rsidDel="00000000" w:rsidR="00000000" w:rsidRPr="00000000">
              <w:rPr>
                <w:sz w:val="20"/>
                <w:szCs w:val="20"/>
                <w:rtl w:val="0"/>
              </w:rPr>
              <w:t xml:space="preserve">3.25E+10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D">
            <w:pPr>
              <w:widowControl w:val="0"/>
              <w:spacing w:line="276" w:lineRule="auto"/>
              <w:rPr>
                <w:sz w:val="18"/>
                <w:szCs w:val="18"/>
              </w:rPr>
            </w:pPr>
            <w:r w:rsidDel="00000000" w:rsidR="00000000" w:rsidRPr="00000000">
              <w:rPr>
                <w:sz w:val="18"/>
                <w:szCs w:val="18"/>
                <w:rtl w:val="0"/>
              </w:rPr>
              <w:t xml:space="preserve">6.42E+10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Precious Stone</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8.82E+08</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4">
            <w:pPr>
              <w:widowControl w:val="0"/>
              <w:spacing w:line="276" w:lineRule="auto"/>
              <w:rPr>
                <w:b w:val="1"/>
                <w:bCs w:val="1"/>
                <w:sz w:val="20"/>
                <w:szCs w:val="20"/>
              </w:rPr>
            </w:pPr>
            <w:r w:rsidDel="00000000" w:rsidR="00000000" w:rsidRPr="00000000">
              <w:rPr>
                <w:b w:val="1"/>
                <w:bCs w:val="1"/>
                <w:sz w:val="20"/>
                <w:szCs w:val="20"/>
                <w:rtl w:val="0"/>
              </w:rPr>
              <w:t xml:space="preserve">0.598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5">
            <w:pPr>
              <w:widowControl w:val="0"/>
              <w:spacing w:line="276" w:lineRule="auto"/>
              <w:rPr>
                <w:b w:val="1"/>
                <w:bCs w:val="1"/>
                <w:sz w:val="20"/>
                <w:szCs w:val="20"/>
              </w:rPr>
            </w:pPr>
            <w:r w:rsidDel="00000000" w:rsidR="00000000" w:rsidRPr="00000000">
              <w:rPr>
                <w:b w:val="1"/>
                <w:bCs w:val="1"/>
                <w:sz w:val="20"/>
                <w:szCs w:val="20"/>
                <w:rtl w:val="0"/>
              </w:rPr>
              <w:t xml:space="preserve">0.663</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6">
            <w:pPr>
              <w:widowControl w:val="0"/>
              <w:spacing w:line="276" w:lineRule="auto"/>
              <w:rPr>
                <w:b w:val="1"/>
                <w:bCs w:val="1"/>
                <w:sz w:val="20"/>
                <w:szCs w:val="20"/>
              </w:rPr>
            </w:pPr>
            <w:r w:rsidDel="00000000" w:rsidR="00000000" w:rsidRPr="00000000">
              <w:rPr>
                <w:b w:val="1"/>
                <w:bCs w:val="1"/>
                <w:sz w:val="20"/>
                <w:szCs w:val="20"/>
                <w:rtl w:val="0"/>
              </w:rPr>
              <w:t xml:space="preserve">0.663</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7">
            <w:pPr>
              <w:widowControl w:val="0"/>
              <w:spacing w:line="276" w:lineRule="auto"/>
              <w:rPr>
                <w:b w:val="1"/>
                <w:bCs w:val="1"/>
                <w:sz w:val="20"/>
                <w:szCs w:val="20"/>
              </w:rPr>
            </w:pPr>
            <w:r w:rsidDel="00000000" w:rsidR="00000000" w:rsidRPr="00000000">
              <w:rPr>
                <w:b w:val="1"/>
                <w:bCs w:val="1"/>
                <w:sz w:val="20"/>
                <w:szCs w:val="20"/>
                <w:rtl w:val="0"/>
              </w:rPr>
              <w:t xml:space="preserve">0.853</w:t>
            </w:r>
          </w:p>
        </w:tc>
      </w:tr>
    </w:tbl>
    <w:p w:rsidR="00000000" w:rsidDel="00000000" w:rsidP="00000000" w:rsidRDefault="00000000" w:rsidRPr="00000000" w14:paraId="00000218">
      <w:pPr>
        <w:jc w:val="center"/>
        <w:rPr>
          <w:sz w:val="22"/>
          <w:szCs w:val="22"/>
        </w:rPr>
      </w:pPr>
      <w:r w:rsidDel="00000000" w:rsidR="00000000" w:rsidRPr="00000000">
        <w:rPr>
          <w:sz w:val="22"/>
          <w:szCs w:val="22"/>
          <w:rtl w:val="0"/>
        </w:rPr>
        <w:t xml:space="preserve">Table 8c. Portfolio of </w:t>
      </w:r>
      <w:r w:rsidDel="00000000" w:rsidR="00000000" w:rsidRPr="00000000">
        <w:rPr>
          <w:sz w:val="22"/>
          <w:szCs w:val="22"/>
          <w:rtl w:val="0"/>
        </w:rPr>
        <w:t xml:space="preserve">India</w:t>
      </w:r>
      <w:r w:rsidDel="00000000" w:rsidR="00000000" w:rsidRPr="00000000">
        <w:rPr>
          <w:sz w:val="22"/>
          <w:szCs w:val="22"/>
          <w:rtl w:val="0"/>
        </w:rPr>
        <w:t xml:space="preserve">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219">
      <w:pPr>
        <w:jc w:val="center"/>
        <w:rPr>
          <w:sz w:val="22"/>
          <w:szCs w:val="22"/>
        </w:rPr>
      </w:pPr>
      <w:r w:rsidDel="00000000" w:rsidR="00000000" w:rsidRPr="00000000">
        <w:rPr>
          <w:rtl w:val="0"/>
        </w:rPr>
      </w:r>
    </w:p>
    <w:p w:rsidR="00000000" w:rsidDel="00000000" w:rsidP="00000000" w:rsidRDefault="00000000" w:rsidRPr="00000000" w14:paraId="0000021A">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1B">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India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21C">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21D">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1E">
      <w:pPr>
        <w:jc w:val="both"/>
        <w:rPr>
          <w:b w:val="1"/>
          <w:bCs w:val="1"/>
        </w:rPr>
      </w:pPr>
      <w:r w:rsidDel="00000000" w:rsidR="00000000" w:rsidRPr="00000000">
        <w:rPr>
          <w:b w:val="1"/>
          <w:bCs w:val="1"/>
        </w:rPr>
        <w:drawing>
          <wp:inline distB="114300" distT="114300" distL="114300" distR="114300">
            <wp:extent cx="5310188" cy="2519630"/>
            <wp:effectExtent b="0" l="0" r="0" t="0"/>
            <wp:docPr id="19" name="image2.jpg"/>
            <a:graphic>
              <a:graphicData uri="http://schemas.openxmlformats.org/drawingml/2006/picture">
                <pic:pic>
                  <pic:nvPicPr>
                    <pic:cNvPr id="0" name="image2.jpg"/>
                    <pic:cNvPicPr preferRelativeResize="0"/>
                  </pic:nvPicPr>
                  <pic:blipFill>
                    <a:blip r:embed="rId2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20">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2022,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221">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22">
      <w:pPr>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223">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224">
      <w:pPr>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25">
      <w:pPr>
        <w:pageBreakBefore w:val="0"/>
        <w:spacing w:line="276" w:lineRule="auto"/>
        <w:rPr/>
      </w:pPr>
      <w:r w:rsidDel="00000000" w:rsidR="00000000" w:rsidRPr="00000000">
        <w:rPr>
          <w:rtl w:val="0"/>
        </w:rPr>
      </w:r>
    </w:p>
    <w:p w:rsidR="00000000" w:rsidDel="00000000" w:rsidP="00000000" w:rsidRDefault="00000000" w:rsidRPr="00000000" w14:paraId="00000226">
      <w:pPr>
        <w:pageBreakBefore w:val="0"/>
        <w:jc w:val="both"/>
        <w:rPr/>
      </w:pPr>
      <w:r w:rsidDel="00000000" w:rsidR="00000000" w:rsidRPr="00000000">
        <w:rPr/>
        <w:drawing>
          <wp:inline distB="114300" distT="114300" distL="114300" distR="114300">
            <wp:extent cx="5734050" cy="1739900"/>
            <wp:effectExtent b="0" l="0" r="0" t="0"/>
            <wp:docPr id="5"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28">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229">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22A">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2B">
      <w:pPr>
        <w:pageBreakBefore w:val="0"/>
        <w:spacing w:line="276" w:lineRule="auto"/>
        <w:rPr/>
      </w:pPr>
      <w:r w:rsidDel="00000000" w:rsidR="00000000" w:rsidRPr="00000000">
        <w:rPr>
          <w:rtl w:val="0"/>
        </w:rPr>
      </w:r>
    </w:p>
    <w:tbl>
      <w:tblPr>
        <w:tblStyle w:val="Table12"/>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0">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4">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8">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78">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2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7B">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7C">
      <w:pPr>
        <w:pageBreakBefore w:val="0"/>
        <w:jc w:val="both"/>
        <w:rPr/>
      </w:pPr>
      <w:r w:rsidDel="00000000" w:rsidR="00000000" w:rsidRPr="00000000">
        <w:rPr>
          <w:rtl w:val="0"/>
        </w:rPr>
        <w:t xml:space="preserve">We examine </w:t>
      </w:r>
      <w:r w:rsidDel="00000000" w:rsidR="00000000" w:rsidRPr="00000000">
        <w:rPr>
          <w:rtl w:val="0"/>
        </w:rPr>
        <w:t xml:space="preserve">India</w:t>
      </w:r>
      <w:r w:rsidDel="00000000" w:rsidR="00000000" w:rsidRPr="00000000">
        <w:rPr>
          <w:rtl w:val="0"/>
        </w:rPr>
        <w:t xml:space="preserve">'s ECI Decremental and Incremental Sensitivity Charts for 2022. An increase in Raw Manufacturing will lead to the highest change in ECI, followed by Chemicals. The strong sensitivity effect of manipulating the Raw Manufacturing category changes from previous years. For the negative shock cases, Weapons becomes most impactful, which is a new trend. The rest of the industries do not appear to have the same level of sensitivity.</w:t>
      </w:r>
    </w:p>
    <w:p w:rsidR="00000000" w:rsidDel="00000000" w:rsidP="00000000" w:rsidRDefault="00000000" w:rsidRPr="00000000" w14:paraId="0000027D">
      <w:pPr>
        <w:pageBreakBefore w:val="0"/>
        <w:jc w:val="both"/>
        <w:rPr/>
      </w:pPr>
      <w:r w:rsidDel="00000000" w:rsidR="00000000" w:rsidRPr="00000000">
        <w:rPr>
          <w:rtl w:val="0"/>
        </w:rPr>
      </w:r>
    </w:p>
    <w:p w:rsidR="00000000" w:rsidDel="00000000" w:rsidP="00000000" w:rsidRDefault="00000000" w:rsidRPr="00000000" w14:paraId="0000027E">
      <w:pPr>
        <w:pageBreakBefore w:val="0"/>
        <w:jc w:val="both"/>
        <w:rPr/>
      </w:pPr>
      <w:r w:rsidDel="00000000" w:rsidR="00000000" w:rsidRPr="00000000">
        <w:rPr/>
        <w:drawing>
          <wp:inline distB="114300" distT="114300" distL="114300" distR="114300">
            <wp:extent cx="5731200" cy="2120900"/>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(2022)</w:t>
      </w:r>
    </w:p>
    <w:p w:rsidR="00000000" w:rsidDel="00000000" w:rsidP="00000000" w:rsidRDefault="00000000" w:rsidRPr="00000000" w14:paraId="00000280">
      <w:pPr>
        <w:jc w:val="center"/>
        <w:rPr>
          <w:sz w:val="22"/>
          <w:szCs w:val="22"/>
        </w:rPr>
      </w:pPr>
      <w:r w:rsidDel="00000000" w:rsidR="00000000" w:rsidRPr="00000000">
        <w:rPr>
          <w:sz w:val="22"/>
          <w:szCs w:val="22"/>
        </w:rPr>
        <w:drawing>
          <wp:inline distB="114300" distT="114300" distL="114300" distR="114300">
            <wp:extent cx="5731200" cy="2146300"/>
            <wp:effectExtent b="0" l="0" r="0" t="0"/>
            <wp:docPr id="2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(2022)</w:t>
      </w:r>
      <w:r w:rsidDel="00000000" w:rsidR="00000000" w:rsidRPr="00000000">
        <w:rPr>
          <w:rtl w:val="0"/>
        </w:rPr>
      </w:r>
    </w:p>
    <w:p w:rsidR="00000000" w:rsidDel="00000000" w:rsidP="00000000" w:rsidRDefault="00000000" w:rsidRPr="00000000" w14:paraId="00000282">
      <w:pPr>
        <w:pageBreakBefore w:val="0"/>
        <w:jc w:val="both"/>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Below are India’s 2018 ECI Sensitivity Charts. In the positive chart, we immediately observe that increases in High Complexity Products, Transportation, and Machinery contribute to higher ECI levels. This combination of industries is typical for well-developed countries. High Complexity Products, in particular, offer the greatest ECI growth per unit of export increase. Other industries, however, have a minimal impact on ECI, making it clear which sectors India should prioritize to improve its economic complexity.</w:t>
      </w:r>
    </w:p>
    <w:p w:rsidR="00000000" w:rsidDel="00000000" w:rsidP="00000000" w:rsidRDefault="00000000" w:rsidRPr="00000000" w14:paraId="00000284">
      <w:pPr>
        <w:spacing w:after="240" w:before="240" w:lineRule="auto"/>
        <w:rPr/>
      </w:pPr>
      <w:r w:rsidDel="00000000" w:rsidR="00000000" w:rsidRPr="00000000">
        <w:rPr>
          <w:rtl w:val="0"/>
        </w:rPr>
        <w:t xml:space="preserve">Turning to India’s 2018 Negative Shock chart, we find that the country is most sensitive to declines in Chemical Manufacturing and Textiles. Interestingly, despite the negative ECI, reducing exports in certain industries that do not significantly contribute to the ECI score results in notable improvements in the overall ECI level. This highlights the potential for India to enhance its economic complexity by scaling back on less impactful sectors.</w:t>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jc w:val="both"/>
        <w:rPr>
          <w:b w:val="1"/>
          <w:bCs w:val="1"/>
        </w:rPr>
      </w:pPr>
      <w:r w:rsidDel="00000000" w:rsidR="00000000" w:rsidRPr="00000000">
        <w:rPr>
          <w:b w:val="1"/>
          <w:bCs w:val="1"/>
        </w:rPr>
        <w:drawing>
          <wp:inline distB="114300" distT="114300" distL="114300" distR="114300">
            <wp:extent cx="5731200" cy="3035300"/>
            <wp:effectExtent b="0" l="0" r="0" t="0"/>
            <wp:docPr id="2"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88">
      <w:pPr>
        <w:pageBreakBefore w:val="0"/>
        <w:jc w:val="both"/>
        <w:rPr>
          <w:b w:val="1"/>
          <w:bCs w:val="1"/>
        </w:rPr>
      </w:pPr>
      <w:r w:rsidDel="00000000" w:rsidR="00000000" w:rsidRPr="00000000">
        <w:rPr>
          <w:rtl w:val="0"/>
        </w:rPr>
      </w:r>
    </w:p>
    <w:p w:rsidR="00000000" w:rsidDel="00000000" w:rsidP="00000000" w:rsidRDefault="00000000" w:rsidRPr="00000000" w14:paraId="00000289">
      <w:pPr>
        <w:jc w:val="both"/>
        <w:rPr>
          <w:b w:val="1"/>
          <w:bCs w:val="1"/>
        </w:rPr>
      </w:pPr>
      <w:r w:rsidDel="00000000" w:rsidR="00000000" w:rsidRPr="00000000">
        <w:rPr>
          <w:b w:val="1"/>
          <w:bCs w:val="1"/>
        </w:rPr>
        <w:drawing>
          <wp:inline distB="114300" distT="114300" distL="114300" distR="114300">
            <wp:extent cx="5731200" cy="2882900"/>
            <wp:effectExtent b="0" l="0" r="0" t="0"/>
            <wp:docPr id="3" name="image25.jpg"/>
            <a:graphic>
              <a:graphicData uri="http://schemas.openxmlformats.org/drawingml/2006/picture">
                <pic:pic>
                  <pic:nvPicPr>
                    <pic:cNvPr id="0" name="image25.jp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8B">
      <w:pPr>
        <w:pageBreakBefore w:val="0"/>
        <w:jc w:val="center"/>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Next, we examine the 2013 ECI Sensitivity graphs. In the positive shock scenario, we observe that the ECI sensitivity landscape has not changed significantly over the five-year period. High Complexity Products continue to offer the best prospects for ECI growth. Additionally, as in 2018, Transportation and Machinery also have a positive impact on ECI levels.</w:t>
      </w:r>
    </w:p>
    <w:p w:rsidR="00000000" w:rsidDel="00000000" w:rsidP="00000000" w:rsidRDefault="00000000" w:rsidRPr="00000000" w14:paraId="0000028D">
      <w:pPr>
        <w:spacing w:after="240" w:before="240" w:lineRule="auto"/>
        <w:rPr/>
      </w:pPr>
      <w:r w:rsidDel="00000000" w:rsidR="00000000" w:rsidRPr="00000000">
        <w:rPr>
          <w:rtl w:val="0"/>
        </w:rPr>
        <w:t xml:space="preserve">In the 2013 negative shock scenario, India shows sensitivity to reductions in Chemical Manufacturing and Textiles, similar to the pattern in 2018. However, in 2013, we also observe that India is somewhat sensitive to declines in the Metals sector, a factor not as pronounced in 2018.</w:t>
      </w:r>
    </w:p>
    <w:p w:rsidR="00000000" w:rsidDel="00000000" w:rsidP="00000000" w:rsidRDefault="00000000" w:rsidRPr="00000000" w14:paraId="0000028E">
      <w:pPr>
        <w:pageBreakBefore w:val="0"/>
        <w:rPr>
          <w:b w:val="1"/>
          <w:bCs w:val="1"/>
        </w:rPr>
      </w:pPr>
      <w:r w:rsidDel="00000000" w:rsidR="00000000" w:rsidRPr="00000000">
        <w:rPr>
          <w:b w:val="1"/>
          <w:bCs w:val="1"/>
        </w:rPr>
        <w:drawing>
          <wp:inline distB="114300" distT="114300" distL="114300" distR="114300">
            <wp:extent cx="5731200" cy="2882900"/>
            <wp:effectExtent b="0" l="0" r="0" t="0"/>
            <wp:docPr id="12"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90">
      <w:pPr>
        <w:pageBreakBefore w:val="0"/>
        <w:jc w:val="center"/>
        <w:rPr/>
      </w:pPr>
      <w:r w:rsidDel="00000000" w:rsidR="00000000" w:rsidRPr="00000000">
        <w:rPr>
          <w:rtl w:val="0"/>
        </w:rPr>
      </w:r>
    </w:p>
    <w:p w:rsidR="00000000" w:rsidDel="00000000" w:rsidP="00000000" w:rsidRDefault="00000000" w:rsidRPr="00000000" w14:paraId="00000291">
      <w:pPr>
        <w:jc w:val="both"/>
        <w:rPr>
          <w:b w:val="1"/>
          <w:bCs w:val="1"/>
        </w:rPr>
      </w:pPr>
      <w:r w:rsidDel="00000000" w:rsidR="00000000" w:rsidRPr="00000000">
        <w:rPr>
          <w:b w:val="1"/>
          <w:bCs w:val="1"/>
        </w:rPr>
        <w:drawing>
          <wp:inline distB="114300" distT="114300" distL="114300" distR="114300">
            <wp:extent cx="5731200" cy="2882900"/>
            <wp:effectExtent b="0" l="0" r="0" t="0"/>
            <wp:docPr id="26"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India</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93">
      <w:pPr>
        <w:pageBreakBefore w:val="0"/>
        <w:jc w:val="both"/>
        <w:rPr>
          <w:b w:val="1"/>
          <w:bCs w:val="1"/>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Below we see the SDV sensitivity charts for High Complexity Products in 2018. India’s SDV is somewhat sensitive to changes in High Complexity products since the Indian economy is dependent on the export of products from this industry. If High Complexity Products are shocked upwards far enough we see that many industries start having negative opportunity gains since at that point India’s economy will become heavily dependent on High Complexity Products and the industries that are within close proximity.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Considering the Negative SDV sensitivity chart we observe that decreases in High Complexity Products only makes High Complexity Products an even more beneficial space to enter. This phenomenon is observed during the pandemic period, as India managed to increase its ECI despite the drawdown in High Complexity Products. We can see from the Food and Preparations SDV sensitivity chart that India is not especially dependent on this industry causing it’s SDV to be fairly stable in the face of shocks to this industry. </w:t>
      </w:r>
    </w:p>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b w:val="1"/>
          <w:bCs w:val="1"/>
        </w:rPr>
        <w:drawing>
          <wp:inline distB="114300" distT="114300" distL="114300" distR="114300">
            <wp:extent cx="5731200" cy="2400300"/>
            <wp:effectExtent b="0" l="0" r="0" t="0"/>
            <wp:docPr id="22" name="image17.jpg"/>
            <a:graphic>
              <a:graphicData uri="http://schemas.openxmlformats.org/drawingml/2006/picture">
                <pic:pic>
                  <pic:nvPicPr>
                    <pic:cNvPr id="0" name="image17.jpg"/>
                    <pic:cNvPicPr preferRelativeResize="0"/>
                  </pic:nvPicPr>
                  <pic:blipFill>
                    <a:blip r:embed="rId3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pageBreakBefore w:val="0"/>
        <w:ind w:left="0" w:firstLine="0"/>
        <w:jc w:val="center"/>
        <w:rPr/>
      </w:pPr>
      <w:r w:rsidDel="00000000" w:rsidR="00000000" w:rsidRPr="00000000">
        <w:rPr>
          <w:rtl w:val="0"/>
        </w:rPr>
        <w:t xml:space="preserve">T</w:t>
      </w:r>
      <w:r w:rsidDel="00000000" w:rsidR="00000000" w:rsidRPr="00000000">
        <w:rPr>
          <w:sz w:val="22"/>
          <w:szCs w:val="22"/>
          <w:rtl w:val="0"/>
        </w:rPr>
        <w:t xml:space="preserve">able 11.</w:t>
      </w:r>
      <w:r w:rsidDel="00000000" w:rsidR="00000000" w:rsidRPr="00000000">
        <w:rPr>
          <w:sz w:val="22"/>
          <w:szCs w:val="22"/>
          <w:rtl w:val="0"/>
        </w:rPr>
        <w:t xml:space="preserve"> </w:t>
      </w:r>
      <w:r w:rsidDel="00000000" w:rsidR="00000000" w:rsidRPr="00000000">
        <w:rPr>
          <w:sz w:val="22"/>
          <w:szCs w:val="22"/>
          <w:rtl w:val="0"/>
        </w:rPr>
        <w:t xml:space="preserve">India</w:t>
      </w:r>
      <w:r w:rsidDel="00000000" w:rsidR="00000000" w:rsidRPr="00000000">
        <w:rPr>
          <w:sz w:val="22"/>
          <w:szCs w:val="22"/>
          <w:rtl w:val="0"/>
        </w:rPr>
        <w:t xml:space="preserve">’s Incremental </w:t>
      </w:r>
      <w:r w:rsidDel="00000000" w:rsidR="00000000" w:rsidRPr="00000000">
        <w:rPr>
          <w:sz w:val="22"/>
          <w:szCs w:val="22"/>
          <w:rtl w:val="0"/>
        </w:rPr>
        <w:t xml:space="preserve">SDV Sensitivit</w:t>
      </w:r>
      <w:r w:rsidDel="00000000" w:rsidR="00000000" w:rsidRPr="00000000">
        <w:rPr>
          <w:sz w:val="22"/>
          <w:szCs w:val="22"/>
          <w:rtl w:val="0"/>
        </w:rPr>
        <w:t xml:space="preserve">ies(2018) </w:t>
      </w:r>
      <w:r w:rsidDel="00000000" w:rsidR="00000000" w:rsidRPr="00000000">
        <w:rPr>
          <w:rtl w:val="0"/>
        </w:rPr>
      </w:r>
    </w:p>
    <w:p w:rsidR="00000000" w:rsidDel="00000000" w:rsidP="00000000" w:rsidRDefault="00000000" w:rsidRPr="00000000" w14:paraId="0000029A">
      <w:pPr>
        <w:jc w:val="both"/>
        <w:rPr/>
      </w:pPr>
      <w:r w:rsidDel="00000000" w:rsidR="00000000" w:rsidRPr="00000000">
        <w:rPr>
          <w:b w:val="1"/>
          <w:bCs w:val="1"/>
        </w:rPr>
        <w:drawing>
          <wp:inline distB="114300" distT="114300" distL="114300" distR="114300">
            <wp:extent cx="5731200" cy="3898900"/>
            <wp:effectExtent b="0" l="0" r="0" t="0"/>
            <wp:docPr id="32"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ageBreakBefore w:val="0"/>
        <w:ind w:left="0" w:firstLine="0"/>
        <w:jc w:val="center"/>
        <w:rPr>
          <w:sz w:val="22"/>
          <w:szCs w:val="22"/>
        </w:rPr>
      </w:pPr>
      <w:r w:rsidDel="00000000" w:rsidR="00000000" w:rsidRPr="00000000">
        <w:rPr>
          <w:rtl w:val="0"/>
        </w:rPr>
        <w:t xml:space="preserve">T</w:t>
      </w:r>
      <w:r w:rsidDel="00000000" w:rsidR="00000000" w:rsidRPr="00000000">
        <w:rPr>
          <w:sz w:val="22"/>
          <w:szCs w:val="22"/>
          <w:rtl w:val="0"/>
        </w:rPr>
        <w:t xml:space="preserve">able 12.</w:t>
      </w:r>
      <w:r w:rsidDel="00000000" w:rsidR="00000000" w:rsidRPr="00000000">
        <w:rPr>
          <w:sz w:val="22"/>
          <w:szCs w:val="22"/>
          <w:rtl w:val="0"/>
        </w:rPr>
        <w:t xml:space="preserve"> </w:t>
      </w:r>
      <w:r w:rsidDel="00000000" w:rsidR="00000000" w:rsidRPr="00000000">
        <w:rPr>
          <w:sz w:val="22"/>
          <w:szCs w:val="22"/>
          <w:rtl w:val="0"/>
        </w:rPr>
        <w:t xml:space="preserve">India</w:t>
      </w:r>
      <w:r w:rsidDel="00000000" w:rsidR="00000000" w:rsidRPr="00000000">
        <w:rPr>
          <w:sz w:val="22"/>
          <w:szCs w:val="22"/>
          <w:rtl w:val="0"/>
        </w:rPr>
        <w:t xml:space="preserve">’s Decremental SDV Sensitivities (2018)</w:t>
      </w:r>
    </w:p>
    <w:p w:rsidR="00000000" w:rsidDel="00000000" w:rsidP="00000000" w:rsidRDefault="00000000" w:rsidRPr="00000000" w14:paraId="0000029C">
      <w:pPr>
        <w:jc w:val="center"/>
        <w:rPr>
          <w:sz w:val="22"/>
          <w:szCs w:val="22"/>
        </w:rPr>
      </w:pPr>
      <w:r w:rsidDel="00000000" w:rsidR="00000000" w:rsidRPr="00000000">
        <w:rPr>
          <w:rtl w:val="0"/>
        </w:rPr>
      </w:r>
    </w:p>
    <w:p w:rsidR="00000000" w:rsidDel="00000000" w:rsidP="00000000" w:rsidRDefault="00000000" w:rsidRPr="00000000" w14:paraId="0000029D">
      <w:pPr>
        <w:pageBreakBefore w:val="0"/>
        <w:jc w:val="both"/>
        <w:rPr/>
      </w:pPr>
      <w:r w:rsidDel="00000000" w:rsidR="00000000" w:rsidRPr="00000000">
        <w:rPr>
          <w:rtl w:val="0"/>
        </w:rPr>
      </w:r>
    </w:p>
    <w:p w:rsidR="00000000" w:rsidDel="00000000" w:rsidP="00000000" w:rsidRDefault="00000000" w:rsidRPr="00000000" w14:paraId="0000029E">
      <w:pPr>
        <w:pageBreakBefore w:val="0"/>
        <w:jc w:val="both"/>
        <w:rPr/>
      </w:pPr>
      <w:r w:rsidDel="00000000" w:rsidR="00000000" w:rsidRPr="00000000">
        <w:rPr>
          <w:rtl w:val="0"/>
        </w:rPr>
      </w:r>
    </w:p>
    <w:p w:rsidR="00000000" w:rsidDel="00000000" w:rsidP="00000000" w:rsidRDefault="00000000" w:rsidRPr="00000000" w14:paraId="0000029F">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A0">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India</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A1">
      <w:pPr>
        <w:pageBreakBefore w:val="0"/>
        <w:jc w:val="center"/>
        <w:rPr>
          <w:sz w:val="22"/>
          <w:szCs w:val="22"/>
        </w:rPr>
      </w:pPr>
      <w:r w:rsidDel="00000000" w:rsidR="00000000" w:rsidRPr="00000000">
        <w:rPr>
          <w:b w:val="1"/>
          <w:bCs w:val="1"/>
          <w:sz w:val="28"/>
          <w:szCs w:val="28"/>
        </w:rPr>
        <w:drawing>
          <wp:inline distB="114300" distT="114300" distL="114300" distR="114300">
            <wp:extent cx="4844888" cy="2492226"/>
            <wp:effectExtent b="0" l="0" r="0" t="0"/>
            <wp:docPr id="6" name="image11.jpg"/>
            <a:graphic>
              <a:graphicData uri="http://schemas.openxmlformats.org/drawingml/2006/picture">
                <pic:pic>
                  <pic:nvPicPr>
                    <pic:cNvPr id="0" name="image11.jpg"/>
                    <pic:cNvPicPr preferRelativeResize="0"/>
                  </pic:nvPicPr>
                  <pic:blipFill>
                    <a:blip r:embed="rId36"/>
                    <a:srcRect b="0" l="0" r="0" t="0"/>
                    <a:stretch>
                      <a:fillRect/>
                    </a:stretch>
                  </pic:blipFill>
                  <pic:spPr>
                    <a:xfrm>
                      <a:off x="0" y="0"/>
                      <a:ext cx="4844888" cy="2492226"/>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India</w:t>
      </w:r>
      <w:r w:rsidDel="00000000" w:rsidR="00000000" w:rsidRPr="00000000">
        <w:rPr>
          <w:sz w:val="22"/>
          <w:szCs w:val="22"/>
          <w:rtl w:val="0"/>
        </w:rPr>
        <w:t xml:space="preserve">’s Contingency Strategy (2018)</w:t>
      </w:r>
    </w:p>
    <w:p w:rsidR="00000000" w:rsidDel="00000000" w:rsidP="00000000" w:rsidRDefault="00000000" w:rsidRPr="00000000" w14:paraId="000002A3">
      <w:pPr>
        <w:jc w:val="left"/>
        <w:rPr/>
      </w:pPr>
      <w:r w:rsidDel="00000000" w:rsidR="00000000" w:rsidRPr="00000000">
        <w:rPr>
          <w:rtl w:val="0"/>
        </w:rPr>
      </w:r>
    </w:p>
    <w:p w:rsidR="00000000" w:rsidDel="00000000" w:rsidP="00000000" w:rsidRDefault="00000000" w:rsidRPr="00000000" w14:paraId="000002A4">
      <w:pPr>
        <w:pageBreakBefore w:val="0"/>
        <w:jc w:val="center"/>
        <w:rPr>
          <w:sz w:val="28"/>
          <w:szCs w:val="28"/>
        </w:rPr>
      </w:pPr>
      <w:r w:rsidDel="00000000" w:rsidR="00000000" w:rsidRPr="00000000">
        <w:rPr>
          <w:rtl w:val="0"/>
        </w:rPr>
      </w:r>
    </w:p>
    <w:p w:rsidR="00000000" w:rsidDel="00000000" w:rsidP="00000000" w:rsidRDefault="00000000" w:rsidRPr="00000000" w14:paraId="000002A5">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A7">
      <w:pPr>
        <w:pageBreakBefore w:val="0"/>
        <w:jc w:val="both"/>
        <w:rPr>
          <w:b w:val="1"/>
          <w:bCs w:val="1"/>
        </w:rPr>
      </w:pPr>
      <w:r w:rsidDel="00000000" w:rsidR="00000000" w:rsidRPr="00000000">
        <w:rPr>
          <w:rtl w:val="0"/>
        </w:rPr>
      </w:r>
    </w:p>
    <w:p w:rsidR="00000000" w:rsidDel="00000000" w:rsidP="00000000" w:rsidRDefault="00000000" w:rsidRPr="00000000" w14:paraId="000002A8">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A9">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AA">
      <w:pPr>
        <w:pageBreakBefore w:val="0"/>
        <w:jc w:val="both"/>
        <w:rPr/>
      </w:pP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2AC">
      <w:pPr>
        <w:pageBreakBefore w:val="0"/>
        <w:jc w:val="both"/>
        <w:rPr/>
      </w:pPr>
      <w:r w:rsidDel="00000000" w:rsidR="00000000" w:rsidRPr="00000000">
        <w:rPr>
          <w:rtl w:val="0"/>
        </w:rPr>
      </w:r>
    </w:p>
    <w:tbl>
      <w:tblPr>
        <w:tblStyle w:val="Table13"/>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2AD">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AF">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0">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B1">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2">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2B3">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2B4">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2B5">
      <w:pPr>
        <w:pageBreakBefore w:val="0"/>
        <w:jc w:val="left"/>
        <w:rPr/>
      </w:pPr>
      <w:r w:rsidDel="00000000" w:rsidR="00000000" w:rsidRPr="00000000">
        <w:rPr>
          <w:rtl w:val="0"/>
        </w:rPr>
      </w:r>
    </w:p>
    <w:p w:rsidR="00000000" w:rsidDel="00000000" w:rsidP="00000000" w:rsidRDefault="00000000" w:rsidRPr="00000000" w14:paraId="000002B6">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34"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2B7">
      <w:pPr>
        <w:pageBreakBefore w:val="0"/>
        <w:jc w:val="both"/>
        <w:rPr/>
      </w:pPr>
      <w:r w:rsidDel="00000000" w:rsidR="00000000" w:rsidRPr="00000000">
        <w:rPr>
          <w:rtl w:val="0"/>
        </w:rPr>
      </w:r>
    </w:p>
    <w:p w:rsidR="00000000" w:rsidDel="00000000" w:rsidP="00000000" w:rsidRDefault="00000000" w:rsidRPr="00000000" w14:paraId="000002B8">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India</w:t>
      </w:r>
      <w:r w:rsidDel="00000000" w:rsidR="00000000" w:rsidRPr="00000000">
        <w:rPr>
          <w:b w:val="1"/>
          <w:bCs w:val="1"/>
          <w:rtl w:val="0"/>
        </w:rPr>
        <w:t xml:space="preserve"> and Its Implications</w:t>
      </w:r>
    </w:p>
    <w:p w:rsidR="00000000" w:rsidDel="00000000" w:rsidP="00000000" w:rsidRDefault="00000000" w:rsidRPr="00000000" w14:paraId="000002B9">
      <w:pPr>
        <w:pageBreakBefore w:val="0"/>
        <w:jc w:val="both"/>
        <w:rPr/>
      </w:pPr>
      <w:r w:rsidDel="00000000" w:rsidR="00000000" w:rsidRPr="00000000">
        <w:rPr>
          <w:rtl w:val="0"/>
        </w:rPr>
        <w:t xml:space="preserve">During the first examined period, </w:t>
      </w:r>
      <w:r w:rsidDel="00000000" w:rsidR="00000000" w:rsidRPr="00000000">
        <w:rPr>
          <w:rtl w:val="0"/>
        </w:rPr>
        <w:t xml:space="preserve">India</w:t>
      </w:r>
      <w:r w:rsidDel="00000000" w:rsidR="00000000" w:rsidRPr="00000000">
        <w:rPr>
          <w:rtl w:val="0"/>
        </w:rPr>
        <w:t xml:space="preserve">, for instance, has a low level of structural optimality as compared with its developed peers. As the regression in Figure 10a suggests (the red curve represents export increase and the blue curve stands for opportunity gain of the corresponding industry), </w:t>
      </w:r>
      <w:r w:rsidDel="00000000" w:rsidR="00000000" w:rsidRPr="00000000">
        <w:rPr>
          <w:rtl w:val="0"/>
        </w:rPr>
        <w:t xml:space="preserve">India</w:t>
      </w:r>
      <w:r w:rsidDel="00000000" w:rsidR="00000000" w:rsidRPr="00000000">
        <w:rPr>
          <w:rtl w:val="0"/>
        </w:rPr>
        <w:t xml:space="preserve"> demonstrates a moderate level of correlation with the suggested developmental path, having an adjusted R-square of around 0.126. </w:t>
      </w:r>
    </w:p>
    <w:p w:rsidR="00000000" w:rsidDel="00000000" w:rsidP="00000000" w:rsidRDefault="00000000" w:rsidRPr="00000000" w14:paraId="000002BA">
      <w:pPr>
        <w:pageBreakBefore w:val="0"/>
        <w:jc w:val="both"/>
        <w:rPr/>
      </w:pPr>
      <w:r w:rsidDel="00000000" w:rsidR="00000000" w:rsidRPr="00000000">
        <w:rPr>
          <w:rtl w:val="0"/>
        </w:rPr>
      </w:r>
    </w:p>
    <w:p w:rsidR="00000000" w:rsidDel="00000000" w:rsidP="00000000" w:rsidRDefault="00000000" w:rsidRPr="00000000" w14:paraId="000002BB">
      <w:pPr>
        <w:pageBreakBefore w:val="0"/>
        <w:jc w:val="both"/>
        <w:rPr/>
      </w:pPr>
      <w:r w:rsidDel="00000000" w:rsidR="00000000" w:rsidRPr="00000000">
        <w:rPr>
          <w:rtl w:val="0"/>
        </w:rPr>
        <w:t xml:space="preserve">India</w:t>
      </w:r>
      <w:r w:rsidDel="00000000" w:rsidR="00000000" w:rsidRPr="00000000">
        <w:rPr>
          <w:rtl w:val="0"/>
        </w:rPr>
        <w:t xml:space="preserve"> ranks highly among all countries in terms of SOI and has made a fast rate of economic progress among its emerging peers from 2013 to 2018 with a</w:t>
      </w:r>
      <w:r w:rsidDel="00000000" w:rsidR="00000000" w:rsidRPr="00000000">
        <w:rPr>
          <w:rtl w:val="0"/>
        </w:rPr>
        <w:t xml:space="preserve"> 5 year GDP growth of</w:t>
      </w:r>
      <w:r w:rsidDel="00000000" w:rsidR="00000000" w:rsidRPr="00000000">
        <w:rPr>
          <w:rtl w:val="0"/>
        </w:rPr>
        <w:t xml:space="preserve"> 56.0%, which is consistent with the regression result in Figure 4b.This is in direct contrast to developed economies such as Japan, where there is moderate SOI of around -4.8% and a corresponding 5-year growth rate of 9.0%.</w:t>
      </w:r>
    </w:p>
    <w:p w:rsidR="00000000" w:rsidDel="00000000" w:rsidP="00000000" w:rsidRDefault="00000000" w:rsidRPr="00000000" w14:paraId="000002BC">
      <w:pPr>
        <w:pageBreakBefore w:val="0"/>
        <w:jc w:val="both"/>
        <w:rPr/>
      </w:pPr>
      <w:r w:rsidDel="00000000" w:rsidR="00000000" w:rsidRPr="00000000">
        <w:rPr>
          <w:rtl w:val="0"/>
        </w:rPr>
      </w:r>
    </w:p>
    <w:p w:rsidR="00000000" w:rsidDel="00000000" w:rsidP="00000000" w:rsidRDefault="00000000" w:rsidRPr="00000000" w14:paraId="000002BD">
      <w:pPr>
        <w:pageBreakBefore w:val="0"/>
        <w:jc w:val="both"/>
        <w:rPr/>
      </w:pPr>
      <w:r w:rsidDel="00000000" w:rsidR="00000000" w:rsidRPr="00000000">
        <w:rPr>
          <w:rtl w:val="0"/>
        </w:rPr>
        <w:t xml:space="preserve">Specifically, </w:t>
      </w:r>
      <w:r w:rsidDel="00000000" w:rsidR="00000000" w:rsidRPr="00000000">
        <w:rPr>
          <w:rtl w:val="0"/>
        </w:rPr>
        <w:t xml:space="preserve">India</w:t>
      </w:r>
      <w:r w:rsidDel="00000000" w:rsidR="00000000" w:rsidRPr="00000000">
        <w:rPr>
          <w:rtl w:val="0"/>
        </w:rPr>
        <w:t xml:space="preserve">'s economic progress from 2013 to 2018 can be at least partially explained by a development strategy that demonstrates a considerable but not perfect level of matches with our suggested developmental path. In fact, India invested heavily in the Transportation industry, while our model suggested focusing more on moderately complex industry groups such as Energy drilling/mining. </w:t>
      </w:r>
    </w:p>
    <w:p w:rsidR="00000000" w:rsidDel="00000000" w:rsidP="00000000" w:rsidRDefault="00000000" w:rsidRPr="00000000" w14:paraId="000002BE">
      <w:pPr>
        <w:pageBreakBefore w:val="0"/>
        <w:jc w:val="both"/>
        <w:rPr/>
      </w:pPr>
      <w:r w:rsidDel="00000000" w:rsidR="00000000" w:rsidRPr="00000000">
        <w:rPr>
          <w:rtl w:val="0"/>
        </w:rPr>
      </w:r>
    </w:p>
    <w:p w:rsidR="00000000" w:rsidDel="00000000" w:rsidP="00000000" w:rsidRDefault="00000000" w:rsidRPr="00000000" w14:paraId="000002BF">
      <w:pPr>
        <w:jc w:val="both"/>
        <w:rPr/>
      </w:pPr>
      <w:r w:rsidDel="00000000" w:rsidR="00000000" w:rsidRPr="00000000">
        <w:rPr/>
        <w:drawing>
          <wp:inline distB="114300" distT="114300" distL="114300" distR="114300">
            <wp:extent cx="5731200" cy="2159000"/>
            <wp:effectExtent b="0" l="0" r="0" t="0"/>
            <wp:docPr id="13" name="image30.png"/>
            <a:graphic>
              <a:graphicData uri="http://schemas.openxmlformats.org/drawingml/2006/picture">
                <pic:pic>
                  <pic:nvPicPr>
                    <pic:cNvPr id="0" name="image30.png"/>
                    <pic:cNvPicPr preferRelativeResize="0"/>
                  </pic:nvPicPr>
                  <pic:blipFill>
                    <a:blip r:embed="rId38"/>
                    <a:srcRect b="0" l="0" r="743" t="2075"/>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India</w:t>
      </w:r>
      <w:r w:rsidDel="00000000" w:rsidR="00000000" w:rsidRPr="00000000">
        <w:rPr>
          <w:sz w:val="22"/>
          <w:szCs w:val="22"/>
          <w:rtl w:val="0"/>
        </w:rPr>
        <w:t xml:space="preserve"> (2013-2018)</w:t>
      </w:r>
    </w:p>
    <w:p w:rsidR="00000000" w:rsidDel="00000000" w:rsidP="00000000" w:rsidRDefault="00000000" w:rsidRPr="00000000" w14:paraId="000002C1">
      <w:pPr>
        <w:jc w:val="center"/>
        <w:rPr>
          <w:sz w:val="22"/>
          <w:szCs w:val="22"/>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For the 2019-2022 years, </w:t>
      </w:r>
      <w:r w:rsidDel="00000000" w:rsidR="00000000" w:rsidRPr="00000000">
        <w:rPr>
          <w:rtl w:val="0"/>
        </w:rPr>
        <w:t xml:space="preserve">India</w:t>
      </w:r>
      <w:r w:rsidDel="00000000" w:rsidR="00000000" w:rsidRPr="00000000">
        <w:rPr>
          <w:rtl w:val="0"/>
        </w:rPr>
        <w:t xml:space="preserve"> has continued to exhibit strong growth while progress is slow on a global scale during this period; India has adjusted well to negative economic shocks by decreasing SOI and period-over-period GDP growth.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jc w:val="center"/>
        <w:rPr/>
      </w:pPr>
      <w:r w:rsidDel="00000000" w:rsidR="00000000" w:rsidRPr="00000000">
        <w:rPr/>
        <w:drawing>
          <wp:inline distB="114300" distT="114300" distL="114300" distR="114300">
            <wp:extent cx="5731200" cy="2298700"/>
            <wp:effectExtent b="0" l="0" r="0" t="0"/>
            <wp:docPr id="1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India</w:t>
      </w:r>
      <w:r w:rsidDel="00000000" w:rsidR="00000000" w:rsidRPr="00000000">
        <w:rPr>
          <w:sz w:val="22"/>
          <w:szCs w:val="22"/>
          <w:rtl w:val="0"/>
        </w:rPr>
        <w:t xml:space="preserve"> (2019-2022)</w:t>
      </w:r>
    </w:p>
    <w:p w:rsidR="00000000" w:rsidDel="00000000" w:rsidP="00000000" w:rsidRDefault="00000000" w:rsidRPr="00000000" w14:paraId="000002C8">
      <w:pPr>
        <w:pageBreakBefore w:val="0"/>
        <w:jc w:val="both"/>
        <w:rPr>
          <w:b w:val="1"/>
          <w:bCs w:val="1"/>
        </w:rPr>
      </w:pPr>
      <w:r w:rsidDel="00000000" w:rsidR="00000000" w:rsidRPr="00000000">
        <w:rPr>
          <w:rtl w:val="0"/>
        </w:rPr>
      </w:r>
    </w:p>
    <w:p w:rsidR="00000000" w:rsidDel="00000000" w:rsidP="00000000" w:rsidRDefault="00000000" w:rsidRPr="00000000" w14:paraId="000002C9">
      <w:pPr>
        <w:pageBreakBefore w:val="0"/>
        <w:jc w:val="both"/>
        <w:rPr>
          <w:b w:val="1"/>
          <w:bCs w:val="1"/>
        </w:rPr>
      </w:pPr>
      <w:r w:rsidDel="00000000" w:rsidR="00000000" w:rsidRPr="00000000">
        <w:rPr>
          <w:rtl w:val="0"/>
        </w:rPr>
      </w:r>
    </w:p>
    <w:p w:rsidR="00000000" w:rsidDel="00000000" w:rsidP="00000000" w:rsidRDefault="00000000" w:rsidRPr="00000000" w14:paraId="000002C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CC">
      <w:pPr>
        <w:pageBreakBefore w:val="0"/>
        <w:jc w:val="both"/>
        <w:rPr/>
      </w:pPr>
      <w:r w:rsidDel="00000000" w:rsidR="00000000" w:rsidRPr="00000000">
        <w:rPr>
          <w:rtl w:val="0"/>
        </w:rPr>
      </w:r>
    </w:p>
    <w:p w:rsidR="00000000" w:rsidDel="00000000" w:rsidP="00000000" w:rsidRDefault="00000000" w:rsidRPr="00000000" w14:paraId="000002CD">
      <w:pPr>
        <w:pageBreakBefore w:val="0"/>
        <w:jc w:val="both"/>
        <w:rPr/>
      </w:pPr>
      <w:r w:rsidDel="00000000" w:rsidR="00000000" w:rsidRPr="00000000">
        <w:rPr>
          <w:rtl w:val="0"/>
        </w:rPr>
        <w:t xml:space="preserve">In conclusion, </w:t>
      </w:r>
      <w:r w:rsidDel="00000000" w:rsidR="00000000" w:rsidRPr="00000000">
        <w:rPr>
          <w:rtl w:val="0"/>
        </w:rPr>
        <w:t xml:space="preserve">India</w:t>
      </w:r>
      <w:r w:rsidDel="00000000" w:rsidR="00000000" w:rsidRPr="00000000">
        <w:rPr>
          <w:rtl w:val="0"/>
        </w:rPr>
        <w:t xml:space="preserve"> has demonstrated a high level of economic growth in terms of annual GDP increase during the period from 2013 to 2018, concurrent with an increase in economic complexity as compared with major developed economies. For 2019-2022, the growth in GDP has slowed alongside a large boost in ECI, higher than many comparable economies.</w:t>
      </w:r>
    </w:p>
    <w:p w:rsidR="00000000" w:rsidDel="00000000" w:rsidP="00000000" w:rsidRDefault="00000000" w:rsidRPr="00000000" w14:paraId="000002CE">
      <w:pPr>
        <w:pageBreakBefore w:val="0"/>
        <w:jc w:val="both"/>
        <w:rPr/>
      </w:pPr>
      <w:r w:rsidDel="00000000" w:rsidR="00000000" w:rsidRPr="00000000">
        <w:rPr>
          <w:rtl w:val="0"/>
        </w:rPr>
      </w:r>
    </w:p>
    <w:p w:rsidR="00000000" w:rsidDel="00000000" w:rsidP="00000000" w:rsidRDefault="00000000" w:rsidRPr="00000000" w14:paraId="000002CF">
      <w:pPr>
        <w:pageBreakBefore w:val="0"/>
        <w:jc w:val="both"/>
        <w:rPr/>
      </w:pPr>
      <w:r w:rsidDel="00000000" w:rsidR="00000000" w:rsidRPr="00000000">
        <w:rPr>
          <w:rtl w:val="0"/>
        </w:rPr>
        <w:t xml:space="preserve">We believe that the mixed progress during the first period can be partially explained through the analysis of the economic and product complexity structure of </w:t>
      </w:r>
      <w:r w:rsidDel="00000000" w:rsidR="00000000" w:rsidRPr="00000000">
        <w:rPr>
          <w:rtl w:val="0"/>
        </w:rPr>
        <w:t xml:space="preserve">India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India</w:t>
      </w:r>
      <w:r w:rsidDel="00000000" w:rsidR="00000000" w:rsidRPr="00000000">
        <w:rPr>
          <w:rtl w:val="0"/>
        </w:rPr>
        <w:t xml:space="preserve"> regressed in developing many of its industries across this period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The mixed progress observed during this period can be partially explained by analyzing India's economic and product complexity structure at the industry group level. The product classification system we use enables us to assess the actual development of various industry groups and observe that India consistently focused on developing the Transportation, High-Complexity Products, and Daily Instruments sectors. In contrast, both developed countries and emerging economies globally pursued more complex and advanced industry paths. In 2022, this mixed progress was driven by India prioritizing the development of higher-complexity industries, despite global demand for basic, low-complexity products. As a result, while India's ECI improved, its GDP growth slowed compared to previous years and lagged behind some of its emerging economy counterparts.</w:t>
      </w:r>
    </w:p>
    <w:p w:rsidR="00000000" w:rsidDel="00000000" w:rsidP="00000000" w:rsidRDefault="00000000" w:rsidRPr="00000000" w14:paraId="000002D2">
      <w:pPr>
        <w:pageBreakBefore w:val="0"/>
        <w:jc w:val="both"/>
        <w:rPr/>
      </w:pPr>
      <w:r w:rsidDel="00000000" w:rsidR="00000000" w:rsidRPr="00000000">
        <w:rPr>
          <w:rtl w:val="0"/>
        </w:rPr>
      </w:r>
    </w:p>
    <w:p w:rsidR="00000000" w:rsidDel="00000000" w:rsidP="00000000" w:rsidRDefault="00000000" w:rsidRPr="00000000" w14:paraId="000002D3">
      <w:pPr>
        <w:jc w:val="both"/>
        <w:rPr/>
      </w:pPr>
      <w:r w:rsidDel="00000000" w:rsidR="00000000" w:rsidRPr="00000000">
        <w:rPr>
          <w:rtl w:val="0"/>
        </w:rPr>
        <w:t xml:space="preserve">Based on our analysis of opportunity gains and a sensitivity analysis of major industry groups, India could have furthered its progress by prioritizing High-Complexity Products, Transportation, and Machinery prior to the pandemic. However, given the economic disruptions caused by COVID-19, India now has an opportunity to enhance its gains by focusing on sectors such as Textiles and Chemicals. Additionally, we observe that India’s development strategy appears somewhat misaligned, as indicated by its relatively low level of structural optimality compared to other emerging economies. The adjusted R-square for structural optimality was around 12.6% from 2013-2018 and dropped to just 9.0% in 2022. Since a significant positive correlation exists between five-year GDP growth and the structural optimality index, India’s suboptimal growth experience—when compared to fast-growing economies both regionally and globally—becomes evident. This suggests that India has substantial potential to boost its economic performance through further optimization of its industrial structure, as proposed in this paper.</w:t>
      </w:r>
    </w:p>
    <w:p w:rsidR="00000000" w:rsidDel="00000000" w:rsidP="00000000" w:rsidRDefault="00000000" w:rsidRPr="00000000" w14:paraId="000002D4">
      <w:pPr>
        <w:pageBreakBefore w:val="0"/>
        <w:jc w:val="both"/>
        <w:rPr/>
      </w:pPr>
      <w:r w:rsidDel="00000000" w:rsidR="00000000" w:rsidRPr="00000000">
        <w:rPr>
          <w:rtl w:val="0"/>
        </w:rPr>
      </w:r>
    </w:p>
    <w:p w:rsidR="00000000" w:rsidDel="00000000" w:rsidP="00000000" w:rsidRDefault="00000000" w:rsidRPr="00000000" w14:paraId="000002D5">
      <w:pPr>
        <w:pageBreakBefore w:val="0"/>
        <w:jc w:val="both"/>
        <w:rPr/>
      </w:pPr>
      <w:r w:rsidDel="00000000" w:rsidR="00000000" w:rsidRPr="00000000">
        <w:rPr>
          <w:rtl w:val="0"/>
        </w:rPr>
      </w:r>
    </w:p>
    <w:p w:rsidR="00000000" w:rsidDel="00000000" w:rsidP="00000000" w:rsidRDefault="00000000" w:rsidRPr="00000000" w14:paraId="000002D6">
      <w:pPr>
        <w:pageBreakBefore w:val="0"/>
        <w:jc w:val="both"/>
        <w:rPr/>
      </w:pPr>
      <w:r w:rsidDel="00000000" w:rsidR="00000000" w:rsidRPr="00000000">
        <w:rPr>
          <w:rtl w:val="0"/>
        </w:rPr>
      </w:r>
    </w:p>
    <w:p w:rsidR="00000000" w:rsidDel="00000000" w:rsidP="00000000" w:rsidRDefault="00000000" w:rsidRPr="00000000" w14:paraId="000002D7">
      <w:pPr>
        <w:pageBreakBefore w:val="0"/>
        <w:jc w:val="both"/>
        <w:rPr/>
      </w:pPr>
      <w:r w:rsidDel="00000000" w:rsidR="00000000" w:rsidRPr="00000000">
        <w:rPr>
          <w:rtl w:val="0"/>
        </w:rPr>
      </w:r>
    </w:p>
    <w:p w:rsidR="00000000" w:rsidDel="00000000" w:rsidP="00000000" w:rsidRDefault="00000000" w:rsidRPr="00000000" w14:paraId="000002D8">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9">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D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DB">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DC">
      <w:pPr>
        <w:pageBreakBefore w:val="0"/>
        <w:jc w:val="both"/>
        <w:rPr>
          <w:color w:val="000000"/>
          <w:highlight w:val="white"/>
        </w:rPr>
      </w:pPr>
      <w:r w:rsidDel="00000000" w:rsidR="00000000" w:rsidRPr="00000000">
        <w:rPr>
          <w:rtl w:val="0"/>
        </w:rPr>
      </w:r>
    </w:p>
    <w:p w:rsidR="00000000" w:rsidDel="00000000" w:rsidP="00000000" w:rsidRDefault="00000000" w:rsidRPr="00000000" w14:paraId="000002DD">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DE">
      <w:pPr>
        <w:pageBreakBefore w:val="0"/>
        <w:jc w:val="both"/>
        <w:rPr>
          <w:color w:val="000000"/>
          <w:highlight w:val="white"/>
        </w:rPr>
      </w:pPr>
      <w:r w:rsidDel="00000000" w:rsidR="00000000" w:rsidRPr="00000000">
        <w:rPr>
          <w:rtl w:val="0"/>
        </w:rPr>
      </w:r>
    </w:p>
    <w:p w:rsidR="00000000" w:rsidDel="00000000" w:rsidP="00000000" w:rsidRDefault="00000000" w:rsidRPr="00000000" w14:paraId="000002DF">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E0">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1">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E2">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3">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E4">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5">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E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7">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E8">
      <w:pPr>
        <w:pageBreakBefore w:val="0"/>
        <w:jc w:val="both"/>
        <w:rPr>
          <w:color w:val="000000"/>
          <w:highlight w:val="white"/>
        </w:rPr>
      </w:pPr>
      <w:r w:rsidDel="00000000" w:rsidR="00000000" w:rsidRPr="00000000">
        <w:rPr>
          <w:rtl w:val="0"/>
        </w:rPr>
      </w:r>
    </w:p>
    <w:p w:rsidR="00000000" w:rsidDel="00000000" w:rsidP="00000000" w:rsidRDefault="00000000" w:rsidRPr="00000000" w14:paraId="000002E9">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EA">
      <w:pPr>
        <w:pageBreakBefore w:val="0"/>
        <w:jc w:val="both"/>
        <w:rPr/>
      </w:pPr>
      <w:r w:rsidDel="00000000" w:rsidR="00000000" w:rsidRPr="00000000">
        <w:rPr>
          <w:rtl w:val="0"/>
        </w:rPr>
      </w:r>
    </w:p>
    <w:sectPr>
      <w:headerReference r:id="rId40" w:type="default"/>
      <w:footerReference r:id="rId41" w:type="default"/>
      <w:footerReference r:id="rId42" w:type="first"/>
      <w:footerReference r:id="rId43"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8.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7.png"/><Relationship Id="rId21" Type="http://schemas.openxmlformats.org/officeDocument/2006/relationships/image" Target="media/image19.png"/><Relationship Id="rId43" Type="http://schemas.openxmlformats.org/officeDocument/2006/relationships/footer" Target="footer1.xml"/><Relationship Id="rId24" Type="http://schemas.openxmlformats.org/officeDocument/2006/relationships/image" Target="media/image2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3.png"/><Relationship Id="rId25" Type="http://schemas.openxmlformats.org/officeDocument/2006/relationships/image" Target="media/image29.png"/><Relationship Id="rId28" Type="http://schemas.openxmlformats.org/officeDocument/2006/relationships/image" Target="media/image3.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6.png"/><Relationship Id="rId7" Type="http://schemas.openxmlformats.org/officeDocument/2006/relationships/image" Target="media/image31.png"/><Relationship Id="rId8" Type="http://schemas.openxmlformats.org/officeDocument/2006/relationships/image" Target="media/image12.png"/><Relationship Id="rId31" Type="http://schemas.openxmlformats.org/officeDocument/2006/relationships/image" Target="media/image7.jpg"/><Relationship Id="rId30" Type="http://schemas.openxmlformats.org/officeDocument/2006/relationships/image" Target="media/image28.png"/><Relationship Id="rId11" Type="http://schemas.openxmlformats.org/officeDocument/2006/relationships/image" Target="media/image23.png"/><Relationship Id="rId33" Type="http://schemas.openxmlformats.org/officeDocument/2006/relationships/image" Target="media/image5.jpg"/><Relationship Id="rId10" Type="http://schemas.openxmlformats.org/officeDocument/2006/relationships/image" Target="media/image24.png"/><Relationship Id="rId32" Type="http://schemas.openxmlformats.org/officeDocument/2006/relationships/image" Target="media/image25.jpg"/><Relationship Id="rId13" Type="http://schemas.openxmlformats.org/officeDocument/2006/relationships/image" Target="media/image22.png"/><Relationship Id="rId35" Type="http://schemas.openxmlformats.org/officeDocument/2006/relationships/image" Target="media/image26.jpg"/><Relationship Id="rId12" Type="http://schemas.openxmlformats.org/officeDocument/2006/relationships/image" Target="media/image34.png"/><Relationship Id="rId34" Type="http://schemas.openxmlformats.org/officeDocument/2006/relationships/image" Target="media/image17.jpg"/><Relationship Id="rId15" Type="http://schemas.openxmlformats.org/officeDocument/2006/relationships/image" Target="media/image33.png"/><Relationship Id="rId37" Type="http://schemas.openxmlformats.org/officeDocument/2006/relationships/image" Target="media/image15.png"/><Relationship Id="rId14" Type="http://schemas.openxmlformats.org/officeDocument/2006/relationships/image" Target="media/image32.png"/><Relationship Id="rId36" Type="http://schemas.openxmlformats.org/officeDocument/2006/relationships/image" Target="media/image11.jpg"/><Relationship Id="rId17" Type="http://schemas.openxmlformats.org/officeDocument/2006/relationships/image" Target="media/image18.png"/><Relationship Id="rId39" Type="http://schemas.openxmlformats.org/officeDocument/2006/relationships/image" Target="media/image9.png"/><Relationship Id="rId16" Type="http://schemas.openxmlformats.org/officeDocument/2006/relationships/image" Target="media/image10.jpg"/><Relationship Id="rId38" Type="http://schemas.openxmlformats.org/officeDocument/2006/relationships/image" Target="media/image30.png"/><Relationship Id="rId19" Type="http://schemas.openxmlformats.org/officeDocument/2006/relationships/image" Target="media/image2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