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6.png"/>
            <a:graphic>
              <a:graphicData uri="http://schemas.openxmlformats.org/drawingml/2006/picture">
                <pic:pic>
                  <pic:nvPicPr>
                    <pic:cNvPr id="0" name="image1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Japan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Japan</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Japan went through during the period from 2019 to 2022. Specifically, we dive into the topic through a macroeconomic overview of Japan from the perspective of Gross Domestic Product (GDP) and Economic Complexity Index (ECI), which reflect countries’ production capability and production structure, respectively. We find that during the period of our interest, Japan demonstrated a low level of economic growth with an average annual GDP growth rate of -5.45% between 2019 and 2022, with a similar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negative progress during the period, we believe, can be partially explained through the analysis of the economic and product complexity structure of Japan on the industry group level, as well as the declining macro and microeconomic strategies. The product classification system we adopt allows us to measure the realized industry development for various industry groups and to observe that Japan regressed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Japan could further its gains by prioritizing </w:t>
      </w:r>
      <w:r w:rsidDel="00000000" w:rsidR="00000000" w:rsidRPr="00000000">
        <w:rPr>
          <w:rtl w:val="0"/>
        </w:rPr>
        <w:t xml:space="preserve">Energy Drilling and Mining, Weapons and Services and Utilities</w:t>
      </w:r>
      <w:r w:rsidDel="00000000" w:rsidR="00000000" w:rsidRPr="00000000">
        <w:rPr>
          <w:rtl w:val="0"/>
        </w:rPr>
        <w:t xml:space="preserve"> in 2022. We further note that Japan has a slightly mismatched development strategy that indicates a low level (compared to other emerging countries) of structural optimality on the complexity level, having an adjusted R-square of around</w:t>
      </w:r>
      <w:r w:rsidDel="00000000" w:rsidR="00000000" w:rsidRPr="00000000">
        <w:rPr>
          <w:rtl w:val="0"/>
        </w:rPr>
        <w:t xml:space="preserve"> 8%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weak positive correlation exists between GDP growth and the structural optimality index of an economy as we define and calculate, Japan indeed has a</w:t>
      </w:r>
      <w:r w:rsidDel="00000000" w:rsidR="00000000" w:rsidRPr="00000000">
        <w:rPr>
          <w:rtl w:val="0"/>
        </w:rPr>
        <w:t xml:space="preserve"> 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2022 showed a downturn in Japan’s economic growth, maintaining its position on the global scale. Its GDP declined to below the pre-pandemic levels, and it saw a decrease in the ECI, particularly compared to its peer countries. Its current strategy still has the viable potential upside to decrease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Japan went through during the period from 2019 to 2022, including the COVID-pandemic. Specifically, we dive into the topic through a macroeconomic overview of Japan from the perspective of Gross Domestic Product (GDP) and Economic Complexity Index (ECI), which reflect countries’ production capability and production structure, respectively. We then analyze the industrial framework and changes of Japan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Japan,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jc w:val="both"/>
        <w:rPr/>
      </w:pPr>
      <w:r w:rsidDel="00000000" w:rsidR="00000000" w:rsidRPr="00000000">
        <w:rPr>
          <w:rtl w:val="0"/>
        </w:rPr>
        <w:t xml:space="preserve">Figure 1a illustrates the time-series GDP results for Japan and four of its peer countries (China, Germany, France and USA) from 2019 to 2022. Unlike the other countries,  Japan’s GDP decreased; however, the magnitude of the change was not as strong as that of the USA and China. Japan’s average annual GDP growth rate (-5.45%) puts it lower than Germany (1.68%), France (2.01%), USA (6.62%), and China (7.40%).</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center"/>
        <w:rPr>
          <w:i w:val="1"/>
          <w:iCs w:val="1"/>
          <w:color w:val="444499"/>
          <w:sz w:val="20"/>
          <w:szCs w:val="20"/>
        </w:rPr>
      </w:pPr>
      <w:r w:rsidDel="00000000" w:rsidR="00000000" w:rsidRPr="00000000">
        <w:rPr/>
        <w:drawing>
          <wp:inline distB="114300" distT="114300" distL="114300" distR="114300">
            <wp:extent cx="5610225" cy="4143375"/>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02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Figure</w:t>
      </w:r>
      <w:r w:rsidDel="00000000" w:rsidR="00000000" w:rsidRPr="00000000">
        <w:rPr>
          <w:sz w:val="22"/>
          <w:szCs w:val="22"/>
          <w:rtl w:val="0"/>
        </w:rPr>
        <w:t xml:space="preserve"> 1. GDP Comparison Among Peer Countries (2019-2022)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As shown, Japan exhibits a relatively large decrease in production capability from 2019 to 2022. Japan is in a weak position in ECI terms, as its ECI change of -203.32% is greater in magnitude than that of the USA (193.00%), Germany (-180.12%), China (-174.98%), and France (-157.77%). Japan exhibits a decrease in production capability in 2022 to levels not seen prior, due to the reliance on outsourcing of manufacturing processes.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jc w:val="center"/>
        <w:rPr>
          <w:sz w:val="22"/>
          <w:szCs w:val="22"/>
        </w:rPr>
      </w:pPr>
      <w:r w:rsidDel="00000000" w:rsidR="00000000" w:rsidRPr="00000000">
        <w:rPr>
          <w:rFonts w:ascii="Calibri" w:cs="Calibri" w:eastAsia="Calibri" w:hAnsi="Calibri"/>
        </w:rPr>
        <w:drawing>
          <wp:inline distB="114300" distT="114300" distL="114300" distR="114300">
            <wp:extent cx="3233738" cy="2422617"/>
            <wp:effectExtent b="0" l="0" r="0" t="0"/>
            <wp:docPr id="2" name="image6.png"/>
            <a:graphic>
              <a:graphicData uri="http://schemas.openxmlformats.org/drawingml/2006/picture">
                <pic:pic>
                  <pic:nvPicPr>
                    <pic:cNvPr id="0" name="image6.png"/>
                    <pic:cNvPicPr preferRelativeResize="0"/>
                  </pic:nvPicPr>
                  <pic:blipFill>
                    <a:blip r:embed="rId9"/>
                    <a:srcRect b="55" l="0" r="0" t="55"/>
                    <a:stretch>
                      <a:fillRect/>
                    </a:stretch>
                  </pic:blipFill>
                  <pic:spPr>
                    <a:xfrm>
                      <a:off x="0" y="0"/>
                      <a:ext cx="3233738" cy="2422617"/>
                    </a:xfrm>
                    <a:prstGeom prst="rect"/>
                    <a:ln/>
                  </pic:spPr>
                </pic:pic>
              </a:graphicData>
            </a:graphic>
          </wp:inline>
        </w:drawing>
      </w:r>
      <w:r w:rsidDel="00000000" w:rsidR="00000000" w:rsidRPr="00000000">
        <w:rPr>
          <w:rtl w:val="0"/>
        </w:rPr>
        <w:t xml:space="preserve">   </w:t>
      </w:r>
      <w:r w:rsidDel="00000000" w:rsidR="00000000" w:rsidRPr="00000000">
        <w:rPr>
          <w:sz w:val="22"/>
          <w:szCs w:val="22"/>
          <w:rtl w:val="0"/>
        </w:rPr>
        <w:t xml:space="preserve">  </w:t>
      </w:r>
    </w:p>
    <w:p w:rsidR="00000000" w:rsidDel="00000000" w:rsidP="00000000" w:rsidRDefault="00000000" w:rsidRPr="00000000" w14:paraId="00000029">
      <w:pPr>
        <w:jc w:val="center"/>
        <w:rPr/>
      </w:pP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Figure 3 offers a further comparison of GDP Growth and ECI over the time span from 2019 to 2022 for Japan. The GDP decline is accompanied by a decrease in ECI. The results show that the economic growth experienced by Japan during the period from 2019 to 2022 is consistent with the predictions by ECI and that Japan made weak progress towards effectively developing a competitive product space that helps to accumulate complicated knowledge and technology. For the period 2019 to 2022, the ECI followed GDP trends, which can be interpreted as advancements in production. In order to provide a more concrete answer to why this has happened, we will dive into an analysis of Japan’s production structure and its product space designs in the next few sections.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462338" cy="2593877"/>
            <wp:effectExtent b="0" l="0" r="0" t="0"/>
            <wp:docPr id="9" name="image9.png"/>
            <a:graphic>
              <a:graphicData uri="http://schemas.openxmlformats.org/drawingml/2006/picture">
                <pic:pic>
                  <pic:nvPicPr>
                    <pic:cNvPr id="0" name="image9.png"/>
                    <pic:cNvPicPr preferRelativeResize="0"/>
                  </pic:nvPicPr>
                  <pic:blipFill>
                    <a:blip r:embed="rId10"/>
                    <a:srcRect b="55" l="0" r="0" t="55"/>
                    <a:stretch>
                      <a:fillRect/>
                    </a:stretch>
                  </pic:blipFill>
                  <pic:spPr>
                    <a:xfrm>
                      <a:off x="0" y="0"/>
                      <a:ext cx="3462338" cy="259387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rFonts w:ascii="Times" w:cs="Times" w:eastAsia="Times" w:hAnsi="Times"/>
          <w:b w:val="1"/>
          <w:bCs w:val="1"/>
          <w:sz w:val="28"/>
          <w:szCs w:val="28"/>
        </w:rPr>
      </w:pPr>
      <w:r w:rsidDel="00000000" w:rsidR="00000000" w:rsidRPr="00000000">
        <w:rPr>
          <w:sz w:val="22"/>
          <w:szCs w:val="22"/>
          <w:rtl w:val="0"/>
        </w:rPr>
        <w:t xml:space="preserve">Figures 3. GDP Growth and ECI for Japan (2019-2022)</w:t>
      </w:r>
      <w:r w:rsidDel="00000000" w:rsidR="00000000" w:rsidRPr="00000000">
        <w:rPr>
          <w:rtl w:val="0"/>
        </w:rPr>
      </w:r>
    </w:p>
    <w:p w:rsidR="00000000" w:rsidDel="00000000" w:rsidP="00000000" w:rsidRDefault="00000000" w:rsidRPr="00000000" w14:paraId="00000030">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jc w:val="both"/>
        <w:rPr/>
      </w:pPr>
      <w:r w:rsidDel="00000000" w:rsidR="00000000" w:rsidRPr="00000000">
        <w:rPr>
          <w:rtl w:val="0"/>
        </w:rPr>
        <w:t xml:space="preserve">Based on the aforementioned product categorization, we aim to capture Japan's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Japan and the 18 product groups in 2022, where a positive RID indicates a shortening of the distance (i.e., advancement of the industry), and a negative RID indicates the reverse. It is notable that the number of industries with positive RID is low in 2022.</w:t>
      </w:r>
    </w:p>
    <w:p w:rsidR="00000000" w:rsidDel="00000000" w:rsidP="00000000" w:rsidRDefault="00000000" w:rsidRPr="00000000" w14:paraId="0000008E">
      <w:pPr>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-0.067577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-0.082348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–0.137916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-0.046450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-0.073962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-0.161922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-0.072033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-0.143070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-0.024110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-0.117340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-0.082348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-0.065028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-0.023561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-0.011255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-0.088074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-0.084253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-0.058870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-0.063421</w:t>
            </w:r>
          </w:p>
        </w:tc>
      </w:tr>
    </w:tbl>
    <w:p w:rsidR="00000000" w:rsidDel="00000000" w:rsidP="00000000" w:rsidRDefault="00000000" w:rsidRPr="00000000" w14:paraId="000000B5">
      <w:pPr>
        <w:jc w:val="center"/>
        <w:rPr/>
      </w:pPr>
      <w:r w:rsidDel="00000000" w:rsidR="00000000" w:rsidRPr="00000000">
        <w:rPr>
          <w:sz w:val="22"/>
          <w:szCs w:val="22"/>
          <w:rtl w:val="0"/>
        </w:rPr>
        <w:t xml:space="preserve">Table 3. Realized Industry Development (RID) of Japan</w:t>
      </w:r>
      <w:r w:rsidDel="00000000" w:rsidR="00000000" w:rsidRPr="00000000">
        <w:rPr>
          <w:rtl w:val="0"/>
        </w:rPr>
      </w:r>
    </w:p>
    <w:p w:rsidR="00000000" w:rsidDel="00000000" w:rsidP="00000000" w:rsidRDefault="00000000" w:rsidRPr="00000000" w14:paraId="000000B6">
      <w:pPr>
        <w:pageBreakBefore w:val="0"/>
        <w:jc w:val="both"/>
        <w:rPr>
          <w:b w:val="1"/>
          <w:bCs w:val="1"/>
        </w:rPr>
      </w:pPr>
      <w:r w:rsidDel="00000000" w:rsidR="00000000" w:rsidRPr="00000000">
        <w:rPr>
          <w:rtl w:val="0"/>
        </w:rPr>
      </w:r>
    </w:p>
    <w:p w:rsidR="00000000" w:rsidDel="00000000" w:rsidP="00000000" w:rsidRDefault="00000000" w:rsidRPr="00000000" w14:paraId="000000B7">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8">
      <w:pPr>
        <w:jc w:val="both"/>
        <w:rPr/>
      </w:pPr>
      <w:r w:rsidDel="00000000" w:rsidR="00000000" w:rsidRPr="00000000">
        <w:rPr>
          <w:rtl w:val="0"/>
        </w:rPr>
        <w:t xml:space="preserve">Table 4a below summarize how the production strategy adopted by Japan compares with selected leading economies in the world across different years, as measured in RID. Leading economies such as France, USA, and United Arab Emirates gave a considerable level of attention to more advanced product groups such as Machinery and Construction, Wood Products, and Chemical Manufacturing in 2022.</w:t>
      </w:r>
    </w:p>
    <w:p w:rsidR="00000000" w:rsidDel="00000000" w:rsidP="00000000" w:rsidRDefault="00000000" w:rsidRPr="00000000" w14:paraId="000000B9">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A">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B">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C">
            <w:pPr>
              <w:jc w:val="both"/>
              <w:rPr/>
            </w:pPr>
            <w:r w:rsidDel="00000000" w:rsidR="00000000" w:rsidRPr="00000000">
              <w:rPr>
                <w:rtl w:val="0"/>
              </w:rPr>
              <w:t xml:space="preserve">USA</w:t>
            </w:r>
          </w:p>
        </w:tc>
        <w:tc>
          <w:tcPr>
            <w:vAlign w:val="center"/>
          </w:tcPr>
          <w:p w:rsidR="00000000" w:rsidDel="00000000" w:rsidP="00000000" w:rsidRDefault="00000000" w:rsidRPr="00000000" w14:paraId="000000BD">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1">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B">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C">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D">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F">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D0">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D1">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D2">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D3">
      <w:pPr>
        <w:jc w:val="center"/>
        <w:rPr>
          <w:sz w:val="22"/>
          <w:szCs w:val="22"/>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Table 4b further examines Japan’s development strategy against those of emerging economies on a global scale. Reasonably, emerging economies such as China and Singapore have devoted the majority of their efforts to intermediate industry groups, showing moderate shifts in strategies over the course of four years.</w:t>
      </w:r>
    </w:p>
    <w:p w:rsidR="00000000" w:rsidDel="00000000" w:rsidP="00000000" w:rsidRDefault="00000000" w:rsidRPr="00000000" w14:paraId="000000D5">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6">
            <w:pPr>
              <w:jc w:val="both"/>
              <w:rPr/>
            </w:pPr>
            <w:r w:rsidDel="00000000" w:rsidR="00000000" w:rsidRPr="00000000">
              <w:rPr>
                <w:rtl w:val="0"/>
              </w:rPr>
              <w:t xml:space="preserve">Ranking</w:t>
            </w:r>
          </w:p>
        </w:tc>
        <w:tc>
          <w:tcPr/>
          <w:p w:rsidR="00000000" w:rsidDel="00000000" w:rsidP="00000000" w:rsidRDefault="00000000" w:rsidRPr="00000000" w14:paraId="000000D7">
            <w:pPr>
              <w:jc w:val="both"/>
              <w:rPr/>
            </w:pPr>
            <w:r w:rsidDel="00000000" w:rsidR="00000000" w:rsidRPr="00000000">
              <w:rPr>
                <w:rtl w:val="0"/>
              </w:rPr>
              <w:t xml:space="preserve">China</w:t>
            </w:r>
          </w:p>
        </w:tc>
        <w:tc>
          <w:tcPr/>
          <w:p w:rsidR="00000000" w:rsidDel="00000000" w:rsidP="00000000" w:rsidRDefault="00000000" w:rsidRPr="00000000" w14:paraId="000000D8">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9">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A">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D">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0">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E2">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3">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4">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E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6">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E7">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8">
      <w:pPr>
        <w:jc w:val="center"/>
        <w:rPr>
          <w:b w:val="1"/>
          <w:bCs w:val="1"/>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9">
      <w:pPr>
        <w:pageBreakBefore w:val="0"/>
        <w:jc w:val="center"/>
        <w:rPr>
          <w:sz w:val="22"/>
          <w:szCs w:val="22"/>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rtl w:val="0"/>
        </w:rPr>
      </w:r>
    </w:p>
    <w:p w:rsidR="00000000" w:rsidDel="00000000" w:rsidP="00000000" w:rsidRDefault="00000000" w:rsidRPr="00000000" w14:paraId="000000E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E">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F">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F1">
      <w:pPr>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F2">
      <w:pPr>
        <w:jc w:val="both"/>
        <w:rPr/>
      </w:pPr>
      <w:r w:rsidDel="00000000" w:rsidR="00000000" w:rsidRPr="00000000">
        <w:rPr>
          <w:rFonts w:ascii="Times" w:cs="Times" w:eastAsia="Times" w:hAnsi="Times"/>
          <w:b w:val="1"/>
          <w:bCs w:val="1"/>
          <w:sz w:val="28"/>
          <w:szCs w:val="28"/>
        </w:rPr>
        <w:drawing>
          <wp:inline distB="114300" distT="114300" distL="114300" distR="114300">
            <wp:extent cx="5731200" cy="200660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We define the ranking of opportunity gain for a country c, as the Suggested Development Vector (SDV) of c. Table 5 summarizes how the SDV of Japan compares with a selected group of comparable and leading economies in the world, with the industry groups ranked in decreasing order of significance.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Chemical Manufacturing and Machinery and Construction It can be concluded that Japan shares the characteristics of developing countries, with a balanced economic structure that leans towards more complex industries. </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drawing>
          <wp:inline distB="114300" distT="114300" distL="114300" distR="114300">
            <wp:extent cx="5731200" cy="2273300"/>
            <wp:effectExtent b="0" l="0" r="0" t="0"/>
            <wp:docPr id="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0FB">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C">
      <w:pPr>
        <w:pageBreakBefore w:val="0"/>
        <w:jc w:val="center"/>
        <w:rPr>
          <w:sz w:val="22"/>
          <w:szCs w:val="22"/>
        </w:rPr>
      </w:pPr>
      <w:r w:rsidDel="00000000" w:rsidR="00000000" w:rsidRPr="00000000">
        <w:rPr>
          <w:rtl w:val="0"/>
        </w:rPr>
      </w:r>
    </w:p>
    <w:p w:rsidR="00000000" w:rsidDel="00000000" w:rsidP="00000000" w:rsidRDefault="00000000" w:rsidRPr="00000000" w14:paraId="000000FD">
      <w:pPr>
        <w:pageBreakBefore w:val="0"/>
        <w:jc w:val="center"/>
        <w:rPr/>
      </w:pPr>
      <w:r w:rsidDel="00000000" w:rsidR="00000000" w:rsidRPr="00000000">
        <w:rPr>
          <w:rtl w:val="0"/>
        </w:rPr>
      </w:r>
    </w:p>
    <w:p w:rsidR="00000000" w:rsidDel="00000000" w:rsidP="00000000" w:rsidRDefault="00000000" w:rsidRPr="00000000" w14:paraId="000000F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00">
      <w:pPr>
        <w:pageBreakBefore w:val="0"/>
        <w:jc w:val="both"/>
        <w:rPr/>
      </w:pPr>
      <w:r w:rsidDel="00000000" w:rsidR="00000000" w:rsidRPr="00000000">
        <w:rPr>
          <w:rtl w:val="0"/>
        </w:rPr>
      </w:r>
    </w:p>
    <w:p w:rsidR="00000000" w:rsidDel="00000000" w:rsidP="00000000" w:rsidRDefault="00000000" w:rsidRPr="00000000" w14:paraId="0000010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jc w:val="center"/>
        <w:rPr/>
      </w:pPr>
      <w:r w:rsidDel="00000000" w:rsidR="00000000" w:rsidRPr="00000000">
        <w:rPr>
          <w:rtl w:val="0"/>
        </w:rPr>
      </w:r>
    </w:p>
    <w:p w:rsidR="00000000" w:rsidDel="00000000" w:rsidP="00000000" w:rsidRDefault="00000000" w:rsidRPr="00000000" w14:paraId="0000010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04">
      <w:pPr>
        <w:pageBreakBefore w:val="0"/>
        <w:jc w:val="both"/>
        <w:rPr/>
      </w:pPr>
      <w:r w:rsidDel="00000000" w:rsidR="00000000" w:rsidRPr="00000000">
        <w:rPr>
          <w:rtl w:val="0"/>
        </w:rPr>
        <w:t xml:space="preserve"> </w:t>
      </w:r>
    </w:p>
    <w:p w:rsidR="00000000" w:rsidDel="00000000" w:rsidP="00000000" w:rsidRDefault="00000000" w:rsidRPr="00000000" w14:paraId="0000010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6">
      <w:pPr>
        <w:pageBreakBefore w:val="0"/>
        <w:jc w:val="both"/>
        <w:rPr/>
      </w:pPr>
      <w:r w:rsidDel="00000000" w:rsidR="00000000" w:rsidRPr="00000000">
        <w:rPr>
          <w:rtl w:val="0"/>
        </w:rPr>
        <w:t xml:space="preserve"> </w:t>
      </w:r>
    </w:p>
    <w:p w:rsidR="00000000" w:rsidDel="00000000" w:rsidP="00000000" w:rsidRDefault="00000000" w:rsidRPr="00000000" w14:paraId="0000010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C">
      <w:pPr>
        <w:pageBreakBefore w:val="0"/>
        <w:rPr/>
      </w:pPr>
      <w:r w:rsidDel="00000000" w:rsidR="00000000" w:rsidRPr="00000000">
        <w:rPr>
          <w:rtl w:val="0"/>
        </w:rPr>
        <w:t xml:space="preserve"> </w:t>
      </w:r>
    </w:p>
    <w:p w:rsidR="00000000" w:rsidDel="00000000" w:rsidP="00000000" w:rsidRDefault="00000000" w:rsidRPr="00000000" w14:paraId="0000010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10">
      <w:pPr>
        <w:jc w:val="both"/>
        <w:rPr>
          <w:b w:val="1"/>
          <w:bCs w:val="1"/>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111">
      <w:pPr>
        <w:pageBreakBefore w:val="0"/>
        <w:jc w:val="both"/>
        <w:rPr>
          <w:b w:val="1"/>
          <w:bCs w:val="1"/>
        </w:rPr>
      </w:pPr>
      <w:r w:rsidDel="00000000" w:rsidR="00000000" w:rsidRPr="00000000">
        <w:rPr>
          <w:rtl w:val="0"/>
        </w:rPr>
      </w:r>
    </w:p>
    <w:p w:rsidR="00000000" w:rsidDel="00000000" w:rsidP="00000000" w:rsidRDefault="00000000" w:rsidRPr="00000000" w14:paraId="00000112">
      <w:pPr>
        <w:pageBreakBefore w:val="0"/>
        <w:jc w:val="both"/>
        <w:rPr>
          <w:b w:val="1"/>
          <w:bCs w:val="1"/>
        </w:rPr>
      </w:pPr>
      <w:r w:rsidDel="00000000" w:rsidR="00000000" w:rsidRPr="00000000">
        <w:rPr>
          <w:rtl w:val="0"/>
        </w:rPr>
      </w:r>
    </w:p>
    <w:p w:rsidR="00000000" w:rsidDel="00000000" w:rsidP="00000000" w:rsidRDefault="00000000" w:rsidRPr="00000000" w14:paraId="00000113">
      <w:pPr>
        <w:pageBreakBefore w:val="0"/>
        <w:jc w:val="both"/>
        <w:rPr>
          <w:b w:val="1"/>
          <w:bCs w:val="1"/>
        </w:rPr>
      </w:pPr>
      <w:r w:rsidDel="00000000" w:rsidR="00000000" w:rsidRPr="00000000">
        <w:rPr>
          <w:rtl w:val="0"/>
        </w:rPr>
      </w:r>
    </w:p>
    <w:p w:rsidR="00000000" w:rsidDel="00000000" w:rsidP="00000000" w:rsidRDefault="00000000" w:rsidRPr="00000000" w14:paraId="00000114">
      <w:pPr>
        <w:pageBreakBefore w:val="0"/>
        <w:jc w:val="both"/>
        <w:rPr>
          <w:b w:val="1"/>
          <w:bCs w:val="1"/>
        </w:rPr>
      </w:pPr>
      <w:r w:rsidDel="00000000" w:rsidR="00000000" w:rsidRPr="00000000">
        <w:rPr>
          <w:rtl w:val="0"/>
        </w:rPr>
      </w:r>
    </w:p>
    <w:p w:rsidR="00000000" w:rsidDel="00000000" w:rsidP="00000000" w:rsidRDefault="00000000" w:rsidRPr="00000000" w14:paraId="00000115">
      <w:pPr>
        <w:pageBreakBefore w:val="0"/>
        <w:jc w:val="both"/>
        <w:rPr>
          <w:b w:val="1"/>
          <w:bCs w:val="1"/>
        </w:rPr>
      </w:pPr>
      <w:r w:rsidDel="00000000" w:rsidR="00000000" w:rsidRPr="00000000">
        <w:rPr>
          <w:rtl w:val="0"/>
        </w:rPr>
      </w:r>
    </w:p>
    <w:p w:rsidR="00000000" w:rsidDel="00000000" w:rsidP="00000000" w:rsidRDefault="00000000" w:rsidRPr="00000000" w14:paraId="00000116">
      <w:pPr>
        <w:pageBreakBefore w:val="0"/>
        <w:jc w:val="both"/>
        <w:rPr>
          <w:b w:val="1"/>
          <w:bCs w:val="1"/>
        </w:rPr>
      </w:pPr>
      <w:r w:rsidDel="00000000" w:rsidR="00000000" w:rsidRPr="00000000">
        <w:rPr>
          <w:rtl w:val="0"/>
        </w:rPr>
      </w:r>
    </w:p>
    <w:p w:rsidR="00000000" w:rsidDel="00000000" w:rsidP="00000000" w:rsidRDefault="00000000" w:rsidRPr="00000000" w14:paraId="00000117">
      <w:pPr>
        <w:pageBreakBefore w:val="0"/>
        <w:jc w:val="both"/>
        <w:rPr>
          <w:b w:val="1"/>
          <w:bCs w:val="1"/>
        </w:rPr>
      </w:pPr>
      <w:r w:rsidDel="00000000" w:rsidR="00000000" w:rsidRPr="00000000">
        <w:rPr>
          <w:rtl w:val="0"/>
        </w:rPr>
      </w:r>
    </w:p>
    <w:p w:rsidR="00000000" w:rsidDel="00000000" w:rsidP="00000000" w:rsidRDefault="00000000" w:rsidRPr="00000000" w14:paraId="00000118">
      <w:pPr>
        <w:pageBreakBefore w:val="0"/>
        <w:jc w:val="both"/>
        <w:rPr>
          <w:b w:val="1"/>
          <w:bCs w:val="1"/>
        </w:rPr>
      </w:pPr>
      <w:r w:rsidDel="00000000" w:rsidR="00000000" w:rsidRPr="00000000">
        <w:rPr>
          <w:rtl w:val="0"/>
        </w:rPr>
      </w:r>
    </w:p>
    <w:p w:rsidR="00000000" w:rsidDel="00000000" w:rsidP="00000000" w:rsidRDefault="00000000" w:rsidRPr="00000000" w14:paraId="00000119">
      <w:pPr>
        <w:pageBreakBefore w:val="0"/>
        <w:jc w:val="both"/>
        <w:rPr>
          <w:b w:val="1"/>
          <w:bCs w:val="1"/>
        </w:rPr>
      </w:pPr>
      <w:r w:rsidDel="00000000" w:rsidR="00000000" w:rsidRPr="00000000">
        <w:rPr>
          <w:rtl w:val="0"/>
        </w:rPr>
      </w:r>
    </w:p>
    <w:p w:rsidR="00000000" w:rsidDel="00000000" w:rsidP="00000000" w:rsidRDefault="00000000" w:rsidRPr="00000000" w14:paraId="0000011A">
      <w:pPr>
        <w:pageBreakBefore w:val="0"/>
        <w:jc w:val="both"/>
        <w:rPr>
          <w:b w:val="1"/>
          <w:bCs w:val="1"/>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rtl w:val="0"/>
        </w:rPr>
      </w:r>
    </w:p>
    <w:p w:rsidR="00000000" w:rsidDel="00000000" w:rsidP="00000000" w:rsidRDefault="00000000" w:rsidRPr="00000000" w14:paraId="0000011C">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1D">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E">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45">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46">
      <w:pPr>
        <w:pageBreakBefore w:val="0"/>
        <w:jc w:val="center"/>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Figure 4 shows an economic panel for Japan in 2022. We can see that for different percentages of heuristic total export growth, the ECIs of Japan have slightly different industry distributions though are relatively consistent.</w:t>
      </w:r>
    </w:p>
    <w:p w:rsidR="00000000" w:rsidDel="00000000" w:rsidP="00000000" w:rsidRDefault="00000000" w:rsidRPr="00000000" w14:paraId="00000148">
      <w:pPr>
        <w:jc w:val="both"/>
        <w:rPr/>
      </w:pPr>
      <w:r w:rsidDel="00000000" w:rsidR="00000000" w:rsidRPr="00000000">
        <w:rPr>
          <w:rtl w:val="0"/>
        </w:rPr>
        <w:t xml:space="preserve"> </w:t>
      </w:r>
    </w:p>
    <w:p w:rsidR="00000000" w:rsidDel="00000000" w:rsidP="00000000" w:rsidRDefault="00000000" w:rsidRPr="00000000" w14:paraId="00000149">
      <w:pPr>
        <w:jc w:val="both"/>
        <w:rPr/>
      </w:pPr>
      <w:r w:rsidDel="00000000" w:rsidR="00000000" w:rsidRPr="00000000">
        <w:rPr>
          <w:rtl w:val="0"/>
        </w:rPr>
        <w:t xml:space="preserve">For 2022, a 5 and 20 percent export growth would emphasize Precious Stones, whilst a 10 percent growth would emphasize Vegetables, Fruits and Plants and a 15 percent growth  would emphasize Clothing and Accessories. These strategies go in line with the suggested trajectories based on ECI. A more detailed numerical representation of the portfolio is shown in Table 8. The increased ECI row of the table suggests that any increases in 5%, 10%, 15%, and 20% yield the same increase in ECI, which means that Japan should focus on 15% and 20%. Thus, for optimal development, it should invest only in Precious Stones. </w:t>
      </w:r>
      <w:r w:rsidDel="00000000" w:rsidR="00000000" w:rsidRPr="00000000">
        <w:rPr>
          <w:rtl w:val="0"/>
        </w:rPr>
      </w:r>
    </w:p>
    <w:p w:rsidR="00000000" w:rsidDel="00000000" w:rsidP="00000000" w:rsidRDefault="00000000" w:rsidRPr="00000000" w14:paraId="0000014A">
      <w:pPr>
        <w:pageBreakBefore w:val="0"/>
        <w:jc w:val="both"/>
        <w:rPr>
          <w:b w:val="0"/>
          <w:bCs w:val="0"/>
          <w:i w:val="1"/>
          <w:iCs w:val="1"/>
          <w:color w:val="444499"/>
          <w:sz w:val="20"/>
          <w:szCs w:val="20"/>
        </w:rPr>
      </w:pPr>
      <w:r w:rsidDel="00000000" w:rsidR="00000000" w:rsidRPr="00000000">
        <w:rPr/>
        <w:drawing>
          <wp:inline distB="114300" distT="114300" distL="114300" distR="114300">
            <wp:extent cx="5734050" cy="2076450"/>
            <wp:effectExtent b="0" l="0" r="0" t="0"/>
            <wp:docPr id="16" name="image8.png"/>
            <a:graphic>
              <a:graphicData uri="http://schemas.openxmlformats.org/drawingml/2006/picture">
                <pic:pic>
                  <pic:nvPicPr>
                    <pic:cNvPr id="0" name="image8.png"/>
                    <pic:cNvPicPr preferRelativeResize="0"/>
                  </pic:nvPicPr>
                  <pic:blipFill>
                    <a:blip r:embed="rId15"/>
                    <a:srcRect b="23256" l="80" r="80" t="4319"/>
                    <a:stretch>
                      <a:fillRect/>
                    </a:stretch>
                  </pic:blipFill>
                  <pic:spPr>
                    <a:xfrm>
                      <a:off x="0" y="0"/>
                      <a:ext cx="5734050" cy="2076450"/>
                    </a:xfrm>
                    <a:prstGeom prst="rect"/>
                    <a:ln/>
                  </pic:spPr>
                </pic:pic>
              </a:graphicData>
            </a:graphic>
          </wp:inline>
        </w:drawing>
      </w:r>
      <w:r w:rsidDel="00000000" w:rsidR="00000000" w:rsidRPr="00000000">
        <w:rPr/>
        <w:drawing>
          <wp:inline distB="114300" distT="114300" distL="114300" distR="114300">
            <wp:extent cx="5734050" cy="1905000"/>
            <wp:effectExtent b="0" l="0" r="0" t="0"/>
            <wp:docPr id="7" name="image15.png"/>
            <a:graphic>
              <a:graphicData uri="http://schemas.openxmlformats.org/drawingml/2006/picture">
                <pic:pic>
                  <pic:nvPicPr>
                    <pic:cNvPr id="0" name="image15.png"/>
                    <pic:cNvPicPr preferRelativeResize="0"/>
                  </pic:nvPicPr>
                  <pic:blipFill>
                    <a:blip r:embed="rId16"/>
                    <a:srcRect b="5727" l="49" r="49" t="6167"/>
                    <a:stretch>
                      <a:fillRect/>
                    </a:stretch>
                  </pic:blipFill>
                  <pic:spPr>
                    <a:xfrm>
                      <a:off x="0" y="0"/>
                      <a:ext cx="57340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jc w:val="center"/>
        <w:rPr>
          <w:sz w:val="22"/>
          <w:szCs w:val="22"/>
        </w:rPr>
      </w:pPr>
      <w:r w:rsidDel="00000000" w:rsidR="00000000" w:rsidRPr="00000000">
        <w:rPr>
          <w:sz w:val="22"/>
          <w:szCs w:val="22"/>
          <w:rtl w:val="0"/>
        </w:rPr>
        <w:t xml:space="preserve">Figure 4. Greedy-Based ECI Improvement Results of Japan with Different Budgets (2022)</w:t>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4F">
            <w:pPr>
              <w:jc w:val="center"/>
              <w:rPr>
                <w:sz w:val="20"/>
                <w:szCs w:val="20"/>
              </w:rPr>
            </w:pPr>
            <w:r w:rsidDel="00000000" w:rsidR="00000000" w:rsidRPr="00000000">
              <w:rPr>
                <w:b w:val="1"/>
                <w:bCs w:val="1"/>
                <w:sz w:val="20"/>
                <w:szCs w:val="20"/>
                <w:rtl w:val="0"/>
              </w:rPr>
              <w:t xml:space="preserve">Japan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5">
            <w:pPr>
              <w:jc w:val="center"/>
              <w:rPr>
                <w:sz w:val="20"/>
                <w:szCs w:val="20"/>
              </w:rPr>
            </w:pPr>
            <w:r w:rsidDel="00000000" w:rsidR="00000000" w:rsidRPr="00000000">
              <w:rPr>
                <w:b w:val="1"/>
                <w:bCs w:val="1"/>
                <w:sz w:val="20"/>
                <w:szCs w:val="20"/>
                <w:rtl w:val="0"/>
              </w:rPr>
              <w:t xml:space="preserve">-1.852</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A">
            <w:pPr>
              <w:widowControl w:val="0"/>
              <w:spacing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C">
            <w:pPr>
              <w:widowControl w:val="0"/>
              <w:spacing w:line="276"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D">
            <w:pPr>
              <w:widowControl w:val="0"/>
              <w:spacing w:line="276"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1.21E+10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1.02E+10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1">
            <w:pPr>
              <w:widowControl w:val="0"/>
              <w:jc w:val="center"/>
              <w:rPr>
                <w:sz w:val="18"/>
                <w:szCs w:val="18"/>
              </w:rPr>
            </w:pPr>
            <w:r w:rsidDel="00000000" w:rsidR="00000000" w:rsidRPr="00000000">
              <w:rPr>
                <w:sz w:val="20"/>
                <w:szCs w:val="20"/>
                <w:rtl w:val="0"/>
              </w:rPr>
              <w:t xml:space="preserve">3.46E+10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2">
            <w:pPr>
              <w:widowControl w:val="0"/>
              <w:jc w:val="center"/>
              <w:rPr>
                <w:sz w:val="18"/>
                <w:szCs w:val="18"/>
              </w:rPr>
            </w:pPr>
            <w:r w:rsidDel="00000000" w:rsidR="00000000" w:rsidRPr="00000000">
              <w:rPr>
                <w:sz w:val="20"/>
                <w:szCs w:val="20"/>
                <w:rtl w:val="0"/>
              </w:rPr>
              <w:t xml:space="preserve">3.95E+10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2.38E+10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6">
            <w:pPr>
              <w:widowControl w:val="0"/>
              <w:jc w:val="center"/>
              <w:rPr>
                <w:sz w:val="18"/>
                <w:szCs w:val="18"/>
              </w:rPr>
            </w:pPr>
            <w:r w:rsidDel="00000000" w:rsidR="00000000" w:rsidRPr="00000000">
              <w:rPr>
                <w:sz w:val="20"/>
                <w:szCs w:val="20"/>
                <w:rtl w:val="0"/>
              </w:rPr>
              <w:t xml:space="preserve">2.88E+10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7">
            <w:pPr>
              <w:widowControl w:val="0"/>
              <w:jc w:val="center"/>
              <w:rPr>
                <w:sz w:val="18"/>
                <w:szCs w:val="18"/>
              </w:rPr>
            </w:pPr>
            <w:r w:rsidDel="00000000" w:rsidR="00000000" w:rsidRPr="00000000">
              <w:rPr>
                <w:sz w:val="20"/>
                <w:szCs w:val="20"/>
                <w:rtl w:val="0"/>
              </w:rPr>
              <w:t xml:space="preserve">1.97E+10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6.80E+09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B">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C">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1.36E+10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0">
            <w:pPr>
              <w:widowControl w:val="0"/>
              <w:jc w:val="center"/>
              <w:rPr>
                <w:sz w:val="18"/>
                <w:szCs w:val="18"/>
              </w:rPr>
            </w:pPr>
            <w:r w:rsidDel="00000000" w:rsidR="00000000" w:rsidRPr="00000000">
              <w:rPr>
                <w:sz w:val="20"/>
                <w:szCs w:val="20"/>
                <w:rtl w:val="0"/>
              </w:rPr>
              <w:t xml:space="preserve">1.73E+10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1">
            <w:pPr>
              <w:widowControl w:val="0"/>
              <w:jc w:val="center"/>
              <w:rPr>
                <w:sz w:val="18"/>
                <w:szCs w:val="18"/>
              </w:rPr>
            </w:pPr>
            <w:r w:rsidDel="00000000" w:rsidR="00000000" w:rsidRPr="00000000">
              <w:rPr>
                <w:sz w:val="20"/>
                <w:szCs w:val="20"/>
                <w:rtl w:val="0"/>
              </w:rPr>
              <w:t xml:space="preserve">1.32E+10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7.24E+09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6.80E+09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5">
            <w:pPr>
              <w:widowControl w:val="0"/>
              <w:jc w:val="center"/>
              <w:rPr>
                <w:sz w:val="18"/>
                <w:szCs w:val="18"/>
              </w:rPr>
            </w:pPr>
            <w:r w:rsidDel="00000000" w:rsidR="00000000" w:rsidRPr="00000000">
              <w:rPr>
                <w:sz w:val="20"/>
                <w:szCs w:val="20"/>
                <w:rtl w:val="0"/>
              </w:rPr>
              <w:t xml:space="preserve">5.76E+09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6">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8">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A">
            <w:pPr>
              <w:widowControl w:val="0"/>
              <w:jc w:val="center"/>
              <w:rPr>
                <w:sz w:val="18"/>
                <w:szCs w:val="18"/>
              </w:rPr>
            </w:pPr>
            <w:r w:rsidDel="00000000" w:rsidR="00000000" w:rsidRPr="00000000">
              <w:rPr>
                <w:sz w:val="20"/>
                <w:szCs w:val="20"/>
                <w:rtl w:val="0"/>
              </w:rPr>
              <w:t xml:space="preserve">5.76E+09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B">
            <w:pPr>
              <w:widowControl w:val="0"/>
              <w:jc w:val="center"/>
              <w:rPr>
                <w:sz w:val="18"/>
                <w:szCs w:val="18"/>
              </w:rPr>
            </w:pPr>
            <w:r w:rsidDel="00000000" w:rsidR="00000000" w:rsidRPr="00000000">
              <w:rPr>
                <w:sz w:val="20"/>
                <w:szCs w:val="20"/>
                <w:rtl w:val="0"/>
              </w:rPr>
              <w:t xml:space="preserve">6.58E+09</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E">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7F">
            <w:pPr>
              <w:widowControl w:val="0"/>
              <w:jc w:val="center"/>
              <w:rPr>
                <w:sz w:val="18"/>
                <w:szCs w:val="18"/>
              </w:rPr>
            </w:pPr>
            <w:r w:rsidDel="00000000" w:rsidR="00000000" w:rsidRPr="00000000">
              <w:rPr>
                <w:sz w:val="20"/>
                <w:szCs w:val="20"/>
                <w:rtl w:val="0"/>
              </w:rPr>
              <w:t xml:space="preserve">4.61E+10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0">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2">
            <w:pPr>
              <w:widowControl w:val="0"/>
              <w:jc w:val="center"/>
              <w:rPr>
                <w:sz w:val="20"/>
                <w:szCs w:val="20"/>
              </w:rPr>
            </w:pPr>
            <w:r w:rsidDel="00000000" w:rsidR="00000000" w:rsidRPr="00000000">
              <w:rPr>
                <w:sz w:val="20"/>
                <w:szCs w:val="20"/>
                <w:rtl w:val="0"/>
              </w:rPr>
              <w:t xml:space="preserve">1.45E+10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3">
            <w:pPr>
              <w:widowControl w:val="0"/>
              <w:jc w:val="center"/>
              <w:rPr>
                <w:sz w:val="20"/>
                <w:szCs w:val="20"/>
              </w:rPr>
            </w:pPr>
            <w:r w:rsidDel="00000000" w:rsidR="00000000" w:rsidRPr="00000000">
              <w:rPr>
                <w:sz w:val="20"/>
                <w:szCs w:val="20"/>
                <w:rtl w:val="0"/>
              </w:rPr>
              <w:t xml:space="preserve">1.70E+10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4">
            <w:pPr>
              <w:widowControl w:val="0"/>
              <w:jc w:val="center"/>
              <w:rPr>
                <w:sz w:val="18"/>
                <w:szCs w:val="18"/>
              </w:rPr>
            </w:pPr>
            <w:r w:rsidDel="00000000" w:rsidR="00000000" w:rsidRPr="00000000">
              <w:rPr>
                <w:sz w:val="20"/>
                <w:szCs w:val="20"/>
                <w:rtl w:val="0"/>
              </w:rPr>
              <w:t xml:space="preserve">1.15E+10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5">
            <w:pPr>
              <w:widowControl w:val="0"/>
              <w:jc w:val="center"/>
              <w:rPr>
                <w:sz w:val="18"/>
                <w:szCs w:val="18"/>
              </w:rPr>
            </w:pPr>
            <w:r w:rsidDel="00000000" w:rsidR="00000000" w:rsidRPr="00000000">
              <w:rPr>
                <w:sz w:val="20"/>
                <w:szCs w:val="20"/>
                <w:rtl w:val="0"/>
              </w:rPr>
              <w:t xml:space="preserve">1.32E+10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7">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8">
            <w:pPr>
              <w:widowControl w:val="0"/>
              <w:jc w:val="center"/>
              <w:rPr>
                <w:sz w:val="20"/>
                <w:szCs w:val="20"/>
              </w:rPr>
            </w:pPr>
            <w:r w:rsidDel="00000000" w:rsidR="00000000" w:rsidRPr="00000000">
              <w:rPr>
                <w:sz w:val="20"/>
                <w:szCs w:val="20"/>
                <w:rtl w:val="0"/>
              </w:rPr>
              <w:t xml:space="preserve">3.40E+09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9">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A">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C">
            <w:pPr>
              <w:widowControl w:val="0"/>
              <w:jc w:val="center"/>
              <w:rPr>
                <w:sz w:val="20"/>
                <w:szCs w:val="20"/>
              </w:rPr>
            </w:pPr>
            <w:r w:rsidDel="00000000" w:rsidR="00000000" w:rsidRPr="00000000">
              <w:rPr>
                <w:sz w:val="20"/>
                <w:szCs w:val="20"/>
                <w:rtl w:val="0"/>
              </w:rPr>
              <w:t xml:space="preserve">9.65E+09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D">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E">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8F">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1">
            <w:pPr>
              <w:widowControl w:val="0"/>
              <w:jc w:val="center"/>
              <w:rPr>
                <w:sz w:val="20"/>
                <w:szCs w:val="20"/>
              </w:rPr>
            </w:pPr>
            <w:r w:rsidDel="00000000" w:rsidR="00000000" w:rsidRPr="00000000">
              <w:rPr>
                <w:sz w:val="20"/>
                <w:szCs w:val="20"/>
                <w:rtl w:val="0"/>
              </w:rPr>
              <w:t xml:space="preserve">2.41E+10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sz w:val="20"/>
                <w:szCs w:val="20"/>
                <w:rtl w:val="0"/>
              </w:rPr>
              <w:t xml:space="preserve">1.70E+10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3">
            <w:pPr>
              <w:widowControl w:val="0"/>
              <w:jc w:val="center"/>
              <w:rPr>
                <w:sz w:val="18"/>
                <w:szCs w:val="18"/>
              </w:rPr>
            </w:pPr>
            <w:r w:rsidDel="00000000" w:rsidR="00000000" w:rsidRPr="00000000">
              <w:rPr>
                <w:sz w:val="20"/>
                <w:szCs w:val="20"/>
                <w:rtl w:val="0"/>
              </w:rPr>
              <w:t xml:space="preserve">1.73E+10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4">
            <w:pPr>
              <w:widowControl w:val="0"/>
              <w:jc w:val="center"/>
              <w:rPr>
                <w:sz w:val="18"/>
                <w:szCs w:val="18"/>
              </w:rPr>
            </w:pPr>
            <w:r w:rsidDel="00000000" w:rsidR="00000000" w:rsidRPr="00000000">
              <w:rPr>
                <w:sz w:val="20"/>
                <w:szCs w:val="20"/>
                <w:rtl w:val="0"/>
              </w:rPr>
              <w:t xml:space="preserve">8.56E+10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6">
            <w:pPr>
              <w:widowControl w:val="0"/>
              <w:jc w:val="center"/>
              <w:rPr>
                <w:sz w:val="20"/>
                <w:szCs w:val="20"/>
              </w:rPr>
            </w:pPr>
            <w:r w:rsidDel="00000000" w:rsidR="00000000" w:rsidRPr="00000000">
              <w:rPr>
                <w:sz w:val="20"/>
                <w:szCs w:val="20"/>
                <w:rtl w:val="0"/>
              </w:rPr>
              <w:t xml:space="preserve">4.83E+09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7">
            <w:pPr>
              <w:widowControl w:val="0"/>
              <w:jc w:val="center"/>
              <w:rPr>
                <w:sz w:val="20"/>
                <w:szCs w:val="20"/>
              </w:rPr>
            </w:pPr>
            <w:r w:rsidDel="00000000" w:rsidR="00000000" w:rsidRPr="00000000">
              <w:rPr>
                <w:sz w:val="20"/>
                <w:szCs w:val="20"/>
                <w:rtl w:val="0"/>
              </w:rPr>
              <w:t xml:space="preserve">3.40E+09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8">
            <w:pPr>
              <w:widowControl w:val="0"/>
              <w:jc w:val="center"/>
              <w:rPr>
                <w:sz w:val="18"/>
                <w:szCs w:val="18"/>
              </w:rPr>
            </w:pPr>
            <w:r w:rsidDel="00000000" w:rsidR="00000000" w:rsidRPr="00000000">
              <w:rPr>
                <w:sz w:val="20"/>
                <w:szCs w:val="20"/>
                <w:rtl w:val="0"/>
              </w:rPr>
              <w:t xml:space="preserve">5.76E+09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9">
            <w:pPr>
              <w:widowControl w:val="0"/>
              <w:jc w:val="center"/>
              <w:rPr>
                <w:sz w:val="18"/>
                <w:szCs w:val="18"/>
              </w:rPr>
            </w:pPr>
            <w:r w:rsidDel="00000000" w:rsidR="00000000" w:rsidRPr="00000000">
              <w:rPr>
                <w:sz w:val="20"/>
                <w:szCs w:val="20"/>
                <w:rtl w:val="0"/>
              </w:rPr>
              <w:t xml:space="preserve">6.58E+09</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B">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C">
            <w:pPr>
              <w:widowControl w:val="0"/>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D">
            <w:pPr>
              <w:widowControl w:val="0"/>
              <w:jc w:val="center"/>
              <w:rPr>
                <w:sz w:val="18"/>
                <w:szCs w:val="18"/>
              </w:rPr>
            </w:pPr>
            <w:r w:rsidDel="00000000" w:rsidR="00000000" w:rsidRPr="00000000">
              <w:rPr>
                <w:sz w:val="20"/>
                <w:szCs w:val="20"/>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E">
            <w:pPr>
              <w:widowControl w:val="0"/>
              <w:jc w:val="center"/>
              <w:rPr>
                <w:sz w:val="18"/>
                <w:szCs w:val="18"/>
              </w:rPr>
            </w:pPr>
            <w:r w:rsidDel="00000000" w:rsidR="00000000" w:rsidRPr="00000000">
              <w:rPr>
                <w:sz w:val="20"/>
                <w:szCs w:val="20"/>
                <w:rtl w:val="0"/>
              </w:rPr>
              <w:t xml:space="preserve">1.32E+10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9F">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0">
            <w:pPr>
              <w:widowControl w:val="0"/>
              <w:jc w:val="center"/>
              <w:rPr>
                <w:b w:val="1"/>
                <w:bCs w:val="1"/>
                <w:sz w:val="20"/>
                <w:szCs w:val="20"/>
              </w:rPr>
            </w:pPr>
            <w:r w:rsidDel="00000000" w:rsidR="00000000" w:rsidRPr="00000000">
              <w:rPr>
                <w:b w:val="1"/>
                <w:bCs w:val="1"/>
                <w:sz w:val="20"/>
                <w:szCs w:val="20"/>
                <w:rtl w:val="0"/>
              </w:rPr>
              <w:t xml:space="preserve">-9.82E-01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1">
            <w:pPr>
              <w:widowControl w:val="0"/>
              <w:jc w:val="center"/>
              <w:rPr>
                <w:b w:val="1"/>
                <w:bCs w:val="1"/>
                <w:sz w:val="20"/>
                <w:szCs w:val="20"/>
              </w:rPr>
            </w:pPr>
            <w:r w:rsidDel="00000000" w:rsidR="00000000" w:rsidRPr="00000000">
              <w:rPr>
                <w:b w:val="1"/>
                <w:bCs w:val="1"/>
                <w:sz w:val="20"/>
                <w:szCs w:val="20"/>
                <w:rtl w:val="0"/>
              </w:rPr>
              <w:t xml:space="preserve">-7.59E-02</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2">
            <w:pPr>
              <w:widowControl w:val="0"/>
              <w:jc w:val="center"/>
              <w:rPr>
                <w:b w:val="1"/>
                <w:bCs w:val="1"/>
                <w:sz w:val="20"/>
                <w:szCs w:val="20"/>
              </w:rPr>
            </w:pPr>
            <w:r w:rsidDel="00000000" w:rsidR="00000000" w:rsidRPr="00000000">
              <w:rPr>
                <w:b w:val="1"/>
                <w:bCs w:val="1"/>
                <w:sz w:val="20"/>
                <w:szCs w:val="20"/>
                <w:rtl w:val="0"/>
              </w:rPr>
              <w:t xml:space="preserve">-3.88E-01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3">
            <w:pPr>
              <w:widowControl w:val="0"/>
              <w:jc w:val="center"/>
              <w:rPr>
                <w:b w:val="1"/>
                <w:bCs w:val="1"/>
                <w:sz w:val="20"/>
                <w:szCs w:val="20"/>
              </w:rPr>
            </w:pPr>
            <w:r w:rsidDel="00000000" w:rsidR="00000000" w:rsidRPr="00000000">
              <w:rPr>
                <w:b w:val="1"/>
                <w:bCs w:val="1"/>
                <w:sz w:val="20"/>
                <w:szCs w:val="20"/>
                <w:rtl w:val="0"/>
              </w:rPr>
              <w:t xml:space="preserve">8.30E-02</w:t>
            </w:r>
          </w:p>
        </w:tc>
      </w:tr>
    </w:tbl>
    <w:p w:rsidR="00000000" w:rsidDel="00000000" w:rsidP="00000000" w:rsidRDefault="00000000" w:rsidRPr="00000000" w14:paraId="000001A4">
      <w:pPr>
        <w:jc w:val="center"/>
        <w:rPr>
          <w:sz w:val="22"/>
          <w:szCs w:val="22"/>
        </w:rPr>
      </w:pPr>
      <w:r w:rsidDel="00000000" w:rsidR="00000000" w:rsidRPr="00000000">
        <w:rPr>
          <w:sz w:val="22"/>
          <w:szCs w:val="22"/>
          <w:rtl w:val="0"/>
        </w:rPr>
        <w:t xml:space="preserve">Table 8. Portfolio of Japan (2022)</w:t>
      </w:r>
    </w:p>
    <w:p w:rsidR="00000000" w:rsidDel="00000000" w:rsidP="00000000" w:rsidRDefault="00000000" w:rsidRPr="00000000" w14:paraId="000001A5">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A6">
      <w:pPr>
        <w:spacing w:line="276" w:lineRule="auto"/>
        <w:jc w:val="both"/>
        <w:rPr/>
      </w:pPr>
      <w:r w:rsidDel="00000000" w:rsidR="00000000" w:rsidRPr="00000000">
        <w:rPr>
          <w:rtl w:val="0"/>
        </w:rPr>
        <w:t xml:space="preserve">In the following section, our broad aim is to understand how sensitive Japan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A7">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A8">
      <w:pPr>
        <w:spacing w:after="240" w:before="240" w:line="276" w:lineRule="auto"/>
        <w:jc w:val="both"/>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A9">
      <w:pPr>
        <w:jc w:val="both"/>
        <w:rPr>
          <w:b w:val="1"/>
          <w:bCs w:val="1"/>
        </w:rPr>
      </w:pPr>
      <w:r w:rsidDel="00000000" w:rsidR="00000000" w:rsidRPr="00000000">
        <w:rPr>
          <w:b w:val="1"/>
          <w:bCs w:val="1"/>
        </w:rPr>
        <w:drawing>
          <wp:inline distB="114300" distT="114300" distL="114300" distR="114300">
            <wp:extent cx="5310188" cy="2519630"/>
            <wp:effectExtent b="0" l="0" r="0" t="0"/>
            <wp:docPr id="6" name="image11.jpg"/>
            <a:graphic>
              <a:graphicData uri="http://schemas.openxmlformats.org/drawingml/2006/picture">
                <pic:pic>
                  <pic:nvPicPr>
                    <pic:cNvPr id="0" name="image11.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AB">
      <w:pPr>
        <w:spacing w:after="240" w:before="240" w:line="276" w:lineRule="auto"/>
        <w:jc w:val="both"/>
        <w:rPr/>
      </w:pPr>
      <w:r w:rsidDel="00000000" w:rsidR="00000000" w:rsidRPr="00000000">
        <w:rPr>
          <w:rtl w:val="0"/>
        </w:rPr>
      </w:r>
    </w:p>
    <w:p w:rsidR="00000000" w:rsidDel="00000000" w:rsidP="00000000" w:rsidRDefault="00000000" w:rsidRPr="00000000" w14:paraId="000001AC">
      <w:pPr>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A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E">
      <w:pPr>
        <w:pageBreakBefore w:val="0"/>
        <w:jc w:val="both"/>
        <w:rPr>
          <w:b w:val="1"/>
          <w:bCs w:val="1"/>
        </w:rPr>
      </w:pPr>
      <w:r w:rsidDel="00000000" w:rsidR="00000000" w:rsidRPr="00000000">
        <w:rPr>
          <w:b w:val="1"/>
          <w:bCs w:val="1"/>
          <w:rtl w:val="0"/>
        </w:rPr>
        <w:t xml:space="preserve">4.4 Sensitivity Analysis Results and Interpretation</w:t>
      </w:r>
    </w:p>
    <w:p w:rsidR="00000000" w:rsidDel="00000000" w:rsidP="00000000" w:rsidRDefault="00000000" w:rsidRPr="00000000" w14:paraId="000001AF">
      <w:pPr>
        <w:pageBreakBefore w:val="0"/>
        <w:jc w:val="both"/>
        <w:rPr/>
      </w:pPr>
      <w:r w:rsidDel="00000000" w:rsidR="00000000" w:rsidRPr="00000000">
        <w:rPr>
          <w:rtl w:val="0"/>
        </w:rPr>
        <w:t xml:space="preserve">We examine Japan's ECI Decremental and Incremental Sensitivity Charts for 2022. An increase in Precious Stones and Textile will lead to the highest change in ECI. The significance of Precious Stones and </w:t>
      </w:r>
      <w:r w:rsidDel="00000000" w:rsidR="00000000" w:rsidRPr="00000000">
        <w:rPr>
          <w:rtl w:val="0"/>
        </w:rPr>
        <w:t xml:space="preserve">Textile</w:t>
      </w:r>
      <w:r w:rsidDel="00000000" w:rsidR="00000000" w:rsidRPr="00000000">
        <w:rPr>
          <w:rtl w:val="0"/>
        </w:rPr>
        <w:t xml:space="preserve"> not captured in the greedy algorithm, suggests that they are also critical to increasing ECI and consequently developing Japan’s economy. The moderate sensitivity effect of manipulating the Vegetables, Fruits and Plants and Clothing and Accessories categories are inconsistent with the previous analysis. For the negative shock cases, the Weapons industry </w:t>
      </w:r>
      <w:r w:rsidDel="00000000" w:rsidR="00000000" w:rsidRPr="00000000">
        <w:rPr>
          <w:rtl w:val="0"/>
        </w:rPr>
        <w:t xml:space="preserve">is the</w:t>
      </w:r>
      <w:r w:rsidDel="00000000" w:rsidR="00000000" w:rsidRPr="00000000">
        <w:rPr>
          <w:rtl w:val="0"/>
        </w:rPr>
        <w:t xml:space="preserve"> most important, followed by Metals and High-complexity Products. The rest of the industries do not appear to have the same level of sensitivity. This suggests that in economic downturns, Japan should invest in Weapons to avoid additional decreases in ECI.</w:t>
      </w:r>
      <w:r w:rsidDel="00000000" w:rsidR="00000000" w:rsidRPr="00000000">
        <w:rPr>
          <w:rtl w:val="0"/>
        </w:rPr>
      </w:r>
    </w:p>
    <w:p w:rsidR="00000000" w:rsidDel="00000000" w:rsidP="00000000" w:rsidRDefault="00000000" w:rsidRPr="00000000" w14:paraId="000001B0">
      <w:pPr>
        <w:pageBreakBefore w:val="0"/>
        <w:jc w:val="both"/>
        <w:rPr/>
      </w:pPr>
      <w:r w:rsidDel="00000000" w:rsidR="00000000" w:rsidRPr="00000000">
        <w:rPr>
          <w:rtl w:val="0"/>
        </w:rPr>
      </w:r>
    </w:p>
    <w:p w:rsidR="00000000" w:rsidDel="00000000" w:rsidP="00000000" w:rsidRDefault="00000000" w:rsidRPr="00000000" w14:paraId="000001B1">
      <w:pPr>
        <w:pageBreakBefore w:val="0"/>
        <w:jc w:val="both"/>
        <w:rPr/>
      </w:pPr>
      <w:r w:rsidDel="00000000" w:rsidR="00000000" w:rsidRPr="00000000">
        <w:rPr/>
        <w:drawing>
          <wp:inline distB="114300" distT="114300" distL="114300" distR="114300">
            <wp:extent cx="5731200" cy="4089400"/>
            <wp:effectExtent b="0" l="0" r="0" t="0"/>
            <wp:docPr id="14" name="image10.png"/>
            <a:graphic>
              <a:graphicData uri="http://schemas.openxmlformats.org/drawingml/2006/picture">
                <pic:pic>
                  <pic:nvPicPr>
                    <pic:cNvPr id="0" name="image10.png"/>
                    <pic:cNvPicPr preferRelativeResize="0"/>
                  </pic:nvPicPr>
                  <pic:blipFill>
                    <a:blip r:embed="rId18"/>
                    <a:srcRect b="53" l="0" r="0" t="53"/>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Japan (2022)</w:t>
      </w:r>
    </w:p>
    <w:p w:rsidR="00000000" w:rsidDel="00000000" w:rsidP="00000000" w:rsidRDefault="00000000" w:rsidRPr="00000000" w14:paraId="000001B3">
      <w:pPr>
        <w:jc w:val="center"/>
        <w:rPr>
          <w:sz w:val="22"/>
          <w:szCs w:val="22"/>
        </w:rPr>
      </w:pPr>
      <w:r w:rsidDel="00000000" w:rsidR="00000000" w:rsidRPr="00000000">
        <w:rPr>
          <w:sz w:val="22"/>
          <w:szCs w:val="22"/>
        </w:rPr>
        <w:drawing>
          <wp:inline distB="114300" distT="114300" distL="114300" distR="114300">
            <wp:extent cx="5731200" cy="4089400"/>
            <wp:effectExtent b="0" l="0" r="0" t="0"/>
            <wp:docPr id="4" name="image14.png"/>
            <a:graphic>
              <a:graphicData uri="http://schemas.openxmlformats.org/drawingml/2006/picture">
                <pic:pic>
                  <pic:nvPicPr>
                    <pic:cNvPr id="0" name="image14.png"/>
                    <pic:cNvPicPr preferRelativeResize="0"/>
                  </pic:nvPicPr>
                  <pic:blipFill>
                    <a:blip r:embed="rId19"/>
                    <a:srcRect b="53" l="0" r="0" t="53"/>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pPr>
      <w:r w:rsidDel="00000000" w:rsidR="00000000" w:rsidRPr="00000000">
        <w:rPr>
          <w:sz w:val="22"/>
          <w:szCs w:val="22"/>
          <w:rtl w:val="0"/>
        </w:rPr>
        <w:t xml:space="preserve">Figure 6b. Incremental ECI Sensitivity for Japan (2022)</w:t>
      </w: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jc w:val="both"/>
        <w:rPr>
          <w:b w:val="1"/>
          <w:bCs w:val="1"/>
        </w:rPr>
      </w:pPr>
      <w:r w:rsidDel="00000000" w:rsidR="00000000" w:rsidRPr="00000000">
        <w:rPr>
          <w:rtl w:val="0"/>
        </w:rPr>
      </w:r>
    </w:p>
    <w:p w:rsidR="00000000" w:rsidDel="00000000" w:rsidP="00000000" w:rsidRDefault="00000000" w:rsidRPr="00000000" w14:paraId="000001C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E">
      <w:pPr>
        <w:pageBreakBefore w:val="0"/>
        <w:jc w:val="both"/>
        <w:rPr>
          <w:b w:val="1"/>
          <w:bCs w:val="1"/>
        </w:rPr>
      </w:pPr>
      <w:r w:rsidDel="00000000" w:rsidR="00000000" w:rsidRPr="00000000">
        <w:rPr>
          <w:rtl w:val="0"/>
        </w:rPr>
      </w:r>
    </w:p>
    <w:p w:rsidR="00000000" w:rsidDel="00000000" w:rsidP="00000000" w:rsidRDefault="00000000" w:rsidRPr="00000000" w14:paraId="000001C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D0">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D1">
      <w:pPr>
        <w:pageBreakBefore w:val="0"/>
        <w:jc w:val="both"/>
        <w:rPr/>
      </w:pPr>
      <w:r w:rsidDel="00000000" w:rsidR="00000000" w:rsidRPr="00000000">
        <w:rPr>
          <w:rtl w:val="0"/>
        </w:rPr>
      </w:r>
    </w:p>
    <w:p w:rsidR="00000000" w:rsidDel="00000000" w:rsidP="00000000" w:rsidRDefault="00000000" w:rsidRPr="00000000" w14:paraId="000001D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D3">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D4">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6">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7">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8">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9">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A">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B">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DC">
      <w:pPr>
        <w:pageBreakBefore w:val="0"/>
        <w:jc w:val="left"/>
        <w:rPr/>
      </w:pPr>
      <w:r w:rsidDel="00000000" w:rsidR="00000000" w:rsidRPr="00000000">
        <w:rPr>
          <w:rtl w:val="0"/>
        </w:rPr>
      </w:r>
    </w:p>
    <w:p w:rsidR="00000000" w:rsidDel="00000000" w:rsidP="00000000" w:rsidRDefault="00000000" w:rsidRPr="00000000" w14:paraId="000001DD">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both"/>
        <w:rPr>
          <w:b w:val="1"/>
          <w:bCs w:val="1"/>
        </w:rPr>
      </w:pPr>
      <w:r w:rsidDel="00000000" w:rsidR="00000000" w:rsidRPr="00000000">
        <w:rPr>
          <w:b w:val="1"/>
          <w:bCs w:val="1"/>
          <w:rtl w:val="0"/>
        </w:rPr>
        <w:t xml:space="preserve">5.2 SOI of Japan and Its Implications</w:t>
      </w:r>
    </w:p>
    <w:p w:rsidR="00000000" w:rsidDel="00000000" w:rsidP="00000000" w:rsidRDefault="00000000" w:rsidRPr="00000000" w14:paraId="000001E0">
      <w:pPr>
        <w:pageBreakBefore w:val="0"/>
        <w:jc w:val="both"/>
        <w:rPr/>
      </w:pPr>
      <w:r w:rsidDel="00000000" w:rsidR="00000000" w:rsidRPr="00000000">
        <w:rPr>
          <w:rtl w:val="0"/>
        </w:rPr>
        <w:t xml:space="preserve">During the examined period, Japan, for instance, had a low level of structural optimality as compared with its developed peers. As the regression in Figure 10 suggests (the red curve represents export increase and the blue curve stands for opportunity gain of the corresponding industry), Japan demonstrates a low level of correlation with the suggested developmental path, having an adjusted R-square of around 8.0%. </w:t>
      </w:r>
    </w:p>
    <w:p w:rsidR="00000000" w:rsidDel="00000000" w:rsidP="00000000" w:rsidRDefault="00000000" w:rsidRPr="00000000" w14:paraId="000001E1">
      <w:pPr>
        <w:pageBreakBefore w:val="0"/>
        <w:jc w:val="both"/>
        <w:rPr/>
      </w:pPr>
      <w:r w:rsidDel="00000000" w:rsidR="00000000" w:rsidRPr="00000000">
        <w:rPr>
          <w:rtl w:val="0"/>
        </w:rPr>
      </w:r>
    </w:p>
    <w:p w:rsidR="00000000" w:rsidDel="00000000" w:rsidP="00000000" w:rsidRDefault="00000000" w:rsidRPr="00000000" w14:paraId="000001E2">
      <w:pPr>
        <w:pageBreakBefore w:val="0"/>
        <w:jc w:val="both"/>
        <w:rPr/>
      </w:pPr>
      <w:r w:rsidDel="00000000" w:rsidR="00000000" w:rsidRPr="00000000">
        <w:rPr>
          <w:rtl w:val="0"/>
        </w:rPr>
        <w:t xml:space="preserve">Japan ranks in the middle among all countries in terms of SOI and has made a negative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-27.25%, which is consistent with the regression result in Figure 4b. Specifically, Japan's slow economic progress from 2019-2022 can be at least partially explained by a development strategy that demonstrates a considerable but not perfect level of matches with our suggested developmental path. In specific, Japan invested heavily in the Machinery and Construction, Chemical Manufacturing and Chemicals industry, while it should have focused more on industry groups such as Energy Drilling and Mining, Weapons and Services and Utilities.</w:t>
      </w: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r>
    </w:p>
    <w:p w:rsidR="00000000" w:rsidDel="00000000" w:rsidP="00000000" w:rsidRDefault="00000000" w:rsidRPr="00000000" w14:paraId="000001E4">
      <w:pPr>
        <w:pageBreakBefore w:val="0"/>
        <w:jc w:val="both"/>
        <w:rPr/>
      </w:pPr>
      <w:r w:rsidDel="00000000" w:rsidR="00000000" w:rsidRPr="00000000">
        <w:rPr/>
        <w:drawing>
          <wp:inline distB="114300" distT="114300" distL="114300" distR="114300">
            <wp:extent cx="5731200" cy="2298700"/>
            <wp:effectExtent b="0" l="0" r="0" t="0"/>
            <wp:docPr id="3" name="image5.png"/>
            <a:graphic>
              <a:graphicData uri="http://schemas.openxmlformats.org/drawingml/2006/picture">
                <pic:pic>
                  <pic:nvPicPr>
                    <pic:cNvPr id="0" name="image5.png"/>
                    <pic:cNvPicPr preferRelativeResize="0"/>
                  </pic:nvPicPr>
                  <pic:blipFill>
                    <a:blip r:embed="rId21"/>
                    <a:srcRect b="0" l="135" r="135"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center"/>
        <w:rPr>
          <w:sz w:val="22"/>
          <w:szCs w:val="22"/>
        </w:rPr>
      </w:pPr>
      <w:r w:rsidDel="00000000" w:rsidR="00000000" w:rsidRPr="00000000">
        <w:rPr>
          <w:sz w:val="22"/>
          <w:szCs w:val="22"/>
          <w:rtl w:val="0"/>
        </w:rPr>
        <w:t xml:space="preserve">Figure 10. SOI of Japan (2019-2022)</w:t>
      </w:r>
    </w:p>
    <w:p w:rsidR="00000000" w:rsidDel="00000000" w:rsidP="00000000" w:rsidRDefault="00000000" w:rsidRPr="00000000" w14:paraId="000001E6">
      <w:pPr>
        <w:jc w:val="center"/>
        <w:rPr>
          <w:sz w:val="22"/>
          <w:szCs w:val="22"/>
        </w:rPr>
      </w:pPr>
      <w:r w:rsidDel="00000000" w:rsidR="00000000" w:rsidRPr="00000000">
        <w:rPr>
          <w:rtl w:val="0"/>
        </w:rPr>
      </w:r>
    </w:p>
    <w:p w:rsidR="00000000" w:rsidDel="00000000" w:rsidP="00000000" w:rsidRDefault="00000000" w:rsidRPr="00000000" w14:paraId="000001E7">
      <w:pPr>
        <w:jc w:val="center"/>
        <w:rPr>
          <w:sz w:val="22"/>
          <w:szCs w:val="22"/>
        </w:rPr>
      </w:pPr>
      <w:r w:rsidDel="00000000" w:rsidR="00000000" w:rsidRPr="00000000">
        <w:rPr>
          <w:rtl w:val="0"/>
        </w:rPr>
      </w:r>
    </w:p>
    <w:p w:rsidR="00000000" w:rsidDel="00000000" w:rsidP="00000000" w:rsidRDefault="00000000" w:rsidRPr="00000000" w14:paraId="000001E8">
      <w:pPr>
        <w:pageBreakBefore w:val="0"/>
        <w:jc w:val="both"/>
        <w:rPr>
          <w:b w:val="1"/>
          <w:bCs w:val="1"/>
        </w:rPr>
      </w:pPr>
      <w:r w:rsidDel="00000000" w:rsidR="00000000" w:rsidRPr="00000000">
        <w:rPr>
          <w:rtl w:val="0"/>
        </w:rPr>
      </w:r>
    </w:p>
    <w:p w:rsidR="00000000" w:rsidDel="00000000" w:rsidP="00000000" w:rsidRDefault="00000000" w:rsidRPr="00000000" w14:paraId="000001E9">
      <w:pPr>
        <w:pageBreakBefore w:val="0"/>
        <w:jc w:val="both"/>
        <w:rPr>
          <w:b w:val="1"/>
          <w:bCs w:val="1"/>
        </w:rPr>
      </w:pPr>
      <w:r w:rsidDel="00000000" w:rsidR="00000000" w:rsidRPr="00000000">
        <w:rPr>
          <w:rtl w:val="0"/>
        </w:rPr>
      </w:r>
    </w:p>
    <w:p w:rsidR="00000000" w:rsidDel="00000000" w:rsidP="00000000" w:rsidRDefault="00000000" w:rsidRPr="00000000" w14:paraId="000001E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E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t xml:space="preserve">In conclusion, Japan has demonstrated a low level of economic growth in terms of annual GDP increase during the period from 2019 to 2022, concurrent with a decrease in economic complexity as compared with other emerging major developed economies. </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t xml:space="preserve">We believe that the mixed progress during this period can be partially explained through the analysis of the economic and product complexity structure of Japan on the industry group level. The product classification system we adopt allows us to measure the realized industry development for various industry groups and to observe that Japan regressed in developing most of its industries during the period. Despite exceeding Burkina Faso and Nigeria in its average annual GDP, Japan’s average annual GDP is much lower than that of Ethiopia, which indicates that there is further potential to target specific industries.</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t xml:space="preserve">Based on our analysis of the opportunity gain and sensitivity analysis of major industry groups for 2019-2022, Japan can further its gains by prioritizing Precious Stones, Textile, and Energy Drilling and Mining. We further note that Japan has a slightly mismatched development strategy that indicates a low level (compared to other developed countries) of structural optimality on the complexity level, having an adjusted R-square of around 8.0%. Since a low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We infer that during the  COVID-19 period, Japan focused on developing lower complexity industries, in line with lower demand for these industries given the global economic downturn. With the revised focus, Japan has further potential to advance its economic growth to maintain its position among other countries to post-pandemic recovery.</w:t>
      </w:r>
      <w:r w:rsidDel="00000000" w:rsidR="00000000" w:rsidRPr="00000000">
        <w:rPr>
          <w:rtl w:val="0"/>
        </w:rPr>
      </w:r>
    </w:p>
    <w:p w:rsidR="00000000" w:rsidDel="00000000" w:rsidP="00000000" w:rsidRDefault="00000000" w:rsidRPr="00000000" w14:paraId="000001F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F5">
      <w:pPr>
        <w:pageBreakBefore w:val="0"/>
        <w:jc w:val="both"/>
        <w:rPr/>
      </w:pPr>
      <w:r w:rsidDel="00000000" w:rsidR="00000000" w:rsidRPr="00000000">
        <w:rPr>
          <w:rtl w:val="0"/>
        </w:rPr>
      </w:r>
    </w:p>
    <w:p w:rsidR="00000000" w:rsidDel="00000000" w:rsidP="00000000" w:rsidRDefault="00000000" w:rsidRPr="00000000" w14:paraId="000001F6">
      <w:pPr>
        <w:pageBreakBefore w:val="0"/>
        <w:jc w:val="both"/>
        <w:rPr/>
      </w:pPr>
      <w:r w:rsidDel="00000000" w:rsidR="00000000" w:rsidRPr="00000000">
        <w:rPr>
          <w:rtl w:val="0"/>
        </w:rPr>
      </w:r>
    </w:p>
    <w:p w:rsidR="00000000" w:rsidDel="00000000" w:rsidP="00000000" w:rsidRDefault="00000000" w:rsidRPr="00000000" w14:paraId="000001F7">
      <w:pPr>
        <w:pageBreakBefore w:val="0"/>
        <w:jc w:val="both"/>
        <w:rPr/>
      </w:pPr>
      <w:r w:rsidDel="00000000" w:rsidR="00000000" w:rsidRPr="00000000">
        <w:rPr>
          <w:rtl w:val="0"/>
        </w:rPr>
      </w:r>
    </w:p>
    <w:p w:rsidR="00000000" w:rsidDel="00000000" w:rsidP="00000000" w:rsidRDefault="00000000" w:rsidRPr="00000000" w14:paraId="000001F8">
      <w:pPr>
        <w:pageBreakBefore w:val="0"/>
        <w:jc w:val="both"/>
        <w:rPr/>
      </w:pPr>
      <w:r w:rsidDel="00000000" w:rsidR="00000000" w:rsidRPr="00000000">
        <w:rPr>
          <w:rtl w:val="0"/>
        </w:rPr>
      </w:r>
    </w:p>
    <w:p w:rsidR="00000000" w:rsidDel="00000000" w:rsidP="00000000" w:rsidRDefault="00000000" w:rsidRPr="00000000" w14:paraId="000001F9">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F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F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FF">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0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0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05">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0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0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0B">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eader" Target="header1.xml"/><Relationship Id="rId21" Type="http://schemas.openxmlformats.org/officeDocument/2006/relationships/image" Target="media/image5.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7.png"/><Relationship Id="rId11" Type="http://schemas.openxmlformats.org/officeDocument/2006/relationships/image" Target="media/image13.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jp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1.jp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