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6" name="image9.png"/>
            <a:graphic>
              <a:graphicData uri="http://schemas.openxmlformats.org/drawingml/2006/picture">
                <pic:pic>
                  <pic:nvPicPr>
                    <pic:cNvPr descr="horizontal line" id="0" name="image9.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22.png"/>
            <a:graphic>
              <a:graphicData uri="http://schemas.openxmlformats.org/drawingml/2006/picture">
                <pic:pic>
                  <pic:nvPicPr>
                    <pic:cNvPr id="0" name="image22.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Malaysia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Malaysia</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Malaysia</w:t>
      </w:r>
      <w:r w:rsidDel="00000000" w:rsidR="00000000" w:rsidRPr="00000000">
        <w:rPr>
          <w:rtl w:val="0"/>
        </w:rPr>
        <w:t xml:space="preserve"> went through during the period from 2009 to 2014, and 2019 to 2022. Specifically, we dive into the topic through a macroeconomic overview of </w:t>
      </w:r>
      <w:r w:rsidDel="00000000" w:rsidR="00000000" w:rsidRPr="00000000">
        <w:rPr>
          <w:rtl w:val="0"/>
        </w:rPr>
        <w:t xml:space="preserve">Malaysia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Malaysia</w:t>
      </w:r>
      <w:r w:rsidDel="00000000" w:rsidR="00000000" w:rsidRPr="00000000">
        <w:rPr>
          <w:rtl w:val="0"/>
        </w:rPr>
        <w:t xml:space="preserve"> demonstrated a high level of economic growth with an average annual GDP growth rate of 10.8% between 2009 and 2014 and 6.51% between 2019 and 2022, with a similar economic complexity compared to other major 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w:t>
      </w:r>
      <w:r w:rsidDel="00000000" w:rsidR="00000000" w:rsidRPr="00000000">
        <w:rPr>
          <w:rtl w:val="0"/>
        </w:rPr>
        <w:t xml:space="preserve">Malaysia</w:t>
      </w:r>
      <w:r w:rsidDel="00000000" w:rsidR="00000000" w:rsidRPr="00000000">
        <w:rPr>
          <w:rtl w:val="0"/>
        </w:rPr>
        <w:t xml:space="preserve"> on the industry group level, as well as the declining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Malaysia</w:t>
      </w:r>
      <w:r w:rsidDel="00000000" w:rsidR="00000000" w:rsidRPr="00000000">
        <w:rPr>
          <w:rtl w:val="0"/>
        </w:rPr>
        <w:t xml:space="preserve"> regressed in developing most of its industries during the period while its emerging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there was no immediate need of reform in 2014 because no industry had a positive opportunity. In 2022, its focus should have shifted to the Services and Utilities industry, which is also one of the more developed industries at the time. We further note that </w:t>
      </w:r>
      <w:r w:rsidDel="00000000" w:rsidR="00000000" w:rsidRPr="00000000">
        <w:rPr>
          <w:rtl w:val="0"/>
        </w:rPr>
        <w:t xml:space="preserve">Malaysia</w:t>
      </w:r>
      <w:r w:rsidDel="00000000" w:rsidR="00000000" w:rsidRPr="00000000">
        <w:rPr>
          <w:rtl w:val="0"/>
        </w:rPr>
        <w:t xml:space="preserve"> has a slightly mismatched development strategy that indicates a higher level (compared to other emerging countries) of structural optimality on the complexity level, having an adjusted R-square of around 0.108 in 2014 and a much higher score of 0.170 in 2022, demonstrating improvement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Malaysia</w:t>
      </w:r>
      <w:r w:rsidDel="00000000" w:rsidR="00000000" w:rsidRPr="00000000">
        <w:rPr>
          <w:rtl w:val="0"/>
        </w:rPr>
        <w:t xml:space="preserve"> indeed has a positive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years between 2019 and 2022 showed a significant improvement in </w:t>
      </w:r>
      <w:r w:rsidDel="00000000" w:rsidR="00000000" w:rsidRPr="00000000">
        <w:rPr>
          <w:rtl w:val="0"/>
        </w:rPr>
        <w:t xml:space="preserve">Malaysia</w:t>
      </w:r>
      <w:r w:rsidDel="00000000" w:rsidR="00000000" w:rsidRPr="00000000">
        <w:rPr>
          <w:rtl w:val="0"/>
        </w:rPr>
        <w:t xml:space="preserve">'s economic growth, boosting its position on the global scale. Its GDP recovered to above the pre-pandemic levels while ECI decreased,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Malaysia</w:t>
      </w:r>
      <w:r w:rsidDel="00000000" w:rsidR="00000000" w:rsidRPr="00000000">
        <w:rPr>
          <w:rtl w:val="0"/>
        </w:rPr>
        <w:t xml:space="preserve"> went through during the period from 2019 to 2022, before and after the COVID pandemic, compared to its performance from 2009 and 2014, before and after the Economic Transformation Programme. Specifically, we dive into the topic through a macroeconomic overview of </w:t>
      </w:r>
      <w:r w:rsidDel="00000000" w:rsidR="00000000" w:rsidRPr="00000000">
        <w:rPr>
          <w:rtl w:val="0"/>
        </w:rPr>
        <w:t xml:space="preserve">Malaysia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Malaysia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Malaysia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Malaysia</w:t>
      </w:r>
      <w:r w:rsidDel="00000000" w:rsidR="00000000" w:rsidRPr="00000000">
        <w:rPr>
          <w:rtl w:val="0"/>
        </w:rPr>
        <w:t xml:space="preserve"> and its peer countries from 2009 to 2014. The annual growth rate of 10.8% exceeds the annual growth rate of the other five leading emerging economies, which have a geometric average growth rate of 9.2% and an arithmetic average growth rate of 9.5%. When compared to more developed economies globally, the annual growth rate of 10.8% becomes even more impressive, particularly considering that countries like the USA saw an annual GDP increase of only around 3.9% during the same period. We believe that this rapid economic growth is reflected in the changes in both the Economic Complexity Index (ECI) and the Product Complexity Index (PCI), and can be further explained by the strategic production decisions made by Malaysia between 2009 and 2014.</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Malaysia</w:t>
      </w:r>
      <w:r w:rsidDel="00000000" w:rsidR="00000000" w:rsidRPr="00000000">
        <w:rPr>
          <w:rtl w:val="0"/>
        </w:rPr>
        <w:t xml:space="preserve"> and its peer countries (India, Mexico, and China) from 2019 to 2022. Similar to the other countries, </w:t>
      </w:r>
      <w:r w:rsidDel="00000000" w:rsidR="00000000" w:rsidRPr="00000000">
        <w:rPr>
          <w:rtl w:val="0"/>
        </w:rPr>
        <w:t xml:space="preserve">Malaysia</w:t>
      </w:r>
      <w:r w:rsidDel="00000000" w:rsidR="00000000" w:rsidRPr="00000000">
        <w:rPr>
          <w:rtl w:val="0"/>
        </w:rPr>
        <w:t xml:space="preserve"> displayed a drop in GDP from 2019 to 2020 because of the pandemic, with all GDPs rebounding in 2022. Over these three years, </w:t>
      </w:r>
      <w:r w:rsidDel="00000000" w:rsidR="00000000" w:rsidRPr="00000000">
        <w:rPr>
          <w:rtl w:val="0"/>
        </w:rPr>
        <w:t xml:space="preserve">Malaysia</w:t>
      </w:r>
      <w:r w:rsidDel="00000000" w:rsidR="00000000" w:rsidRPr="00000000">
        <w:rPr>
          <w:rtl w:val="0"/>
        </w:rPr>
        <w:t xml:space="preserve">’s average annual GDP growth rate (6.51%) is low, less than India’s (8.53%), Mexico’s (9.18%), and China’s (7.4%). </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rPr>
          <w:i w:val="1"/>
          <w:iCs w:val="1"/>
          <w:color w:val="444499"/>
          <w:sz w:val="20"/>
          <w:szCs w:val="20"/>
        </w:rPr>
      </w:pPr>
      <w:r w:rsidDel="00000000" w:rsidR="00000000" w:rsidRPr="00000000">
        <w:rPr/>
        <w:drawing>
          <wp:inline distB="0" distT="0" distL="0" distR="0">
            <wp:extent cx="3586163" cy="1459752"/>
            <wp:effectExtent b="0" l="0" r="0" t="0"/>
            <wp:docPr descr="../../../../Screen%20Shot%202019-01-31%20at%2011.46.55%20AM." id="3" name="image11.png"/>
            <a:graphic>
              <a:graphicData uri="http://schemas.openxmlformats.org/drawingml/2006/picture">
                <pic:pic>
                  <pic:nvPicPr>
                    <pic:cNvPr descr="../../../../Screen%20Shot%202019-01-31%20at%2011.46.55%20AM." id="0" name="image11.png"/>
                    <pic:cNvPicPr preferRelativeResize="0"/>
                  </pic:nvPicPr>
                  <pic:blipFill>
                    <a:blip r:embed="rId8"/>
                    <a:srcRect b="0" l="0" r="0" t="0"/>
                    <a:stretch>
                      <a:fillRect/>
                    </a:stretch>
                  </pic:blipFill>
                  <pic:spPr>
                    <a:xfrm>
                      <a:off x="0" y="0"/>
                      <a:ext cx="3586163" cy="1459752"/>
                    </a:xfrm>
                    <a:prstGeom prst="rect"/>
                    <a:ln/>
                  </pic:spPr>
                </pic:pic>
              </a:graphicData>
            </a:graphic>
          </wp:inline>
        </w:drawing>
      </w:r>
      <w:r w:rsidDel="00000000" w:rsidR="00000000" w:rsidRPr="00000000">
        <w:rPr/>
        <w:drawing>
          <wp:inline distB="114300" distT="114300" distL="114300" distR="114300">
            <wp:extent cx="2014538" cy="1510903"/>
            <wp:effectExtent b="0" l="0" r="0" t="0"/>
            <wp:docPr id="1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014538" cy="151090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Figures 1a and 1b. GDP Comparison Among Peer Countries (left: 1996-2016; right: 2019-2022)</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Malaysia</w:t>
      </w:r>
      <w:r w:rsidDel="00000000" w:rsidR="00000000" w:rsidRPr="00000000">
        <w:rPr>
          <w:rtl w:val="0"/>
        </w:rPr>
        <w:t xml:space="preserve"> exhibits a noticeable increase in production capability from 2009 to 2014. This is in direct contrast to countries such as Brazil and Mexico, which demonstrate a disadvantage in both ECI growth rate and GDP growth rate. </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show similar changes</w:t>
      </w:r>
      <w:r w:rsidDel="00000000" w:rsidR="00000000" w:rsidRPr="00000000">
        <w:rPr>
          <w:rtl w:val="0"/>
        </w:rPr>
        <w:t xml:space="preserve"> in ECI level between 2019 and 2020, with small increases in after 2020.</w:t>
      </w:r>
      <w:r w:rsidDel="00000000" w:rsidR="00000000" w:rsidRPr="00000000">
        <w:rPr>
          <w:rtl w:val="0"/>
        </w:rPr>
        <w:t xml:space="preserve"> Malaysia</w:t>
      </w:r>
      <w:r w:rsidDel="00000000" w:rsidR="00000000" w:rsidRPr="00000000">
        <w:rPr>
          <w:rtl w:val="0"/>
        </w:rPr>
        <w:t xml:space="preserve"> exhibits a large decrease in production capability in 2020 due to the pandemic, and is still in the process of recovery. </w:t>
      </w:r>
      <w:r w:rsidDel="00000000" w:rsidR="00000000" w:rsidRPr="00000000">
        <w:rPr>
          <w:rtl w:val="0"/>
        </w:rPr>
        <w:t xml:space="preserve">Malaysia</w:t>
      </w:r>
      <w:r w:rsidDel="00000000" w:rsidR="00000000" w:rsidRPr="00000000">
        <w:rPr>
          <w:rtl w:val="0"/>
        </w:rPr>
        <w:t xml:space="preserve"> has seen a -166.2% increase in its ECI, which is greater than Mexico’s (-202.7%), but less than India’s (215.84%). </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left"/>
        <w:rPr/>
      </w:pPr>
      <w:r w:rsidDel="00000000" w:rsidR="00000000" w:rsidRPr="00000000">
        <w:rPr/>
        <w:drawing>
          <wp:inline distB="0" distT="0" distL="0" distR="0">
            <wp:extent cx="2738906" cy="1485608"/>
            <wp:effectExtent b="0" l="0" r="0" t="0"/>
            <wp:docPr descr="../../../../Screen%20Shot%202019-01-31%20at%2011.57.40%20AM." id="18" name="image15.png"/>
            <a:graphic>
              <a:graphicData uri="http://schemas.openxmlformats.org/drawingml/2006/picture">
                <pic:pic>
                  <pic:nvPicPr>
                    <pic:cNvPr descr="../../../../Screen%20Shot%202019-01-31%20at%2011.57.40%20AM." id="0" name="image15.png"/>
                    <pic:cNvPicPr preferRelativeResize="0"/>
                  </pic:nvPicPr>
                  <pic:blipFill>
                    <a:blip r:embed="rId10"/>
                    <a:srcRect b="0" l="0" r="0" t="0"/>
                    <a:stretch>
                      <a:fillRect/>
                    </a:stretch>
                  </pic:blipFill>
                  <pic:spPr>
                    <a:xfrm>
                      <a:off x="0" y="0"/>
                      <a:ext cx="2738906" cy="148560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05050" cy="1728788"/>
            <wp:effectExtent b="0" l="0" r="0" t="0"/>
            <wp:docPr id="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05050"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2009-2014; right: 2019-2022)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2009 to 2014 for </w:t>
      </w:r>
      <w:r w:rsidDel="00000000" w:rsidR="00000000" w:rsidRPr="00000000">
        <w:rPr>
          <w:rtl w:val="0"/>
        </w:rPr>
        <w:t xml:space="preserve">Malaysia</w:t>
      </w:r>
      <w:r w:rsidDel="00000000" w:rsidR="00000000" w:rsidRPr="00000000">
        <w:rPr>
          <w:rtl w:val="0"/>
        </w:rPr>
        <w:t xml:space="preserve">. </w:t>
      </w:r>
      <w:r w:rsidDel="00000000" w:rsidR="00000000" w:rsidRPr="00000000">
        <w:rPr>
          <w:rtl w:val="0"/>
        </w:rPr>
        <w:t xml:space="preserve">Similar to the GDP drop and further increase from 2009 to 2014 the GDP growth during the period from 2019 to 2022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Malaysia</w:t>
      </w:r>
      <w:r w:rsidDel="00000000" w:rsidR="00000000" w:rsidRPr="00000000">
        <w:rPr>
          <w:rtl w:val="0"/>
        </w:rPr>
        <w:t xml:space="preserve"> during the period from 2009 to 214 is consistent with the predictions by ECI and that </w:t>
      </w:r>
      <w:r w:rsidDel="00000000" w:rsidR="00000000" w:rsidRPr="00000000">
        <w:rPr>
          <w:rtl w:val="0"/>
        </w:rPr>
        <w:t xml:space="preserve">Malaysia</w:t>
      </w:r>
      <w:r w:rsidDel="00000000" w:rsidR="00000000" w:rsidRPr="00000000">
        <w:rPr>
          <w:rtl w:val="0"/>
        </w:rPr>
        <w:t xml:space="preserve"> made moderate progress towards effectively developing a competitive product space that helps to accumulate complicated knowledge and technology. </w:t>
      </w:r>
      <w:r w:rsidDel="00000000" w:rsidR="00000000" w:rsidRPr="00000000">
        <w:rPr>
          <w:rtl w:val="0"/>
        </w:rPr>
        <w:t xml:space="preserve">For the period 2020 to 2022,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Malaysia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b w:val="0"/>
          <w:bCs w:val="0"/>
          <w:i w:val="1"/>
          <w:iCs w:val="1"/>
          <w:color w:val="444499"/>
          <w:sz w:val="20"/>
          <w:szCs w:val="20"/>
        </w:rPr>
      </w:pPr>
      <w:r w:rsidDel="00000000" w:rsidR="00000000" w:rsidRPr="00000000">
        <w:rPr/>
        <w:drawing>
          <wp:inline distB="0" distT="0" distL="0" distR="0">
            <wp:extent cx="2963700" cy="1587338"/>
            <wp:effectExtent b="0" l="0" r="0" t="0"/>
            <wp:docPr descr="../../../../Screen%20Shot%202019-01-31%20at%201.48.21%20PM." id="15" name="image19.png"/>
            <a:graphic>
              <a:graphicData uri="http://schemas.openxmlformats.org/drawingml/2006/picture">
                <pic:pic>
                  <pic:nvPicPr>
                    <pic:cNvPr descr="../../../../Screen%20Shot%202019-01-31%20at%201.48.21%20PM." id="0" name="image19.png"/>
                    <pic:cNvPicPr preferRelativeResize="0"/>
                  </pic:nvPicPr>
                  <pic:blipFill>
                    <a:blip r:embed="rId12"/>
                    <a:srcRect b="0" l="0" r="0" t="0"/>
                    <a:stretch>
                      <a:fillRect/>
                    </a:stretch>
                  </pic:blipFill>
                  <pic:spPr>
                    <a:xfrm>
                      <a:off x="0" y="0"/>
                      <a:ext cx="2963700" cy="1587338"/>
                    </a:xfrm>
                    <a:prstGeom prst="rect"/>
                    <a:ln/>
                  </pic:spPr>
                </pic:pic>
              </a:graphicData>
            </a:graphic>
          </wp:inline>
        </w:drawing>
      </w:r>
      <w:r w:rsidDel="00000000" w:rsidR="00000000" w:rsidRPr="00000000">
        <w:rPr/>
        <w:drawing>
          <wp:inline distB="114300" distT="114300" distL="114300" distR="114300">
            <wp:extent cx="2531458" cy="1900238"/>
            <wp:effectExtent b="0" l="0" r="0" t="0"/>
            <wp:docPr id="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531458" cy="1900238"/>
                    </a:xfrm>
                    <a:prstGeom prst="rect"/>
                    <a:ln/>
                  </pic:spPr>
                </pic:pic>
              </a:graphicData>
            </a:graphic>
          </wp:inline>
        </w:drawing>
      </w: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Malaysia</w:t>
      </w:r>
      <w:r w:rsidDel="00000000" w:rsidR="00000000" w:rsidRPr="00000000">
        <w:rPr>
          <w:sz w:val="22"/>
          <w:szCs w:val="22"/>
          <w:rtl w:val="0"/>
        </w:rPr>
        <w:t xml:space="preserve"> (left: 2009-2014; right: 2020-2022)</w:t>
      </w: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pageBreakBefore w:val="0"/>
              <w:jc w:val="center"/>
              <w:rPr/>
            </w:pPr>
            <w:r w:rsidDel="00000000" w:rsidR="00000000" w:rsidRPr="00000000">
              <w:rPr>
                <w:rtl w:val="0"/>
              </w:rPr>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pageBreakBefore w:val="0"/>
              <w:jc w:val="center"/>
              <w:rPr/>
            </w:pPr>
            <w:r w:rsidDel="00000000" w:rsidR="00000000" w:rsidRPr="00000000">
              <w:rPr>
                <w:rtl w:val="0"/>
              </w:rPr>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pageBreakBefore w:val="0"/>
        <w:jc w:val="center"/>
        <w:rPr>
          <w:sz w:val="22"/>
          <w:szCs w:val="22"/>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Malaysia'</w:t>
      </w:r>
      <w:r w:rsidDel="00000000" w:rsidR="00000000" w:rsidRPr="00000000">
        <w:rPr>
          <w:rtl w:val="0"/>
        </w:rPr>
        <w:t xml:space="preserve">s realized industry production strategy between 2014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Malaysia</w:t>
      </w:r>
      <w:r w:rsidDel="00000000" w:rsidR="00000000" w:rsidRPr="00000000">
        <w:rPr>
          <w:rtl w:val="0"/>
        </w:rPr>
        <w:t xml:space="preserve"> and the 18 product groups in 2022 and 2014 through the difference, where a positive RID indicates a shortening of the distance (i.e., advancement of the industry), and a negative RID indicates the reverse. It is notable that the number of industries with positive RID has increased drastically between 2014 and 2022.</w:t>
      </w:r>
    </w:p>
    <w:p w:rsidR="00000000" w:rsidDel="00000000" w:rsidP="00000000" w:rsidRDefault="00000000" w:rsidRPr="00000000" w14:paraId="0000008D">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(2014)</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0.056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-0.033</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0.019</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-0.023</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0.037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-0.028</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-0.025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-0.044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0.063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-0.066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0.027</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-0.099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0.021</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-0.032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0.052</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-0.048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0.053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-0.107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0.032</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-0.043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0.06107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-0.088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-0.005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-0.024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-0.003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-0.077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0.062</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-0.114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0.006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-0.018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-0.001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-0.031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0.026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0.010</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0.029</w:t>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0.015</w:t>
            </w:r>
          </w:p>
        </w:tc>
      </w:tr>
    </w:tbl>
    <w:p w:rsidR="00000000" w:rsidDel="00000000" w:rsidP="00000000" w:rsidRDefault="00000000" w:rsidRPr="00000000" w14:paraId="000000C7">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Malaysia</w:t>
      </w:r>
      <w:r w:rsidDel="00000000" w:rsidR="00000000" w:rsidRPr="00000000">
        <w:rPr>
          <w:rtl w:val="0"/>
        </w:rPr>
      </w:r>
    </w:p>
    <w:p w:rsidR="00000000" w:rsidDel="00000000" w:rsidP="00000000" w:rsidRDefault="00000000" w:rsidRPr="00000000" w14:paraId="000000C8">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Malaysia</w:t>
      </w:r>
      <w:r w:rsidDel="00000000" w:rsidR="00000000" w:rsidRPr="00000000">
        <w:rPr>
          <w:rtl w:val="0"/>
        </w:rPr>
        <w:t xml:space="preserve"> compares with selected leading economies in the world across different years, as measured in RID. Leading economies such as Germany, France, and Canada gave a considerable level of attention to more advanced product groups such as High-complexity Products in 2018 and Transportation in 2022.</w:t>
      </w:r>
    </w:p>
    <w:p w:rsidR="00000000" w:rsidDel="00000000" w:rsidP="00000000" w:rsidRDefault="00000000" w:rsidRPr="00000000" w14:paraId="000000CA">
      <w:pPr>
        <w:tabs>
          <w:tab w:val="center" w:leader="none" w:pos="4680"/>
          <w:tab w:val="right" w:leader="none" w:pos="9360"/>
        </w:tabs>
        <w:jc w:val="center"/>
        <w:rPr/>
      </w:pPr>
      <w:r w:rsidDel="00000000" w:rsidR="00000000" w:rsidRPr="00000000">
        <w:rPr>
          <w:rtl w:val="0"/>
        </w:rPr>
      </w:r>
    </w:p>
    <w:tbl>
      <w:tblPr>
        <w:tblStyle w:val="Table5"/>
        <w:tblpPr w:leftFromText="180" w:rightFromText="180" w:topFromText="180" w:bottomFromText="180" w:vertAnchor="text" w:horzAnchor="text" w:tblpX="0" w:tblpY="0"/>
        <w:tblW w:w="8967.0" w:type="dxa"/>
        <w:jc w:val="left"/>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r w:rsidDel="00000000" w:rsidR="00000000" w:rsidRPr="00000000">
              <w:rPr>
                <w:rtl w:val="0"/>
              </w:rPr>
              <w:t xml:space="preserve">France</w:t>
            </w:r>
          </w:p>
        </w:tc>
        <w:tc>
          <w:tcPr>
            <w:vAlign w:val="center"/>
          </w:tcPr>
          <w:p w:rsidR="00000000" w:rsidDel="00000000" w:rsidP="00000000" w:rsidRDefault="00000000" w:rsidRPr="00000000" w14:paraId="000000CD">
            <w:pPr>
              <w:jc w:val="both"/>
              <w:rPr/>
            </w:pPr>
            <w:r w:rsidDel="00000000" w:rsidR="00000000" w:rsidRPr="00000000">
              <w:rPr>
                <w:rtl w:val="0"/>
              </w:rPr>
              <w:t xml:space="preserve">the UK</w:t>
            </w:r>
          </w:p>
        </w:tc>
        <w:tc>
          <w:tcPr>
            <w:vAlign w:val="center"/>
          </w:tcPr>
          <w:p w:rsidR="00000000" w:rsidDel="00000000" w:rsidP="00000000" w:rsidRDefault="00000000" w:rsidRPr="00000000" w14:paraId="000000CE">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E3">
      <w:pPr>
        <w:jc w:val="center"/>
        <w:rPr/>
      </w:pPr>
      <w:r w:rsidDel="00000000" w:rsidR="00000000" w:rsidRPr="00000000">
        <w:rPr>
          <w:rtl w:val="0"/>
        </w:rPr>
        <w:t xml:space="preserve">Table 4a: RID Comparison across Leading Economies (2018)</w:t>
      </w:r>
    </w:p>
    <w:p w:rsidR="00000000" w:rsidDel="00000000" w:rsidP="00000000" w:rsidRDefault="00000000" w:rsidRPr="00000000" w14:paraId="000000E4">
      <w:pPr>
        <w:jc w:val="both"/>
        <w:rPr/>
      </w:pPr>
      <w:r w:rsidDel="00000000" w:rsidR="00000000" w:rsidRPr="00000000">
        <w:rPr>
          <w:rtl w:val="0"/>
        </w:rPr>
      </w:r>
    </w:p>
    <w:tbl>
      <w:tblPr>
        <w:tblStyle w:val="Table6"/>
        <w:tblW w:w="6415.0" w:type="dxa"/>
        <w:jc w:val="center"/>
        <w:tblLayout w:type="fixed"/>
        <w:tblLook w:val="04A0"/>
      </w:tblPr>
      <w:tblGrid>
        <w:gridCol w:w="1122"/>
        <w:gridCol w:w="2842"/>
        <w:gridCol w:w="2451"/>
        <w:tblGridChange w:id="0">
          <w:tblGrid>
            <w:gridCol w:w="1122"/>
            <w:gridCol w:w="284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Canada</w:t>
            </w:r>
          </w:p>
        </w:tc>
        <w:tc>
          <w:tcPr/>
          <w:p w:rsidR="00000000" w:rsidDel="00000000" w:rsidP="00000000" w:rsidRDefault="00000000" w:rsidRPr="00000000" w14:paraId="000000E7">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E8">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9">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EB">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ind w:left="90" w:firstLine="0"/>
              <w:jc w:val="both"/>
              <w:rPr>
                <w:sz w:val="20"/>
                <w:szCs w:val="20"/>
              </w:rPr>
            </w:pPr>
            <w:r w:rsidDel="00000000" w:rsidR="00000000" w:rsidRPr="00000000">
              <w:rPr>
                <w:sz w:val="20"/>
                <w:szCs w:val="20"/>
                <w:rtl w:val="0"/>
              </w:rPr>
              <w:t xml:space="preserve">Animals and By-products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D">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EE">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ind w:left="90" w:firstLine="0"/>
              <w:jc w:val="both"/>
              <w:rPr>
                <w:sz w:val="20"/>
                <w:szCs w:val="20"/>
              </w:rPr>
            </w:pPr>
            <w:r w:rsidDel="00000000" w:rsidR="00000000" w:rsidRPr="00000000">
              <w:rPr>
                <w:sz w:val="20"/>
                <w:szCs w:val="20"/>
                <w:rtl w:val="0"/>
              </w:rPr>
              <w:t xml:space="preserve">Vegetables, Fruits and Plants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F4">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ind w:left="90" w:firstLine="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ind w:left="90" w:firstLine="0"/>
              <w:jc w:val="both"/>
              <w:rPr>
                <w:sz w:val="20"/>
                <w:szCs w:val="20"/>
              </w:rPr>
            </w:pPr>
            <w:r w:rsidDel="00000000" w:rsidR="00000000" w:rsidRPr="00000000">
              <w:rPr>
                <w:sz w:val="20"/>
                <w:szCs w:val="20"/>
                <w:rtl w:val="0"/>
              </w:rPr>
              <w:t xml:space="preserve">Metals</w:t>
            </w:r>
          </w:p>
        </w:tc>
      </w:tr>
    </w:tbl>
    <w:p w:rsidR="00000000" w:rsidDel="00000000" w:rsidP="00000000" w:rsidRDefault="00000000" w:rsidRPr="00000000" w14:paraId="000000F7">
      <w:pPr>
        <w:jc w:val="center"/>
        <w:rPr/>
      </w:pPr>
      <w:r w:rsidDel="00000000" w:rsidR="00000000" w:rsidRPr="00000000">
        <w:rPr>
          <w:rtl w:val="0"/>
        </w:rPr>
        <w:t xml:space="preserve">Table 4b: RID Comparison across Leading Economies (2022)</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jc w:val="both"/>
        <w:rPr>
          <w:sz w:val="22"/>
          <w:szCs w:val="22"/>
        </w:rPr>
      </w:pPr>
      <w:r w:rsidDel="00000000" w:rsidR="00000000" w:rsidRPr="00000000">
        <w:rPr>
          <w:rtl w:val="0"/>
        </w:rPr>
        <w:t xml:space="preserve">Tables 4c-4d further examine </w:t>
      </w:r>
      <w:r w:rsidDel="00000000" w:rsidR="00000000" w:rsidRPr="00000000">
        <w:rPr>
          <w:rtl w:val="0"/>
        </w:rPr>
        <w:t xml:space="preserve">Malaysia</w:t>
      </w:r>
      <w:r w:rsidDel="00000000" w:rsidR="00000000" w:rsidRPr="00000000">
        <w:rPr>
          <w:rtl w:val="0"/>
        </w:rPr>
        <w:t xml:space="preserve">'s development strategy against those of emerging economies on a global scale. Reasonably, emerging economies such as China, South Korea, and Singapore have devoted the majority of their efforts to intermediate industry groups, showing moderate shifts in strategies over the course of four years.</w:t>
      </w:r>
      <w:r w:rsidDel="00000000" w:rsidR="00000000" w:rsidRPr="00000000">
        <w:rPr>
          <w:rtl w:val="0"/>
        </w:rPr>
      </w:r>
    </w:p>
    <w:p w:rsidR="00000000" w:rsidDel="00000000" w:rsidP="00000000" w:rsidRDefault="00000000" w:rsidRPr="00000000" w14:paraId="000000FA">
      <w:pPr>
        <w:tabs>
          <w:tab w:val="center" w:leader="none" w:pos="4680"/>
          <w:tab w:val="right" w:leader="none" w:pos="9360"/>
        </w:tabs>
        <w:jc w:val="center"/>
        <w:rPr/>
      </w:pPr>
      <w:r w:rsidDel="00000000" w:rsidR="00000000" w:rsidRPr="00000000">
        <w:rPr>
          <w:rtl w:val="0"/>
        </w:rPr>
      </w:r>
    </w:p>
    <w:tbl>
      <w:tblPr>
        <w:tblStyle w:val="Table7"/>
        <w:tblW w:w="8955.0" w:type="dxa"/>
        <w:jc w:val="center"/>
        <w:tblLayout w:type="fixed"/>
        <w:tblLook w:val="04A0"/>
      </w:tblPr>
      <w:tblGrid>
        <w:gridCol w:w="1125"/>
        <w:gridCol w:w="2595"/>
        <w:gridCol w:w="2610"/>
        <w:gridCol w:w="2625"/>
        <w:tblGridChange w:id="0">
          <w:tblGrid>
            <w:gridCol w:w="1125"/>
            <w:gridCol w:w="2595"/>
            <w:gridCol w:w="2610"/>
            <w:gridCol w:w="2625"/>
          </w:tblGrid>
        </w:tblGridChange>
      </w:tblGrid>
      <w:tr>
        <w:trPr>
          <w:cantSplit w:val="0"/>
          <w:trHeight w:val="135" w:hRule="atLeast"/>
          <w:tblHeader w:val="0"/>
        </w:trPr>
        <w:tc>
          <w:tcPr/>
          <w:p w:rsidR="00000000" w:rsidDel="00000000" w:rsidP="00000000" w:rsidRDefault="00000000" w:rsidRPr="00000000" w14:paraId="000000FB">
            <w:pPr>
              <w:jc w:val="both"/>
              <w:rPr/>
            </w:pPr>
            <w:r w:rsidDel="00000000" w:rsidR="00000000" w:rsidRPr="00000000">
              <w:rPr>
                <w:rtl w:val="0"/>
              </w:rPr>
              <w:t xml:space="preserve">Ranking</w:t>
            </w:r>
          </w:p>
        </w:tc>
        <w:tc>
          <w:tcPr/>
          <w:p w:rsidR="00000000" w:rsidDel="00000000" w:rsidP="00000000" w:rsidRDefault="00000000" w:rsidRPr="00000000" w14:paraId="000000FC">
            <w:pPr>
              <w:jc w:val="both"/>
              <w:rPr/>
            </w:pPr>
            <w:r w:rsidDel="00000000" w:rsidR="00000000" w:rsidRPr="00000000">
              <w:rPr>
                <w:rtl w:val="0"/>
              </w:rPr>
              <w:t xml:space="preserve">China</w:t>
            </w:r>
          </w:p>
        </w:tc>
        <w:tc>
          <w:tcPr/>
          <w:p w:rsidR="00000000" w:rsidDel="00000000" w:rsidP="00000000" w:rsidRDefault="00000000" w:rsidRPr="00000000" w14:paraId="000000FD">
            <w:pPr>
              <w:jc w:val="both"/>
              <w:rPr/>
            </w:pPr>
            <w:r w:rsidDel="00000000" w:rsidR="00000000" w:rsidRPr="00000000">
              <w:rPr>
                <w:rtl w:val="0"/>
              </w:rPr>
              <w:t xml:space="preserve">South Korea</w:t>
            </w:r>
          </w:p>
        </w:tc>
        <w:tc>
          <w:tcPr/>
          <w:p w:rsidR="00000000" w:rsidDel="00000000" w:rsidP="00000000" w:rsidRDefault="00000000" w:rsidRPr="00000000" w14:paraId="000000FE">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FF">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03">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07">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10B">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10F">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13">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4">
      <w:pPr>
        <w:tabs>
          <w:tab w:val="center" w:leader="none" w:pos="4680"/>
          <w:tab w:val="right" w:leader="none" w:pos="9360"/>
        </w:tabs>
        <w:jc w:val="center"/>
        <w:rPr/>
      </w:pPr>
      <w:r w:rsidDel="00000000" w:rsidR="00000000" w:rsidRPr="00000000">
        <w:rPr>
          <w:rtl w:val="0"/>
        </w:rPr>
      </w:r>
    </w:p>
    <w:tbl>
      <w:tblPr>
        <w:tblStyle w:val="Table8"/>
        <w:tblW w:w="8955.0" w:type="dxa"/>
        <w:jc w:val="center"/>
        <w:tblLayout w:type="fixed"/>
        <w:tblLook w:val="04A0"/>
      </w:tblPr>
      <w:tblGrid>
        <w:gridCol w:w="1125"/>
        <w:gridCol w:w="2595"/>
        <w:gridCol w:w="2565"/>
        <w:gridCol w:w="2670"/>
        <w:tblGridChange w:id="0">
          <w:tblGrid>
            <w:gridCol w:w="1125"/>
            <w:gridCol w:w="2595"/>
            <w:gridCol w:w="2565"/>
            <w:gridCol w:w="2670"/>
          </w:tblGrid>
        </w:tblGridChange>
      </w:tblGrid>
      <w:tr>
        <w:trPr>
          <w:cantSplit w:val="0"/>
          <w:trHeight w:val="135" w:hRule="atLeast"/>
          <w:tblHeader w:val="0"/>
        </w:trPr>
        <w:tc>
          <w:tcPr/>
          <w:p w:rsidR="00000000" w:rsidDel="00000000" w:rsidP="00000000" w:rsidRDefault="00000000" w:rsidRPr="00000000" w14:paraId="00000115">
            <w:pPr>
              <w:jc w:val="both"/>
              <w:rPr/>
            </w:pPr>
            <w:r w:rsidDel="00000000" w:rsidR="00000000" w:rsidRPr="00000000">
              <w:rPr>
                <w:rtl w:val="0"/>
              </w:rPr>
              <w:t xml:space="preserve">Ranking</w:t>
            </w:r>
          </w:p>
        </w:tc>
        <w:tc>
          <w:tcPr/>
          <w:p w:rsidR="00000000" w:rsidDel="00000000" w:rsidP="00000000" w:rsidRDefault="00000000" w:rsidRPr="00000000" w14:paraId="00000116">
            <w:pPr>
              <w:jc w:val="both"/>
              <w:rPr/>
            </w:pPr>
            <w:r w:rsidDel="00000000" w:rsidR="00000000" w:rsidRPr="00000000">
              <w:rPr>
                <w:rtl w:val="0"/>
              </w:rPr>
              <w:t xml:space="preserve">China</w:t>
            </w:r>
          </w:p>
        </w:tc>
        <w:tc>
          <w:tcPr/>
          <w:p w:rsidR="00000000" w:rsidDel="00000000" w:rsidP="00000000" w:rsidRDefault="00000000" w:rsidRPr="00000000" w14:paraId="00000117">
            <w:pPr>
              <w:jc w:val="both"/>
              <w:rPr/>
            </w:pPr>
            <w:r w:rsidDel="00000000" w:rsidR="00000000" w:rsidRPr="00000000">
              <w:rPr>
                <w:rtl w:val="0"/>
              </w:rPr>
              <w:t xml:space="preserve">South Korea</w:t>
            </w:r>
          </w:p>
        </w:tc>
        <w:tc>
          <w:tcPr/>
          <w:p w:rsidR="00000000" w:rsidDel="00000000" w:rsidP="00000000" w:rsidRDefault="00000000" w:rsidRPr="00000000" w14:paraId="00000118">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119">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Chemicals</w:t>
            </w:r>
          </w:p>
        </w:tc>
        <w:tc>
          <w:tcPr>
            <w:vAlign w:val="bottom"/>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1D">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Chemicals</w:t>
            </w:r>
          </w:p>
        </w:tc>
        <w:tc>
          <w:tcPr>
            <w:vAlign w:val="bottom"/>
          </w:tcPr>
          <w:p w:rsidR="00000000" w:rsidDel="00000000" w:rsidP="00000000" w:rsidRDefault="00000000" w:rsidRPr="00000000" w14:paraId="0000011F">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Weapons</w:t>
            </w:r>
          </w:p>
        </w:tc>
      </w:tr>
      <w:tr>
        <w:trPr>
          <w:cantSplit w:val="0"/>
          <w:trHeight w:val="275.00000000000006" w:hRule="atLeast"/>
          <w:tblHeader w:val="0"/>
        </w:trPr>
        <w:tc>
          <w:tcPr/>
          <w:p w:rsidR="00000000" w:rsidDel="00000000" w:rsidP="00000000" w:rsidRDefault="00000000" w:rsidRPr="00000000" w14:paraId="00000121">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123">
            <w:pPr>
              <w:jc w:val="both"/>
              <w:rPr>
                <w:sz w:val="20"/>
                <w:szCs w:val="20"/>
              </w:rPr>
            </w:pPr>
            <w:r w:rsidDel="00000000" w:rsidR="00000000" w:rsidRPr="00000000">
              <w:rPr>
                <w:sz w:val="20"/>
                <w:szCs w:val="20"/>
                <w:rtl w:val="0"/>
              </w:rPr>
              <w:t xml:space="preserve">Metals</w:t>
            </w:r>
          </w:p>
        </w:tc>
        <w:tc>
          <w:tcPr>
            <w:vAlign w:val="bottom"/>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High-complexity Products</w:t>
            </w:r>
          </w:p>
        </w:tc>
      </w:tr>
      <w:tr>
        <w:trPr>
          <w:cantSplit w:val="0"/>
          <w:trHeight w:val="60" w:hRule="atLeast"/>
          <w:tblHeader w:val="0"/>
        </w:trPr>
        <w:tc>
          <w:tcPr/>
          <w:p w:rsidR="00000000" w:rsidDel="00000000" w:rsidP="00000000" w:rsidRDefault="00000000" w:rsidRPr="00000000" w14:paraId="00000125">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Metals</w:t>
            </w:r>
          </w:p>
        </w:tc>
        <w:tc>
          <w:tcPr>
            <w:vAlign w:val="bottom"/>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Raw Manufacturing </w:t>
            </w:r>
          </w:p>
        </w:tc>
        <w:tc>
          <w:tcPr>
            <w:vAlign w:val="bottom"/>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Energy Drilling and Mining</w:t>
            </w:r>
          </w:p>
        </w:tc>
      </w:tr>
      <w:tr>
        <w:trPr>
          <w:cantSplit w:val="0"/>
          <w:trHeight w:val="225" w:hRule="atLeast"/>
          <w:tblHeader w:val="0"/>
        </w:trPr>
        <w:tc>
          <w:tcPr/>
          <w:p w:rsidR="00000000" w:rsidDel="00000000" w:rsidP="00000000" w:rsidRDefault="00000000" w:rsidRPr="00000000" w14:paraId="00000129">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Machinery and Construction</w:t>
            </w:r>
          </w:p>
        </w:tc>
      </w:tr>
    </w:tbl>
    <w:p w:rsidR="00000000" w:rsidDel="00000000" w:rsidP="00000000" w:rsidRDefault="00000000" w:rsidRPr="00000000" w14:paraId="0000012D">
      <w:pPr>
        <w:jc w:val="center"/>
        <w:rPr/>
      </w:pPr>
      <w:r w:rsidDel="00000000" w:rsidR="00000000" w:rsidRPr="00000000">
        <w:rPr>
          <w:sz w:val="22"/>
          <w:szCs w:val="22"/>
          <w:rtl w:val="0"/>
        </w:rPr>
        <w:t xml:space="preserve">Table 4d: RID Comparison across Emerging Economies (2022)</w:t>
      </w:r>
      <w:r w:rsidDel="00000000" w:rsidR="00000000" w:rsidRPr="00000000">
        <w:rPr>
          <w:rtl w:val="0"/>
        </w:rPr>
      </w:r>
    </w:p>
    <w:p w:rsidR="00000000" w:rsidDel="00000000" w:rsidP="00000000" w:rsidRDefault="00000000" w:rsidRPr="00000000" w14:paraId="0000012E">
      <w:pPr>
        <w:pageBreakBefore w:val="0"/>
        <w:jc w:val="center"/>
        <w:rPr>
          <w:sz w:val="22"/>
          <w:szCs w:val="22"/>
        </w:rPr>
      </w:pP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1">
      <w:pPr>
        <w:pageBreakBefore w:val="0"/>
        <w:jc w:val="both"/>
        <w:rPr>
          <w:b w:val="1"/>
          <w:bCs w:val="1"/>
        </w:rPr>
      </w:pPr>
      <w:r w:rsidDel="00000000" w:rsidR="00000000" w:rsidRPr="00000000">
        <w:rPr>
          <w:rtl w:val="0"/>
        </w:rPr>
      </w:r>
    </w:p>
    <w:p w:rsidR="00000000" w:rsidDel="00000000" w:rsidP="00000000" w:rsidRDefault="00000000" w:rsidRPr="00000000" w14:paraId="00000132">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5">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6">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7">
      <w:pPr>
        <w:pageBreakBefore w:val="0"/>
        <w:jc w:val="both"/>
        <w:rPr/>
      </w:pPr>
      <w:r w:rsidDel="00000000" w:rsidR="00000000" w:rsidRPr="00000000">
        <w:rPr>
          <w:rtl w:val="0"/>
        </w:rPr>
      </w:r>
    </w:p>
    <w:p w:rsidR="00000000" w:rsidDel="00000000" w:rsidP="00000000" w:rsidRDefault="00000000" w:rsidRPr="00000000" w14:paraId="00000138">
      <w:pPr>
        <w:jc w:val="center"/>
        <w:rPr>
          <w:sz w:val="22"/>
          <w:szCs w:val="22"/>
        </w:rPr>
      </w:pPr>
      <w:r w:rsidDel="00000000" w:rsidR="00000000" w:rsidRPr="00000000">
        <w:rPr/>
        <w:drawing>
          <wp:inline distB="0" distT="0" distL="0" distR="0">
            <wp:extent cx="5730736" cy="1559116"/>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0736" cy="1559116"/>
                    </a:xfrm>
                    <a:prstGeom prst="rect"/>
                    <a:ln/>
                  </pic:spPr>
                </pic:pic>
              </a:graphicData>
            </a:graphic>
          </wp:inline>
        </w:drawing>
      </w:r>
      <w:r w:rsidDel="00000000" w:rsidR="00000000" w:rsidRPr="00000000">
        <w:rPr>
          <w:rtl w:val="0"/>
        </w:rPr>
        <w:t xml:space="preserve">T</w:t>
      </w:r>
      <w:r w:rsidDel="00000000" w:rsidR="00000000" w:rsidRPr="00000000">
        <w:rPr>
          <w:sz w:val="22"/>
          <w:szCs w:val="22"/>
          <w:rtl w:val="0"/>
        </w:rPr>
        <w:t xml:space="preserve">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14)</w:t>
      </w:r>
    </w:p>
    <w:p w:rsidR="00000000" w:rsidDel="00000000" w:rsidP="00000000" w:rsidRDefault="00000000" w:rsidRPr="00000000" w14:paraId="00000139">
      <w:pP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A">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B">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India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Malaysia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D">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Togo</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3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3F">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3">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7">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B">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F">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3">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7">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B">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F">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3">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7">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B">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F">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3">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7">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B">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F">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r>
      <w:tr>
        <w:trPr>
          <w:cantSplit w:val="0"/>
          <w:trHeight w:val="375" w:hRule="atLeast"/>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3">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0.338973</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-0.498173</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0.315147</w:t>
            </w:r>
            <w:r w:rsidDel="00000000" w:rsidR="00000000" w:rsidRPr="00000000">
              <w:rPr>
                <w:rtl w:val="0"/>
              </w:rPr>
            </w:r>
          </w:p>
        </w:tc>
      </w:tr>
    </w:tbl>
    <w:p w:rsidR="00000000" w:rsidDel="00000000" w:rsidP="00000000" w:rsidRDefault="00000000" w:rsidRPr="00000000" w14:paraId="0000018A">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18B">
      <w:pPr>
        <w:pageBreakBefore w:val="0"/>
        <w:jc w:val="center"/>
        <w:rPr/>
      </w:pP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Malaysia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18D">
      <w:pPr>
        <w:pageBreakBefore w:val="0"/>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Machinery and Construction. It can be concluded that Malaysia shares the characteristics of developing countries, with a balanced economic structure.</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drawing>
          <wp:inline distB="114300" distT="114300" distL="114300" distR="114300">
            <wp:extent cx="5731200" cy="2273300"/>
            <wp:effectExtent b="0" l="0" r="0" t="0"/>
            <wp:docPr id="21"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192">
      <w:pPr>
        <w:pageBreakBefore w:val="0"/>
        <w:jc w:val="center"/>
        <w:rPr>
          <w:sz w:val="22"/>
          <w:szCs w:val="22"/>
        </w:rPr>
      </w:pPr>
      <w:r w:rsidDel="00000000" w:rsidR="00000000" w:rsidRPr="00000000">
        <w:rPr>
          <w:rtl w:val="0"/>
        </w:rPr>
      </w:r>
    </w:p>
    <w:p w:rsidR="00000000" w:rsidDel="00000000" w:rsidP="00000000" w:rsidRDefault="00000000" w:rsidRPr="00000000" w14:paraId="00000193">
      <w:pPr>
        <w:pageBreakBefore w:val="0"/>
        <w:jc w:val="center"/>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ageBreakBefore w:val="0"/>
        <w:jc w:val="center"/>
        <w:rPr/>
      </w:pPr>
      <w:r w:rsidDel="00000000" w:rsidR="00000000" w:rsidRPr="00000000">
        <w:rPr>
          <w:rtl w:val="0"/>
        </w:rPr>
      </w:r>
    </w:p>
    <w:p w:rsidR="00000000" w:rsidDel="00000000" w:rsidP="00000000" w:rsidRDefault="00000000" w:rsidRPr="00000000" w14:paraId="00000199">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9A">
      <w:pPr>
        <w:pageBreakBefore w:val="0"/>
        <w:jc w:val="both"/>
        <w:rPr/>
      </w:pPr>
      <w:r w:rsidDel="00000000" w:rsidR="00000000" w:rsidRPr="00000000">
        <w:rPr>
          <w:rtl w:val="0"/>
        </w:rPr>
        <w:t xml:space="preserve"> </w:t>
      </w:r>
    </w:p>
    <w:p w:rsidR="00000000" w:rsidDel="00000000" w:rsidP="00000000" w:rsidRDefault="00000000" w:rsidRPr="00000000" w14:paraId="0000019B">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9C">
      <w:pPr>
        <w:pageBreakBefore w:val="0"/>
        <w:jc w:val="both"/>
        <w:rPr/>
      </w:pPr>
      <w:r w:rsidDel="00000000" w:rsidR="00000000" w:rsidRPr="00000000">
        <w:rPr>
          <w:rtl w:val="0"/>
        </w:rPr>
        <w:t xml:space="preserve"> </w:t>
      </w:r>
    </w:p>
    <w:p w:rsidR="00000000" w:rsidDel="00000000" w:rsidP="00000000" w:rsidRDefault="00000000" w:rsidRPr="00000000" w14:paraId="0000019D">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9E">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A2">
      <w:pPr>
        <w:pageBreakBefore w:val="0"/>
        <w:rPr/>
      </w:pPr>
      <w:r w:rsidDel="00000000" w:rsidR="00000000" w:rsidRPr="00000000">
        <w:rPr>
          <w:rtl w:val="0"/>
        </w:rPr>
        <w:t xml:space="preserve"> </w:t>
      </w:r>
    </w:p>
    <w:p w:rsidR="00000000" w:rsidDel="00000000" w:rsidP="00000000" w:rsidRDefault="00000000" w:rsidRPr="00000000" w14:paraId="000001A3">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A6">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pageBreakBefore w:val="0"/>
        <w:jc w:val="both"/>
        <w:rPr>
          <w:b w:val="1"/>
          <w:bCs w:val="1"/>
        </w:rPr>
      </w:pPr>
      <w:r w:rsidDel="00000000" w:rsidR="00000000" w:rsidRPr="00000000">
        <w:rPr>
          <w:rtl w:val="0"/>
        </w:rPr>
      </w:r>
    </w:p>
    <w:p w:rsidR="00000000" w:rsidDel="00000000" w:rsidP="00000000" w:rsidRDefault="00000000" w:rsidRPr="00000000" w14:paraId="000001A9">
      <w:pPr>
        <w:pageBreakBefore w:val="0"/>
        <w:jc w:val="both"/>
        <w:rPr>
          <w:b w:val="1"/>
          <w:bCs w:val="1"/>
        </w:rPr>
      </w:pPr>
      <w:r w:rsidDel="00000000" w:rsidR="00000000" w:rsidRPr="00000000">
        <w:rPr>
          <w:rtl w:val="0"/>
        </w:rPr>
      </w:r>
    </w:p>
    <w:p w:rsidR="00000000" w:rsidDel="00000000" w:rsidP="00000000" w:rsidRDefault="00000000" w:rsidRPr="00000000" w14:paraId="000001AA">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AB">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AC">
      <w:pPr>
        <w:pageBreakBefore w:val="0"/>
        <w:jc w:val="both"/>
        <w:rPr/>
      </w:pPr>
      <w:r w:rsidDel="00000000" w:rsidR="00000000" w:rsidRPr="00000000">
        <w:rPr>
          <w:rtl w:val="0"/>
        </w:rPr>
      </w:r>
    </w:p>
    <w:tbl>
      <w:tblPr>
        <w:tblStyle w:val="Table10"/>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AD">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AE">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D3">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D4">
      <w:pPr>
        <w:pageBreakBefore w:val="0"/>
        <w:jc w:val="center"/>
        <w:rPr/>
      </w:pPr>
      <w:r w:rsidDel="00000000" w:rsidR="00000000" w:rsidRPr="00000000">
        <w:rPr>
          <w:rtl w:val="0"/>
        </w:rPr>
      </w:r>
    </w:p>
    <w:p w:rsidR="00000000" w:rsidDel="00000000" w:rsidP="00000000" w:rsidRDefault="00000000" w:rsidRPr="00000000" w14:paraId="000001D5">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Malaysia</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Malaysia</w:t>
      </w:r>
      <w:r w:rsidDel="00000000" w:rsidR="00000000" w:rsidRPr="00000000">
        <w:rPr>
          <w:rtl w:val="0"/>
        </w:rPr>
        <w:t xml:space="preserve"> actually have different increments.</w:t>
      </w:r>
      <w:r w:rsidDel="00000000" w:rsidR="00000000" w:rsidRPr="00000000">
        <w:rPr>
          <w:rtl w:val="0"/>
        </w:rPr>
        <w:t xml:space="preserve"> </w:t>
      </w:r>
      <w:r w:rsidDel="00000000" w:rsidR="00000000" w:rsidRPr="00000000">
        <w:rPr>
          <w:rtl w:val="0"/>
        </w:rPr>
        <w:t xml:space="preserve">For 2022, </w:t>
      </w:r>
      <w:r w:rsidDel="00000000" w:rsidR="00000000" w:rsidRPr="00000000">
        <w:rPr>
          <w:rtl w:val="0"/>
        </w:rPr>
        <w:t xml:space="preserve">a 5 percent increase in export would emphasize Animals and By-products, followed by Machinery and Construction, Precious Stones, and Textiles for 10, 15, and 20 percent export growth respectively. These strategies go in line with the suggested trajectories based on ECI. The patterns observed in the indicator improvements suggest that as the export growth increases, the focus should shift from lower complexity sectors, such as Animals and By-products, to more complex and value-added industries, such as Machinery and Construction, and eventually to high-value sectors like Precious Stones and Textiles. This progression aligns with the overall goal of enhancing Malaysia's economic complexity.A more detailed numerical representation of the portfolio for </w:t>
      </w:r>
      <w:r w:rsidDel="00000000" w:rsidR="00000000" w:rsidRPr="00000000">
        <w:rPr>
          <w:rtl w:val="0"/>
        </w:rPr>
        <w:t xml:space="preserve">Malaysia</w:t>
      </w:r>
      <w:r w:rsidDel="00000000" w:rsidR="00000000" w:rsidRPr="00000000">
        <w:rPr>
          <w:rtl w:val="0"/>
        </w:rPr>
        <w:t xml:space="preserve"> is shown in Table 8.</w:t>
      </w:r>
    </w:p>
    <w:p w:rsidR="00000000" w:rsidDel="00000000" w:rsidP="00000000" w:rsidRDefault="00000000" w:rsidRPr="00000000" w14:paraId="000001D6">
      <w:pPr>
        <w:pageBreakBefore w:val="0"/>
        <w:rPr>
          <w:sz w:val="22"/>
          <w:szCs w:val="22"/>
        </w:rPr>
      </w:pPr>
      <w:r w:rsidDel="00000000" w:rsidR="00000000" w:rsidRPr="00000000">
        <w:rPr/>
        <w:drawing>
          <wp:inline distB="114300" distT="114300" distL="114300" distR="114300">
            <wp:extent cx="5731200" cy="2870200"/>
            <wp:effectExtent b="0" l="0" r="0" t="0"/>
            <wp:docPr id="1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center"/>
        <w:rPr>
          <w:sz w:val="22"/>
          <w:szCs w:val="22"/>
        </w:rPr>
      </w:pPr>
      <w:r w:rsidDel="00000000" w:rsidR="00000000" w:rsidRPr="00000000">
        <w:rPr>
          <w:sz w:val="22"/>
          <w:szCs w:val="22"/>
        </w:rPr>
        <w:drawing>
          <wp:inline distB="114300" distT="114300" distL="114300" distR="114300">
            <wp:extent cx="5731200" cy="2159000"/>
            <wp:effectExtent b="0" l="0" r="0" t="0"/>
            <wp:docPr id="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Malaysia</w:t>
      </w:r>
      <w:r w:rsidDel="00000000" w:rsidR="00000000" w:rsidRPr="00000000">
        <w:rPr>
          <w:sz w:val="22"/>
          <w:szCs w:val="22"/>
          <w:rtl w:val="0"/>
        </w:rPr>
        <w:t xml:space="preserve"> with Different Budgets (2022)</w:t>
      </w:r>
    </w:p>
    <w:p w:rsidR="00000000" w:rsidDel="00000000" w:rsidP="00000000" w:rsidRDefault="00000000" w:rsidRPr="00000000" w14:paraId="000001D9">
      <w:pPr>
        <w:jc w:val="left"/>
        <w:rPr>
          <w:sz w:val="22"/>
          <w:szCs w:val="22"/>
        </w:rPr>
      </w:pPr>
      <w:r w:rsidDel="00000000" w:rsidR="00000000" w:rsidRPr="00000000">
        <w:rPr>
          <w:rtl w:val="0"/>
        </w:rPr>
      </w:r>
    </w:p>
    <w:tbl>
      <w:tblPr>
        <w:tblStyle w:val="Table11"/>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rHeight w:val="225" w:hRule="atLeast"/>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DA">
            <w:pPr>
              <w:jc w:val="center"/>
              <w:rPr>
                <w:sz w:val="20"/>
                <w:szCs w:val="20"/>
              </w:rPr>
            </w:pPr>
            <w:r w:rsidDel="00000000" w:rsidR="00000000" w:rsidRPr="00000000">
              <w:rPr>
                <w:b w:val="1"/>
                <w:bCs w:val="1"/>
                <w:sz w:val="20"/>
                <w:szCs w:val="20"/>
                <w:rtl w:val="0"/>
              </w:rPr>
              <w:t xml:space="preserve">Malaysia</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0">
            <w:pPr>
              <w:jc w:val="center"/>
              <w:rPr>
                <w:sz w:val="20"/>
                <w:szCs w:val="20"/>
              </w:rPr>
            </w:pPr>
            <w:r w:rsidDel="00000000" w:rsidR="00000000" w:rsidRPr="00000000">
              <w:rPr>
                <w:sz w:val="20"/>
                <w:szCs w:val="20"/>
                <w:rtl w:val="0"/>
              </w:rPr>
              <w:t xml:space="preserve">-0.498173</w:t>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Animals and By-products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1.28E10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2.00E+09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C">
            <w:pPr>
              <w:widowControl w:val="0"/>
              <w:spacing w:line="276" w:lineRule="auto"/>
              <w:rPr>
                <w:sz w:val="18"/>
                <w:szCs w:val="18"/>
              </w:rPr>
            </w:pPr>
            <w:r w:rsidDel="00000000" w:rsidR="00000000" w:rsidRPr="00000000">
              <w:rPr>
                <w:sz w:val="18"/>
                <w:szCs w:val="18"/>
                <w:rtl w:val="0"/>
              </w:rPr>
              <w:t xml:space="preserve">6.01E+09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D">
            <w:pPr>
              <w:widowControl w:val="0"/>
              <w:spacing w:line="276" w:lineRule="auto"/>
              <w:rPr>
                <w:sz w:val="18"/>
                <w:szCs w:val="18"/>
              </w:rPr>
            </w:pPr>
            <w:r w:rsidDel="00000000" w:rsidR="00000000" w:rsidRPr="00000000">
              <w:rPr>
                <w:sz w:val="18"/>
                <w:szCs w:val="18"/>
                <w:rtl w:val="0"/>
              </w:rPr>
              <w:t xml:space="preserve">8.52E+09</w:t>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Vegetables, Fruits and Plants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9.94E+09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1.20E+10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1">
            <w:pPr>
              <w:widowControl w:val="0"/>
              <w:spacing w:line="276" w:lineRule="auto"/>
              <w:rPr>
                <w:sz w:val="18"/>
                <w:szCs w:val="18"/>
              </w:rPr>
            </w:pPr>
            <w:r w:rsidDel="00000000" w:rsidR="00000000" w:rsidRPr="00000000">
              <w:rPr>
                <w:sz w:val="18"/>
                <w:szCs w:val="18"/>
                <w:rtl w:val="0"/>
              </w:rPr>
              <w:t xml:space="preserve">8.02E+09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2">
            <w:pPr>
              <w:widowControl w:val="0"/>
              <w:spacing w:line="276" w:lineRule="auto"/>
              <w:rPr>
                <w:sz w:val="18"/>
                <w:szCs w:val="18"/>
              </w:rPr>
            </w:pPr>
            <w:r w:rsidDel="00000000" w:rsidR="00000000" w:rsidRPr="00000000">
              <w:rPr>
                <w:sz w:val="18"/>
                <w:szCs w:val="18"/>
                <w:rtl w:val="0"/>
              </w:rPr>
              <w:t xml:space="preserve">8.52E+09</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Wood 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4.26E+09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1.60E+10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6">
            <w:pPr>
              <w:widowControl w:val="0"/>
              <w:spacing w:line="276" w:lineRule="auto"/>
              <w:rPr>
                <w:sz w:val="18"/>
                <w:szCs w:val="18"/>
              </w:rPr>
            </w:pPr>
            <w:r w:rsidDel="00000000" w:rsidR="00000000" w:rsidRPr="00000000">
              <w:rPr>
                <w:sz w:val="18"/>
                <w:szCs w:val="18"/>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7">
            <w:pPr>
              <w:widowControl w:val="0"/>
              <w:spacing w:line="276" w:lineRule="auto"/>
              <w:rPr>
                <w:sz w:val="18"/>
                <w:szCs w:val="18"/>
              </w:rPr>
            </w:pPr>
            <w:r w:rsidDel="00000000" w:rsidR="00000000" w:rsidRPr="00000000">
              <w:rPr>
                <w:sz w:val="18"/>
                <w:szCs w:val="18"/>
                <w:rtl w:val="0"/>
              </w:rPr>
              <w:t xml:space="preserve">0.00E+00</w:t>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Textile</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7.10E+09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8.01E+09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B">
            <w:pPr>
              <w:widowControl w:val="0"/>
              <w:spacing w:line="276" w:lineRule="auto"/>
              <w:rPr>
                <w:sz w:val="18"/>
                <w:szCs w:val="18"/>
              </w:rPr>
            </w:pPr>
            <w:r w:rsidDel="00000000" w:rsidR="00000000" w:rsidRPr="00000000">
              <w:rPr>
                <w:sz w:val="18"/>
                <w:szCs w:val="18"/>
                <w:rtl w:val="0"/>
              </w:rPr>
              <w:t xml:space="preserve">1.00E+10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C">
            <w:pPr>
              <w:widowControl w:val="0"/>
              <w:spacing w:line="276" w:lineRule="auto"/>
              <w:rPr>
                <w:sz w:val="18"/>
                <w:szCs w:val="18"/>
              </w:rPr>
            </w:pPr>
            <w:r w:rsidDel="00000000" w:rsidR="00000000" w:rsidRPr="00000000">
              <w:rPr>
                <w:sz w:val="18"/>
                <w:szCs w:val="18"/>
                <w:rtl w:val="0"/>
              </w:rPr>
              <w:t xml:space="preserve">3.97E+10</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Machinery and Construction</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4.26E+09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1.60E+10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0">
            <w:pPr>
              <w:widowControl w:val="0"/>
              <w:spacing w:line="276" w:lineRule="auto"/>
              <w:rPr>
                <w:sz w:val="18"/>
                <w:szCs w:val="18"/>
              </w:rPr>
            </w:pPr>
            <w:r w:rsidDel="00000000" w:rsidR="00000000" w:rsidRPr="00000000">
              <w:rPr>
                <w:sz w:val="18"/>
                <w:szCs w:val="18"/>
                <w:rtl w:val="0"/>
              </w:rPr>
              <w:t xml:space="preserve">1.40E+10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1">
            <w:pPr>
              <w:widowControl w:val="0"/>
              <w:spacing w:line="276" w:lineRule="auto"/>
              <w:rPr>
                <w:sz w:val="18"/>
                <w:szCs w:val="18"/>
              </w:rPr>
            </w:pPr>
            <w:r w:rsidDel="00000000" w:rsidR="00000000" w:rsidRPr="00000000">
              <w:rPr>
                <w:sz w:val="18"/>
                <w:szCs w:val="18"/>
                <w:rtl w:val="0"/>
              </w:rPr>
              <w:t xml:space="preserve">8.52E+09</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3">
            <w:pPr>
              <w:widowControl w:val="0"/>
              <w:spacing w:line="276" w:lineRule="auto"/>
              <w:rPr>
                <w:b w:val="1"/>
                <w:bCs w:val="1"/>
                <w:sz w:val="20"/>
                <w:szCs w:val="20"/>
              </w:rPr>
            </w:pPr>
            <w:r w:rsidDel="00000000" w:rsidR="00000000" w:rsidRPr="00000000">
              <w:rPr>
                <w:b w:val="1"/>
                <w:bCs w:val="1"/>
                <w:sz w:val="20"/>
                <w:szCs w:val="20"/>
                <w:rtl w:val="0"/>
              </w:rPr>
              <w:t xml:space="preserve">0.345</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4">
            <w:pPr>
              <w:widowControl w:val="0"/>
              <w:spacing w:line="276" w:lineRule="auto"/>
              <w:rPr>
                <w:b w:val="1"/>
                <w:bCs w:val="1"/>
                <w:sz w:val="20"/>
                <w:szCs w:val="20"/>
              </w:rPr>
            </w:pPr>
            <w:r w:rsidDel="00000000" w:rsidR="00000000" w:rsidRPr="00000000">
              <w:rPr>
                <w:b w:val="1"/>
                <w:bCs w:val="1"/>
                <w:sz w:val="20"/>
                <w:szCs w:val="20"/>
                <w:rtl w:val="0"/>
              </w:rPr>
              <w:t xml:space="preserve">0.351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5">
            <w:pPr>
              <w:widowControl w:val="0"/>
              <w:spacing w:line="276" w:lineRule="auto"/>
              <w:rPr>
                <w:b w:val="1"/>
                <w:bCs w:val="1"/>
                <w:sz w:val="20"/>
                <w:szCs w:val="20"/>
              </w:rPr>
            </w:pPr>
            <w:r w:rsidDel="00000000" w:rsidR="00000000" w:rsidRPr="00000000">
              <w:rPr>
                <w:b w:val="1"/>
                <w:bCs w:val="1"/>
                <w:sz w:val="20"/>
                <w:szCs w:val="20"/>
                <w:rtl w:val="0"/>
              </w:rPr>
              <w:t xml:space="preserve">0.512</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6">
            <w:pPr>
              <w:widowControl w:val="0"/>
              <w:spacing w:line="276" w:lineRule="auto"/>
              <w:rPr>
                <w:b w:val="1"/>
                <w:bCs w:val="1"/>
                <w:sz w:val="20"/>
                <w:szCs w:val="20"/>
              </w:rPr>
            </w:pPr>
            <w:r w:rsidDel="00000000" w:rsidR="00000000" w:rsidRPr="00000000">
              <w:rPr>
                <w:b w:val="1"/>
                <w:bCs w:val="1"/>
                <w:sz w:val="20"/>
                <w:szCs w:val="20"/>
                <w:rtl w:val="0"/>
              </w:rPr>
              <w:t xml:space="preserve">0.525</w:t>
            </w:r>
          </w:p>
        </w:tc>
      </w:tr>
    </w:tbl>
    <w:p w:rsidR="00000000" w:rsidDel="00000000" w:rsidP="00000000" w:rsidRDefault="00000000" w:rsidRPr="00000000" w14:paraId="0000020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Malaysia</w:t>
      </w:r>
      <w:r w:rsidDel="00000000" w:rsidR="00000000" w:rsidRPr="00000000">
        <w:rPr>
          <w:sz w:val="22"/>
          <w:szCs w:val="22"/>
          <w:rtl w:val="0"/>
        </w:rPr>
        <w:t xml:space="preserve">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208">
      <w:pPr>
        <w:jc w:val="center"/>
        <w:rPr>
          <w:sz w:val="22"/>
          <w:szCs w:val="22"/>
        </w:rPr>
      </w:pPr>
      <w:r w:rsidDel="00000000" w:rsidR="00000000" w:rsidRPr="00000000">
        <w:rPr>
          <w:rtl w:val="0"/>
        </w:rPr>
      </w:r>
    </w:p>
    <w:p w:rsidR="00000000" w:rsidDel="00000000" w:rsidP="00000000" w:rsidRDefault="00000000" w:rsidRPr="00000000" w14:paraId="0000020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20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Malaysia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20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20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20D">
      <w:pPr>
        <w:jc w:val="both"/>
        <w:rPr>
          <w:b w:val="1"/>
          <w:bCs w:val="1"/>
        </w:rPr>
      </w:pPr>
      <w:r w:rsidDel="00000000" w:rsidR="00000000" w:rsidRPr="00000000">
        <w:rPr>
          <w:b w:val="1"/>
          <w:bCs w:val="1"/>
        </w:rPr>
        <w:drawing>
          <wp:inline distB="114300" distT="114300" distL="114300" distR="114300">
            <wp:extent cx="5310188" cy="2519630"/>
            <wp:effectExtent b="0" l="0" r="0" t="0"/>
            <wp:docPr id="8" name="image4.jpg"/>
            <a:graphic>
              <a:graphicData uri="http://schemas.openxmlformats.org/drawingml/2006/picture">
                <pic:pic>
                  <pic:nvPicPr>
                    <pic:cNvPr id="0" name="image4.jpg"/>
                    <pic:cNvPicPr preferRelativeResize="0"/>
                  </pic:nvPicPr>
                  <pic:blipFill>
                    <a:blip r:embed="rId20"/>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0F">
      <w:pPr>
        <w:pageBreakBefore w:val="0"/>
        <w:spacing w:after="240" w:before="240" w:line="276" w:lineRule="auto"/>
        <w:rPr>
          <w:b w:val="1"/>
          <w:bCs w:val="1"/>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210">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211">
      <w:pPr>
        <w:spacing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212">
      <w:pPr>
        <w:spacing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213">
      <w:pPr>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214">
      <w:pPr>
        <w:pageBreakBefore w:val="0"/>
        <w:spacing w:line="276" w:lineRule="auto"/>
        <w:rPr/>
      </w:pPr>
      <w:r w:rsidDel="00000000" w:rsidR="00000000" w:rsidRPr="00000000">
        <w:rPr>
          <w:rtl w:val="0"/>
        </w:rPr>
      </w:r>
    </w:p>
    <w:p w:rsidR="00000000" w:rsidDel="00000000" w:rsidP="00000000" w:rsidRDefault="00000000" w:rsidRPr="00000000" w14:paraId="00000215">
      <w:pPr>
        <w:pageBreakBefore w:val="0"/>
        <w:jc w:val="both"/>
        <w:rPr/>
      </w:pPr>
      <w:r w:rsidDel="00000000" w:rsidR="00000000" w:rsidRPr="00000000">
        <w:rPr/>
        <w:drawing>
          <wp:inline distB="114300" distT="114300" distL="114300" distR="114300">
            <wp:extent cx="5734050" cy="1739900"/>
            <wp:effectExtent b="0" l="0" r="0" t="0"/>
            <wp:docPr id="4"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217">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218">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219">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1A">
      <w:pPr>
        <w:pageBreakBefore w:val="0"/>
        <w:spacing w:line="276" w:lineRule="auto"/>
        <w:rPr/>
      </w:pPr>
      <w:r w:rsidDel="00000000" w:rsidR="00000000" w:rsidRPr="00000000">
        <w:rPr>
          <w:rtl w:val="0"/>
        </w:rPr>
      </w:r>
    </w:p>
    <w:tbl>
      <w:tblPr>
        <w:tblStyle w:val="Table12"/>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3">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7">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67">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26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A">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6B">
      <w:pPr>
        <w:pageBreakBefore w:val="0"/>
        <w:jc w:val="both"/>
        <w:rPr/>
      </w:pPr>
      <w:r w:rsidDel="00000000" w:rsidR="00000000" w:rsidRPr="00000000">
        <w:rPr>
          <w:rtl w:val="0"/>
        </w:rPr>
        <w:t xml:space="preserve">We examine </w:t>
      </w:r>
      <w:r w:rsidDel="00000000" w:rsidR="00000000" w:rsidRPr="00000000">
        <w:rPr>
          <w:rtl w:val="0"/>
        </w:rPr>
        <w:t xml:space="preserve">Malaysia</w:t>
      </w:r>
      <w:r w:rsidDel="00000000" w:rsidR="00000000" w:rsidRPr="00000000">
        <w:rPr>
          <w:rtl w:val="0"/>
        </w:rPr>
        <w:t xml:space="preserve">'s ECI Decremental and Incremental Sensitivity Charts for 2022. An increase in Vegetables, Fruits, and Plants will lead to the highest change in ECI, followed by Food and Preparataions. For the negative shock cases, Energy, Drilling and Mining becomes most impactful, a new trend from previous years, followed by Food and Preparation. The rest of the industries do not appear to have the same level of sensitivity.</w:t>
      </w:r>
    </w:p>
    <w:p w:rsidR="00000000" w:rsidDel="00000000" w:rsidP="00000000" w:rsidRDefault="00000000" w:rsidRPr="00000000" w14:paraId="0000026C">
      <w:pPr>
        <w:pageBreakBefore w:val="0"/>
        <w:jc w:val="both"/>
        <w:rPr/>
      </w:pPr>
      <w:r w:rsidDel="00000000" w:rsidR="00000000" w:rsidRPr="00000000">
        <w:rPr>
          <w:rtl w:val="0"/>
        </w:rPr>
      </w:r>
    </w:p>
    <w:p w:rsidR="00000000" w:rsidDel="00000000" w:rsidP="00000000" w:rsidRDefault="00000000" w:rsidRPr="00000000" w14:paraId="0000026D">
      <w:pPr>
        <w:pageBreakBefore w:val="0"/>
        <w:jc w:val="both"/>
        <w:rPr/>
      </w:pPr>
      <w:r w:rsidDel="00000000" w:rsidR="00000000" w:rsidRPr="00000000">
        <w:rPr/>
        <w:drawing>
          <wp:inline distB="114300" distT="114300" distL="114300" distR="114300">
            <wp:extent cx="5731200" cy="1701800"/>
            <wp:effectExtent b="0" l="0" r="0" t="0"/>
            <wp:docPr id="22"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Malaysia</w:t>
      </w:r>
      <w:r w:rsidDel="00000000" w:rsidR="00000000" w:rsidRPr="00000000">
        <w:rPr>
          <w:sz w:val="22"/>
          <w:szCs w:val="22"/>
          <w:rtl w:val="0"/>
        </w:rPr>
        <w:t xml:space="preserve"> (2022)</w:t>
      </w:r>
    </w:p>
    <w:p w:rsidR="00000000" w:rsidDel="00000000" w:rsidP="00000000" w:rsidRDefault="00000000" w:rsidRPr="00000000" w14:paraId="0000026F">
      <w:pPr>
        <w:jc w:val="center"/>
        <w:rPr>
          <w:sz w:val="22"/>
          <w:szCs w:val="22"/>
        </w:rPr>
      </w:pPr>
      <w:r w:rsidDel="00000000" w:rsidR="00000000" w:rsidRPr="00000000">
        <w:rPr>
          <w:sz w:val="22"/>
          <w:szCs w:val="22"/>
        </w:rPr>
        <w:drawing>
          <wp:inline distB="114300" distT="114300" distL="114300" distR="114300">
            <wp:extent cx="5731200" cy="1638300"/>
            <wp:effectExtent b="0" l="0" r="0" t="0"/>
            <wp:docPr id="1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Malaysia</w:t>
      </w:r>
      <w:r w:rsidDel="00000000" w:rsidR="00000000" w:rsidRPr="00000000">
        <w:rPr>
          <w:sz w:val="22"/>
          <w:szCs w:val="22"/>
          <w:rtl w:val="0"/>
        </w:rPr>
        <w:t xml:space="preserve"> (2022)</w:t>
      </w:r>
      <w:r w:rsidDel="00000000" w:rsidR="00000000" w:rsidRPr="00000000">
        <w:rPr>
          <w:rtl w:val="0"/>
        </w:rPr>
      </w:r>
    </w:p>
    <w:p w:rsidR="00000000" w:rsidDel="00000000" w:rsidP="00000000" w:rsidRDefault="00000000" w:rsidRPr="00000000" w14:paraId="00000271">
      <w:pPr>
        <w:pageBreakBefore w:val="0"/>
        <w:jc w:val="both"/>
        <w:rPr/>
      </w:pPr>
      <w:r w:rsidDel="00000000" w:rsidR="00000000" w:rsidRPr="00000000">
        <w:rPr>
          <w:rtl w:val="0"/>
        </w:rPr>
      </w:r>
    </w:p>
    <w:p w:rsidR="00000000" w:rsidDel="00000000" w:rsidP="00000000" w:rsidRDefault="00000000" w:rsidRPr="00000000" w14:paraId="00000272">
      <w:pPr>
        <w:pageBreakBefore w:val="0"/>
        <w:jc w:val="both"/>
        <w:rPr/>
      </w:pPr>
      <w:r w:rsidDel="00000000" w:rsidR="00000000" w:rsidRPr="00000000">
        <w:rPr>
          <w:rtl w:val="0"/>
        </w:rPr>
      </w:r>
    </w:p>
    <w:p w:rsidR="00000000" w:rsidDel="00000000" w:rsidP="00000000" w:rsidRDefault="00000000" w:rsidRPr="00000000" w14:paraId="00000273">
      <w:pPr>
        <w:pageBreakBefore w:val="0"/>
        <w:jc w:val="both"/>
        <w:rPr/>
      </w:pPr>
      <w:r w:rsidDel="00000000" w:rsidR="00000000" w:rsidRPr="00000000">
        <w:rPr>
          <w:rtl w:val="0"/>
        </w:rPr>
      </w:r>
    </w:p>
    <w:p w:rsidR="00000000" w:rsidDel="00000000" w:rsidP="00000000" w:rsidRDefault="00000000" w:rsidRPr="00000000" w14:paraId="00000274">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75">
      <w:pPr>
        <w:jc w:val="both"/>
        <w:rPr>
          <w:b w:val="1"/>
          <w:bCs w:val="1"/>
          <w:sz w:val="28"/>
          <w:szCs w:val="28"/>
        </w:rPr>
      </w:pPr>
      <w:r w:rsidDel="00000000" w:rsidR="00000000" w:rsidRPr="00000000">
        <w:rPr>
          <w:rtl w:val="0"/>
        </w:rPr>
        <w:t xml:space="preserve">Decreasing export of each industry in Malaysia’s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276">
      <w:pPr>
        <w:jc w:val="center"/>
        <w:rPr>
          <w:sz w:val="22"/>
          <w:szCs w:val="22"/>
        </w:rPr>
      </w:pPr>
      <w:r w:rsidDel="00000000" w:rsidR="00000000" w:rsidRPr="00000000">
        <w:rPr>
          <w:b w:val="1"/>
          <w:bCs w:val="1"/>
          <w:sz w:val="28"/>
          <w:szCs w:val="28"/>
        </w:rPr>
        <w:drawing>
          <wp:inline distB="114300" distT="114300" distL="114300" distR="114300">
            <wp:extent cx="4844888" cy="2492226"/>
            <wp:effectExtent b="0" l="0" r="0" t="0"/>
            <wp:docPr id="12"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4844888" cy="2492226"/>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jc w:val="center"/>
        <w:rPr>
          <w:sz w:val="22"/>
          <w:szCs w:val="22"/>
        </w:rPr>
      </w:pPr>
      <w:r w:rsidDel="00000000" w:rsidR="00000000" w:rsidRPr="00000000">
        <w:rPr>
          <w:sz w:val="22"/>
          <w:szCs w:val="22"/>
          <w:rtl w:val="0"/>
        </w:rPr>
        <w:t xml:space="preserve">Table 13. Malaysia’s Contingency Strategy (2018)</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ageBreakBefore w:val="0"/>
        <w:jc w:val="center"/>
        <w:rPr/>
      </w:pPr>
      <w:r w:rsidDel="00000000" w:rsidR="00000000" w:rsidRPr="00000000">
        <w:rPr>
          <w:rtl w:val="0"/>
        </w:rPr>
      </w:r>
    </w:p>
    <w:p w:rsidR="00000000" w:rsidDel="00000000" w:rsidP="00000000" w:rsidRDefault="00000000" w:rsidRPr="00000000" w14:paraId="0000027A">
      <w:pPr>
        <w:jc w:val="left"/>
        <w:rPr/>
      </w:pPr>
      <w:r w:rsidDel="00000000" w:rsidR="00000000" w:rsidRPr="00000000">
        <w:rPr>
          <w:rtl w:val="0"/>
        </w:rPr>
      </w:r>
    </w:p>
    <w:p w:rsidR="00000000" w:rsidDel="00000000" w:rsidP="00000000" w:rsidRDefault="00000000" w:rsidRPr="00000000" w14:paraId="0000027B">
      <w:pPr>
        <w:pageBreakBefore w:val="0"/>
        <w:jc w:val="center"/>
        <w:rPr>
          <w:sz w:val="28"/>
          <w:szCs w:val="28"/>
        </w:rPr>
      </w:pPr>
      <w:r w:rsidDel="00000000" w:rsidR="00000000" w:rsidRPr="00000000">
        <w:rPr>
          <w:rtl w:val="0"/>
        </w:rPr>
      </w:r>
    </w:p>
    <w:p w:rsidR="00000000" w:rsidDel="00000000" w:rsidP="00000000" w:rsidRDefault="00000000" w:rsidRPr="00000000" w14:paraId="0000027C">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7E">
      <w:pPr>
        <w:pageBreakBefore w:val="0"/>
        <w:jc w:val="both"/>
        <w:rPr>
          <w:b w:val="1"/>
          <w:bCs w:val="1"/>
        </w:rPr>
      </w:pPr>
      <w:r w:rsidDel="00000000" w:rsidR="00000000" w:rsidRPr="00000000">
        <w:rPr>
          <w:rtl w:val="0"/>
        </w:rPr>
      </w:r>
    </w:p>
    <w:p w:rsidR="00000000" w:rsidDel="00000000" w:rsidP="00000000" w:rsidRDefault="00000000" w:rsidRPr="00000000" w14:paraId="0000027F">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280">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281">
      <w:pPr>
        <w:pageBreakBefore w:val="0"/>
        <w:jc w:val="both"/>
        <w:rPr/>
      </w:pPr>
      <w:r w:rsidDel="00000000" w:rsidR="00000000" w:rsidRPr="00000000">
        <w:rPr>
          <w:rtl w:val="0"/>
        </w:rPr>
      </w:r>
    </w:p>
    <w:p w:rsidR="00000000" w:rsidDel="00000000" w:rsidP="00000000" w:rsidRDefault="00000000" w:rsidRPr="00000000" w14:paraId="00000282">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283">
      <w:pPr>
        <w:pageBreakBefore w:val="0"/>
        <w:jc w:val="both"/>
        <w:rPr/>
      </w:pPr>
      <w:r w:rsidDel="00000000" w:rsidR="00000000" w:rsidRPr="00000000">
        <w:rPr>
          <w:rtl w:val="0"/>
        </w:rPr>
      </w:r>
    </w:p>
    <w:tbl>
      <w:tblPr>
        <w:tblStyle w:val="Table13"/>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284">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86">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87">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88">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89">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8A">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8B">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28C">
      <w:pPr>
        <w:pageBreakBefore w:val="0"/>
        <w:jc w:val="left"/>
        <w:rPr/>
      </w:pPr>
      <w:r w:rsidDel="00000000" w:rsidR="00000000" w:rsidRPr="00000000">
        <w:rPr>
          <w:rtl w:val="0"/>
        </w:rPr>
      </w:r>
    </w:p>
    <w:p w:rsidR="00000000" w:rsidDel="00000000" w:rsidP="00000000" w:rsidRDefault="00000000" w:rsidRPr="00000000" w14:paraId="0000028D">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28E">
      <w:pPr>
        <w:pageBreakBefore w:val="0"/>
        <w:jc w:val="both"/>
        <w:rPr/>
      </w:pPr>
      <w:r w:rsidDel="00000000" w:rsidR="00000000" w:rsidRPr="00000000">
        <w:rPr>
          <w:rtl w:val="0"/>
        </w:rPr>
      </w:r>
    </w:p>
    <w:p w:rsidR="00000000" w:rsidDel="00000000" w:rsidP="00000000" w:rsidRDefault="00000000" w:rsidRPr="00000000" w14:paraId="0000028F">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Malaysia</w:t>
      </w:r>
      <w:r w:rsidDel="00000000" w:rsidR="00000000" w:rsidRPr="00000000">
        <w:rPr>
          <w:b w:val="1"/>
          <w:bCs w:val="1"/>
          <w:rtl w:val="0"/>
        </w:rPr>
        <w:t xml:space="preserve"> and Its Implications</w:t>
      </w:r>
    </w:p>
    <w:p w:rsidR="00000000" w:rsidDel="00000000" w:rsidP="00000000" w:rsidRDefault="00000000" w:rsidRPr="00000000" w14:paraId="00000290">
      <w:pPr>
        <w:pageBreakBefore w:val="0"/>
        <w:jc w:val="both"/>
        <w:rPr/>
      </w:pPr>
      <w:r w:rsidDel="00000000" w:rsidR="00000000" w:rsidRPr="00000000">
        <w:rPr>
          <w:rtl w:val="0"/>
        </w:rPr>
        <w:t xml:space="preserve">During the first examined period, </w:t>
      </w:r>
      <w:r w:rsidDel="00000000" w:rsidR="00000000" w:rsidRPr="00000000">
        <w:rPr>
          <w:rtl w:val="0"/>
        </w:rPr>
        <w:t xml:space="preserve">Malaysia</w:t>
      </w:r>
      <w:r w:rsidDel="00000000" w:rsidR="00000000" w:rsidRPr="00000000">
        <w:rPr>
          <w:rtl w:val="0"/>
        </w:rPr>
        <w:t xml:space="preserve">, for instance, has a moderate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Malaysia</w:t>
      </w:r>
      <w:r w:rsidDel="00000000" w:rsidR="00000000" w:rsidRPr="00000000">
        <w:rPr>
          <w:rtl w:val="0"/>
        </w:rPr>
        <w:t xml:space="preserve"> demonstrates a moderate level of correlation with the suggested developmental path, having an adjusted R-square of around 0.108. </w:t>
      </w:r>
    </w:p>
    <w:p w:rsidR="00000000" w:rsidDel="00000000" w:rsidP="00000000" w:rsidRDefault="00000000" w:rsidRPr="00000000" w14:paraId="00000291">
      <w:pPr>
        <w:pageBreakBefore w:val="0"/>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t xml:space="preserve">Malaysia</w:t>
      </w:r>
      <w:r w:rsidDel="00000000" w:rsidR="00000000" w:rsidRPr="00000000">
        <w:rPr>
          <w:b w:val="1"/>
          <w:bCs w:val="1"/>
          <w:rtl w:val="0"/>
        </w:rPr>
        <w:t xml:space="preserve"> </w:t>
      </w:r>
      <w:r w:rsidDel="00000000" w:rsidR="00000000" w:rsidRPr="00000000">
        <w:rPr>
          <w:rtl w:val="0"/>
        </w:rPr>
        <w:t xml:space="preserve">ranks the 42</w:t>
      </w:r>
      <w:r w:rsidDel="00000000" w:rsidR="00000000" w:rsidRPr="00000000">
        <w:rPr>
          <w:vertAlign w:val="superscript"/>
          <w:rtl w:val="0"/>
        </w:rPr>
        <w:t xml:space="preserve">nd</w:t>
      </w:r>
      <w:r w:rsidDel="00000000" w:rsidR="00000000" w:rsidRPr="00000000">
        <w:rPr>
          <w:rtl w:val="0"/>
        </w:rPr>
        <w:t xml:space="preserve"> place among all countries in terms of SOI and has an annual growth rate of 10.8% from 2009 to 2014, which is consistent with the regression result in Figure 6. This is in direct contrast to developed economies such as UK, where there is low SOI of around 6.5% and a corresponding annual growth rate around 2%, ranking it a slow-developing economy during the period. In sum, Malaysia’s amazing economic progress from 2009 to 2014 can be at least partially explained by a nearly optimal development strategy that demonstrates a considerable level of matches with our suggested developmental path. </w:t>
      </w:r>
    </w:p>
    <w:p w:rsidR="00000000" w:rsidDel="00000000" w:rsidP="00000000" w:rsidRDefault="00000000" w:rsidRPr="00000000" w14:paraId="00000293">
      <w:pPr>
        <w:pageBreakBefore w:val="0"/>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drawing>
          <wp:inline distB="0" distT="0" distL="0" distR="0">
            <wp:extent cx="5724525" cy="1969770"/>
            <wp:effectExtent b="0" l="0" r="0" t="0"/>
            <wp:docPr descr="../../../../Screen%20Shot%202019-02-17%20at%201.24.55%20AM." id="7" name="image10.png"/>
            <a:graphic>
              <a:graphicData uri="http://schemas.openxmlformats.org/drawingml/2006/picture">
                <pic:pic>
                  <pic:nvPicPr>
                    <pic:cNvPr descr="../../../../Screen%20Shot%202019-02-17%20at%201.24.55%20AM." id="0" name="image10.png"/>
                    <pic:cNvPicPr preferRelativeResize="0"/>
                  </pic:nvPicPr>
                  <pic:blipFill>
                    <a:blip r:embed="rId26"/>
                    <a:srcRect b="0" l="0" r="0" t="0"/>
                    <a:stretch>
                      <a:fillRect/>
                    </a:stretch>
                  </pic:blipFill>
                  <pic:spPr>
                    <a:xfrm>
                      <a:off x="0" y="0"/>
                      <a:ext cx="5724525"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Malaysia</w:t>
      </w:r>
      <w:r w:rsidDel="00000000" w:rsidR="00000000" w:rsidRPr="00000000">
        <w:rPr>
          <w:sz w:val="22"/>
          <w:szCs w:val="22"/>
          <w:rtl w:val="0"/>
        </w:rPr>
        <w:t xml:space="preserve"> (2009-2014)</w:t>
      </w:r>
    </w:p>
    <w:p w:rsidR="00000000" w:rsidDel="00000000" w:rsidP="00000000" w:rsidRDefault="00000000" w:rsidRPr="00000000" w14:paraId="00000296">
      <w:pPr>
        <w:jc w:val="center"/>
        <w:rPr>
          <w:sz w:val="22"/>
          <w:szCs w:val="22"/>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For the 2019-2022 years, </w:t>
      </w:r>
      <w:r w:rsidDel="00000000" w:rsidR="00000000" w:rsidRPr="00000000">
        <w:rPr>
          <w:rtl w:val="0"/>
        </w:rPr>
        <w:t xml:space="preserve">Malaysia</w:t>
      </w:r>
      <w:r w:rsidDel="00000000" w:rsidR="00000000" w:rsidRPr="00000000">
        <w:rPr>
          <w:rtl w:val="0"/>
        </w:rPr>
        <w:t xml:space="preserve"> has a strong presence in the Services and Utilities industries, which presents a good opportunity for further investment. It also could consider Machinery and Construction to improve its growth. </w:t>
      </w:r>
      <w:r w:rsidDel="00000000" w:rsidR="00000000" w:rsidRPr="00000000">
        <w:rPr>
          <w:rtl w:val="0"/>
        </w:rPr>
        <w:t xml:space="preserve">Malaysia</w:t>
      </w:r>
      <w:r w:rsidDel="00000000" w:rsidR="00000000" w:rsidRPr="00000000">
        <w:rPr>
          <w:rtl w:val="0"/>
        </w:rPr>
        <w:t xml:space="preserve"> has seen a high growth in GDP over those three years of 6.51% anually, though lower than that of the previous period.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Higher than before, its adjusted R-squared value of 0.170 indicates a high correlation between the GDP growth and the implemented development path. Progress is slow on a global scale during this period, but </w:t>
      </w:r>
      <w:r w:rsidDel="00000000" w:rsidR="00000000" w:rsidRPr="00000000">
        <w:rPr>
          <w:rtl w:val="0"/>
        </w:rPr>
        <w:t xml:space="preserve">Malaysia</w:t>
      </w:r>
      <w:r w:rsidDel="00000000" w:rsidR="00000000" w:rsidRPr="00000000">
        <w:rPr>
          <w:rtl w:val="0"/>
        </w:rPr>
        <w:t xml:space="preserve"> demonstrates a comparable ability to adjust to negative economic shocks by improving SOI and increasing GDP growth than it did between 2009 and 2014.</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jc w:val="center"/>
        <w:rPr/>
      </w:pPr>
      <w:r w:rsidDel="00000000" w:rsidR="00000000" w:rsidRPr="00000000">
        <w:rPr/>
        <w:drawing>
          <wp:inline distB="114300" distT="114300" distL="114300" distR="114300">
            <wp:extent cx="5948363" cy="2381321"/>
            <wp:effectExtent b="0" l="0" r="0" t="0"/>
            <wp:docPr id="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48363" cy="2381321"/>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Malaysia</w:t>
      </w:r>
      <w:r w:rsidDel="00000000" w:rsidR="00000000" w:rsidRPr="00000000">
        <w:rPr>
          <w:sz w:val="22"/>
          <w:szCs w:val="22"/>
          <w:rtl w:val="0"/>
        </w:rPr>
        <w:t xml:space="preserve"> (2019-2022)</w:t>
      </w:r>
    </w:p>
    <w:p w:rsidR="00000000" w:rsidDel="00000000" w:rsidP="00000000" w:rsidRDefault="00000000" w:rsidRPr="00000000" w14:paraId="0000029D">
      <w:pPr>
        <w:pageBreakBefore w:val="0"/>
        <w:jc w:val="both"/>
        <w:rPr>
          <w:b w:val="1"/>
          <w:bCs w:val="1"/>
        </w:rPr>
      </w:pPr>
      <w:r w:rsidDel="00000000" w:rsidR="00000000" w:rsidRPr="00000000">
        <w:rPr>
          <w:rtl w:val="0"/>
        </w:rPr>
      </w:r>
    </w:p>
    <w:p w:rsidR="00000000" w:rsidDel="00000000" w:rsidP="00000000" w:rsidRDefault="00000000" w:rsidRPr="00000000" w14:paraId="0000029E">
      <w:pPr>
        <w:pageBreakBefore w:val="0"/>
        <w:jc w:val="both"/>
        <w:rPr>
          <w:b w:val="1"/>
          <w:bCs w:val="1"/>
        </w:rPr>
      </w:pPr>
      <w:r w:rsidDel="00000000" w:rsidR="00000000" w:rsidRPr="00000000">
        <w:rPr>
          <w:rtl w:val="0"/>
        </w:rPr>
      </w:r>
    </w:p>
    <w:p w:rsidR="00000000" w:rsidDel="00000000" w:rsidP="00000000" w:rsidRDefault="00000000" w:rsidRPr="00000000" w14:paraId="0000029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A1">
      <w:pPr>
        <w:pageBreakBefore w:val="0"/>
        <w:jc w:val="both"/>
        <w:rPr/>
      </w:pPr>
      <w:r w:rsidDel="00000000" w:rsidR="00000000" w:rsidRPr="00000000">
        <w:rPr>
          <w:rtl w:val="0"/>
        </w:rPr>
      </w:r>
    </w:p>
    <w:p w:rsidR="00000000" w:rsidDel="00000000" w:rsidP="00000000" w:rsidRDefault="00000000" w:rsidRPr="00000000" w14:paraId="000002A2">
      <w:pPr>
        <w:pageBreakBefore w:val="0"/>
        <w:jc w:val="both"/>
        <w:rPr/>
      </w:pPr>
      <w:r w:rsidDel="00000000" w:rsidR="00000000" w:rsidRPr="00000000">
        <w:rPr>
          <w:rtl w:val="0"/>
        </w:rPr>
        <w:t xml:space="preserve">In conclusion, </w:t>
      </w:r>
      <w:r w:rsidDel="00000000" w:rsidR="00000000" w:rsidRPr="00000000">
        <w:rPr>
          <w:rtl w:val="0"/>
        </w:rPr>
        <w:t xml:space="preserve">Malaysia</w:t>
      </w:r>
      <w:r w:rsidDel="00000000" w:rsidR="00000000" w:rsidRPr="00000000">
        <w:rPr>
          <w:rtl w:val="0"/>
        </w:rPr>
        <w:t xml:space="preserve"> has demonstrated a high level of economic growth in terms of annual GDP increase during the period from 2009 to 2014, concurrent with an increase in economic complexity as compared with major emerging economies. For 2019-2022, the growth in GDP has decreased alongside a decrease boost in ECI, in line with many peer economies across the world.</w:t>
      </w:r>
    </w:p>
    <w:p w:rsidR="00000000" w:rsidDel="00000000" w:rsidP="00000000" w:rsidRDefault="00000000" w:rsidRPr="00000000" w14:paraId="000002A3">
      <w:pPr>
        <w:pageBreakBefore w:val="0"/>
        <w:jc w:val="both"/>
        <w:rPr/>
      </w:pPr>
      <w:r w:rsidDel="00000000" w:rsidR="00000000" w:rsidRPr="00000000">
        <w:rPr>
          <w:rtl w:val="0"/>
        </w:rPr>
      </w:r>
    </w:p>
    <w:p w:rsidR="00000000" w:rsidDel="00000000" w:rsidP="00000000" w:rsidRDefault="00000000" w:rsidRPr="00000000" w14:paraId="000002A4">
      <w:pPr>
        <w:pageBreakBefore w:val="0"/>
        <w:jc w:val="both"/>
        <w:rPr/>
      </w:pPr>
      <w:r w:rsidDel="00000000" w:rsidR="00000000" w:rsidRPr="00000000">
        <w:rPr>
          <w:rtl w:val="0"/>
        </w:rPr>
        <w:t xml:space="preserve">We believe that the progress during the first period can be partially explained through the analysis of the economic and product complexity structure of </w:t>
      </w:r>
      <w:r w:rsidDel="00000000" w:rsidR="00000000" w:rsidRPr="00000000">
        <w:rPr>
          <w:rtl w:val="0"/>
        </w:rPr>
        <w:t xml:space="preserve">Malaysia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Malaysia</w:t>
      </w:r>
      <w:r w:rsidDel="00000000" w:rsidR="00000000" w:rsidRPr="00000000">
        <w:rPr>
          <w:rtl w:val="0"/>
        </w:rPr>
        <w:t xml:space="preserve"> progressed in developing many industries, more than other emerging economies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5">
      <w:pPr>
        <w:pageBreakBefore w:val="0"/>
        <w:jc w:val="both"/>
        <w:rPr/>
      </w:pPr>
      <w:r w:rsidDel="00000000" w:rsidR="00000000" w:rsidRPr="00000000">
        <w:rPr>
          <w:rtl w:val="0"/>
        </w:rPr>
      </w:r>
    </w:p>
    <w:p w:rsidR="00000000" w:rsidDel="00000000" w:rsidP="00000000" w:rsidRDefault="00000000" w:rsidRPr="00000000" w14:paraId="000002A6">
      <w:pPr>
        <w:pageBreakBefore w:val="0"/>
        <w:jc w:val="both"/>
        <w:rPr/>
      </w:pPr>
      <w:r w:rsidDel="00000000" w:rsidR="00000000" w:rsidRPr="00000000">
        <w:rPr>
          <w:rtl w:val="0"/>
        </w:rPr>
        <w:t xml:space="preserve">Based on our analysis of the opportunity gain and sensitivity analysis of major industry groups for 2009-2014, </w:t>
      </w:r>
      <w:r w:rsidDel="00000000" w:rsidR="00000000" w:rsidRPr="00000000">
        <w:rPr>
          <w:rtl w:val="0"/>
        </w:rPr>
        <w:t xml:space="preserve">Malaysia</w:t>
      </w:r>
      <w:r w:rsidDel="00000000" w:rsidR="00000000" w:rsidRPr="00000000">
        <w:rPr>
          <w:rtl w:val="0"/>
        </w:rPr>
        <w:t xml:space="preserve"> could have stayed optimal with its current industry structure and there is no immediate need of reform because no industry has a positive opportunity gain at its current stage.  We further note that Malaysia has a slightly mismatched development strategy that indicates a moderate level of fitness with the strategy calculated on a complexity level, having an adjusted R-square of around 10.8%. Since a significant positive correlation exists between five-year GDP growth and the structural optimality index of an economy as we define and calculate, Malaysia indeed adopted a promising but not perfect development plan as compared with other emerging economies both on a regional scale and on a global scale, and has the potential to further its economic gains through industrial structure balancing as suggested in the paper.</w:t>
      </w:r>
    </w:p>
    <w:p w:rsidR="00000000" w:rsidDel="00000000" w:rsidP="00000000" w:rsidRDefault="00000000" w:rsidRPr="00000000" w14:paraId="000002A7">
      <w:pPr>
        <w:pageBreakBefore w:val="0"/>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During the second examined period from 2019 to 2022, </w:t>
      </w:r>
      <w:r w:rsidDel="00000000" w:rsidR="00000000" w:rsidRPr="00000000">
        <w:rPr>
          <w:rtl w:val="0"/>
        </w:rPr>
        <w:t xml:space="preserve">Malaysia</w:t>
      </w:r>
      <w:r w:rsidDel="00000000" w:rsidR="00000000" w:rsidRPr="00000000">
        <w:rPr>
          <w:rtl w:val="0"/>
        </w:rPr>
        <w:t xml:space="preserve"> performed weaker than before and compared to other countries, particularly China. We infer that during the  COVID-19 period, Malaysia focused on developing </w:t>
      </w:r>
      <w:r w:rsidDel="00000000" w:rsidR="00000000" w:rsidRPr="00000000">
        <w:rPr>
          <w:rtl w:val="0"/>
        </w:rPr>
        <w:t xml:space="preserve">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Malaysia</w:t>
      </w:r>
      <w:r w:rsidDel="00000000" w:rsidR="00000000" w:rsidRPr="00000000">
        <w:rPr>
          <w:rtl w:val="0"/>
        </w:rPr>
        <w:t xml:space="preserve"> has increased its investment in the sectors identified earlier while leaving some room for strategic improvement. The ECI suggests that greater growth could have been achieved through Machinery and Construction, and Food and Preparation industries. The surprising growth also increased the adjusted R-squared value to 0.108 in 2022 from 0.108 in 2014,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Malaysia</w:t>
      </w:r>
      <w:r w:rsidDel="00000000" w:rsidR="00000000" w:rsidRPr="00000000">
        <w:rPr>
          <w:rtl w:val="0"/>
        </w:rPr>
        <w:t xml:space="preserve"> has further potential to advance its economic growth to maintain its position among other countries to continue its ongoing economic expansion.</w:t>
      </w:r>
    </w:p>
    <w:p w:rsidR="00000000" w:rsidDel="00000000" w:rsidP="00000000" w:rsidRDefault="00000000" w:rsidRPr="00000000" w14:paraId="000002A9">
      <w:pPr>
        <w:pageBreakBefore w:val="0"/>
        <w:jc w:val="both"/>
        <w:rPr/>
      </w:pPr>
      <w:r w:rsidDel="00000000" w:rsidR="00000000" w:rsidRPr="00000000">
        <w:rPr>
          <w:rtl w:val="0"/>
        </w:rPr>
      </w:r>
    </w:p>
    <w:p w:rsidR="00000000" w:rsidDel="00000000" w:rsidP="00000000" w:rsidRDefault="00000000" w:rsidRPr="00000000" w14:paraId="000002AA">
      <w:pPr>
        <w:pageBreakBefore w:val="0"/>
        <w:jc w:val="both"/>
        <w:rPr/>
      </w:pPr>
      <w:r w:rsidDel="00000000" w:rsidR="00000000" w:rsidRPr="00000000">
        <w:rPr>
          <w:rtl w:val="0"/>
        </w:rPr>
      </w:r>
    </w:p>
    <w:p w:rsidR="00000000" w:rsidDel="00000000" w:rsidP="00000000" w:rsidRDefault="00000000" w:rsidRPr="00000000" w14:paraId="000002AB">
      <w:pPr>
        <w:pageBreakBefore w:val="0"/>
        <w:jc w:val="both"/>
        <w:rPr/>
      </w:pPr>
      <w:r w:rsidDel="00000000" w:rsidR="00000000" w:rsidRPr="00000000">
        <w:rPr>
          <w:rtl w:val="0"/>
        </w:rPr>
      </w:r>
    </w:p>
    <w:p w:rsidR="00000000" w:rsidDel="00000000" w:rsidP="00000000" w:rsidRDefault="00000000" w:rsidRPr="00000000" w14:paraId="000002AC">
      <w:pPr>
        <w:pageBreakBefore w:val="0"/>
        <w:jc w:val="both"/>
        <w:rPr/>
      </w:pPr>
      <w:r w:rsidDel="00000000" w:rsidR="00000000" w:rsidRPr="00000000">
        <w:rPr>
          <w:rtl w:val="0"/>
        </w:rPr>
      </w:r>
    </w:p>
    <w:p w:rsidR="00000000" w:rsidDel="00000000" w:rsidP="00000000" w:rsidRDefault="00000000" w:rsidRPr="00000000" w14:paraId="000002AD">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E">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A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B0">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2">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4">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6">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B7">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8">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B9">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A">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BB">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C">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BD">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E">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BF">
      <w:pPr>
        <w:pageBreakBefore w:val="0"/>
        <w:jc w:val="both"/>
        <w:rPr/>
      </w:pPr>
      <w:r w:rsidDel="00000000" w:rsidR="00000000" w:rsidRPr="00000000">
        <w:rPr>
          <w:rtl w:val="0"/>
        </w:rPr>
      </w:r>
    </w:p>
    <w:sectPr>
      <w:headerReference r:id="rId28" w:type="default"/>
      <w:footerReference r:id="rId29" w:type="default"/>
      <w:footerReference r:id="rId30" w:type="first"/>
      <w:footerReference r:id="rId31"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image" Target="media/image13.png"/><Relationship Id="rId21" Type="http://schemas.openxmlformats.org/officeDocument/2006/relationships/image" Target="media/image7.jpg"/><Relationship Id="rId24" Type="http://schemas.openxmlformats.org/officeDocument/2006/relationships/image" Target="media/image1.jp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0.png"/><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footer" Target="footer2.xml"/><Relationship Id="rId7" Type="http://schemas.openxmlformats.org/officeDocument/2006/relationships/image" Target="media/image22.png"/><Relationship Id="rId8" Type="http://schemas.openxmlformats.org/officeDocument/2006/relationships/image" Target="media/image11.png"/><Relationship Id="rId31" Type="http://schemas.openxmlformats.org/officeDocument/2006/relationships/footer" Target="footer1.xml"/><Relationship Id="rId30" Type="http://schemas.openxmlformats.org/officeDocument/2006/relationships/footer" Target="footer3.xml"/><Relationship Id="rId11" Type="http://schemas.openxmlformats.org/officeDocument/2006/relationships/image" Target="media/image2.png"/><Relationship Id="rId10" Type="http://schemas.openxmlformats.org/officeDocument/2006/relationships/image" Target="media/image15.png"/><Relationship Id="rId13" Type="http://schemas.openxmlformats.org/officeDocument/2006/relationships/image" Target="media/image20.png"/><Relationship Id="rId12" Type="http://schemas.openxmlformats.org/officeDocument/2006/relationships/image" Target="media/image19.png"/><Relationship Id="rId15" Type="http://schemas.openxmlformats.org/officeDocument/2006/relationships/image" Target="media/image6.jp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8.png"/><Relationship Id="rId19" Type="http://schemas.openxmlformats.org/officeDocument/2006/relationships/image" Target="media/image1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