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00" w:orient="portrait"/>
          <w:pgMar w:bottom="1440" w:top="1440" w:left="1440" w:right="1440" w:header="720" w:footer="720"/>
          <w:pgNumType w:start="1"/>
        </w:sectPr>
      </w:pPr>
      <w:bookmarkStart w:colFirst="0" w:colLast="0" w:name="_e78h72gx0fez"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0" w:before="0" w:line="288" w:lineRule="auto"/>
        <w:rPr>
          <w:b w:val="0"/>
          <w:bCs w:val="0"/>
          <w:i w:val="1"/>
          <w:iCs w:val="1"/>
          <w:color w:val="444499"/>
          <w:sz w:val="20"/>
          <w:szCs w:val="20"/>
        </w:rPr>
      </w:pPr>
      <w:bookmarkStart w:colFirst="0" w:colLast="0" w:name="_z6ne0og04bp5" w:id="1"/>
      <w:bookmarkEnd w:id="1"/>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0"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5" name="image16.png"/>
            <a:graphic>
              <a:graphicData uri="http://schemas.openxmlformats.org/drawingml/2006/picture">
                <pic:pic>
                  <pic:nvPicPr>
                    <pic:cNvPr id="0" name="image16.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4">
      <w:pPr>
        <w:pStyle w:val="Title"/>
        <w:spacing w:before="320" w:lineRule="auto"/>
        <w:rPr>
          <w:rFonts w:ascii="PT Sans Narrow" w:cs="PT Sans Narrow" w:eastAsia="PT Sans Narrow" w:hAnsi="PT Sans Narrow"/>
          <w:b w:val="1"/>
          <w:bCs w:val="1"/>
          <w:color w:val="666666"/>
          <w:sz w:val="60"/>
          <w:szCs w:val="60"/>
        </w:rPr>
      </w:pPr>
      <w:bookmarkStart w:colFirst="0" w:colLast="0" w:name="_2gazcsgmxkub" w:id="2"/>
      <w:bookmarkEnd w:id="2"/>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5">
      <w:pPr>
        <w:pStyle w:val="Title"/>
        <w:spacing w:before="320" w:lineRule="auto"/>
        <w:rPr>
          <w:rFonts w:ascii="PT Sans Narrow" w:cs="PT Sans Narrow" w:eastAsia="PT Sans Narrow" w:hAnsi="PT Sans Narrow"/>
          <w:b w:val="1"/>
          <w:bCs w:val="1"/>
          <w:sz w:val="60"/>
          <w:szCs w:val="60"/>
        </w:rPr>
      </w:pPr>
      <w:bookmarkStart w:colFirst="0" w:colLast="0" w:name="_q5cok54tx0k8" w:id="3"/>
      <w:bookmarkEnd w:id="3"/>
      <w:r w:rsidDel="00000000" w:rsidR="00000000" w:rsidRPr="00000000">
        <w:rPr>
          <w:rFonts w:ascii="PT Sans Narrow" w:cs="PT Sans Narrow" w:eastAsia="PT Sans Narrow" w:hAnsi="PT Sans Narrow"/>
          <w:b w:val="1"/>
          <w:bCs w:val="1"/>
          <w:sz w:val="60"/>
          <w:szCs w:val="60"/>
          <w:rtl w:val="0"/>
        </w:rPr>
        <w:t xml:space="preserve">Niger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8">
      <w:pPr>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9">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sz w:val="40"/>
          <w:szCs w:val="40"/>
          <w:rtl w:val="0"/>
        </w:rPr>
        <w:t xml:space="preserve">Optimal Industry Development Strategy for Niger</w:t>
      </w:r>
    </w:p>
    <w:p w:rsidR="00000000" w:rsidDel="00000000" w:rsidP="00000000" w:rsidRDefault="00000000" w:rsidRPr="00000000" w14:paraId="0000000B">
      <w:pPr>
        <w:jc w:val="center"/>
        <w:rPr>
          <w:sz w:val="40"/>
          <w:szCs w:val="40"/>
        </w:rPr>
      </w:pPr>
      <w:r w:rsidDel="00000000" w:rsidR="00000000" w:rsidRPr="00000000">
        <w:rPr>
          <w:rtl w:val="0"/>
        </w:rPr>
      </w:r>
    </w:p>
    <w:p w:rsidR="00000000" w:rsidDel="00000000" w:rsidP="00000000" w:rsidRDefault="00000000" w:rsidRPr="00000000" w14:paraId="0000000C">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 this report, we aim to uncover the economic path Niger went through during the period from 2013 to 2022. Specifically, we dive into the topic through a macroeconomic overview of </w:t>
      </w:r>
      <w:r w:rsidDel="00000000" w:rsidR="00000000" w:rsidRPr="00000000">
        <w:rPr>
          <w:rtl w:val="0"/>
        </w:rPr>
        <w:t xml:space="preserve">Niger</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Niger</w:t>
      </w:r>
      <w:r w:rsidDel="00000000" w:rsidR="00000000" w:rsidRPr="00000000">
        <w:rPr>
          <w:rtl w:val="0"/>
        </w:rPr>
        <w:t xml:space="preserve"> demonstrated a </w:t>
      </w:r>
      <w:r w:rsidDel="00000000" w:rsidR="00000000" w:rsidRPr="00000000">
        <w:rPr>
          <w:rtl w:val="0"/>
        </w:rPr>
        <w:t xml:space="preserve">moderate</w:t>
      </w:r>
      <w:r w:rsidDel="00000000" w:rsidR="00000000" w:rsidRPr="00000000">
        <w:rPr>
          <w:rtl w:val="0"/>
        </w:rPr>
        <w:t xml:space="preserve"> level of economic growth with an average annual GDP growth rate of 4.69% between 2019 and 2021, with a greater economic complexity compared to other major developed economies.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positive progress during the period (particularly in 2021-2022), we believe, can be partially explained through the analysis of the economic and product complexity structure of Niger on the industry group level, as well as the improved macro and microeconomic strategies. The product classification system we adopt allows us to measure the realized industry development for various industry groups and to observe that Niger progressed in developing most of its industries during the period while its developing counterparts and economies around the globe also adopted complex and progressive paths with variable degrees of success.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Based on our analysis of the opportunity gain and sensitivity analysis of major industry groups, Niger could further its gains by prioritizing Weapons, Machinery and Construction, and Services and Utilities in 2019. Three years later, in 2022, its focus should shift to the Chemicals and Daily Instruments industries, which are also one of the more developed industries at the time. We further note that Niger has a heavily mismatched development strategy that indicates a low level (compared to other developing countries) of structural optimality on the complexity level, having an adjusted R-square of around</w:t>
      </w:r>
      <w:r w:rsidDel="00000000" w:rsidR="00000000" w:rsidRPr="00000000">
        <w:rPr>
          <w:rtl w:val="0"/>
        </w:rPr>
        <w:t xml:space="preserve"> 0.72% </w:t>
      </w:r>
      <w:r w:rsidDel="00000000" w:rsidR="00000000" w:rsidRPr="00000000">
        <w:rPr>
          <w:rtl w:val="0"/>
        </w:rPr>
        <w:t xml:space="preserve">in 2018 and a much higher score of 2.14% in 2021, demonstrating a </w:t>
      </w:r>
      <w:r w:rsidDel="00000000" w:rsidR="00000000" w:rsidRPr="00000000">
        <w:rPr>
          <w:rtl w:val="0"/>
        </w:rPr>
        <w:t xml:space="preserve">shift and improvement</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Niger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three years between 2019 and 2022 showed a significant improvement in Niger’s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this report, we aim to uncover the economic path Niger went through during the period from 2019 to 2022, before and after the COVID pandemic, compared to its performance from 2013 to 2018, before and after the Boko Haram Insurgency. Specifically, we dive into the topic through a macroeconomic overview of </w:t>
      </w:r>
      <w:r w:rsidDel="00000000" w:rsidR="00000000" w:rsidRPr="00000000">
        <w:rPr>
          <w:rtl w:val="0"/>
        </w:rPr>
        <w:t xml:space="preserve">Niger</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Niger</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Niger</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jc w:val="both"/>
        <w:rPr/>
      </w:pPr>
      <w:r w:rsidDel="00000000" w:rsidR="00000000" w:rsidRPr="00000000">
        <w:rPr>
          <w:rtl w:val="0"/>
        </w:rPr>
        <w:t xml:space="preserve">Figure 1a illustrates the time-series GDP results for </w:t>
      </w:r>
      <w:r w:rsidDel="00000000" w:rsidR="00000000" w:rsidRPr="00000000">
        <w:rPr>
          <w:rtl w:val="0"/>
        </w:rPr>
        <w:t xml:space="preserve">Niger</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(Nigeria and Ethiopia) from 2013 to 2018. Similar to the other countries, </w:t>
      </w:r>
      <w:r w:rsidDel="00000000" w:rsidR="00000000" w:rsidRPr="00000000">
        <w:rPr>
          <w:rtl w:val="0"/>
        </w:rPr>
        <w:t xml:space="preserve">Niger </w:t>
      </w:r>
      <w:r w:rsidDel="00000000" w:rsidR="00000000" w:rsidRPr="00000000">
        <w:rPr>
          <w:rtl w:val="0"/>
        </w:rPr>
        <w:t xml:space="preserve">displayed an eventual upward trend over the period; however, its growth was slightly less consistent than both Nigeria and Ethiopia’s growth. </w:t>
      </w:r>
      <w:r w:rsidDel="00000000" w:rsidR="00000000" w:rsidRPr="00000000">
        <w:rPr>
          <w:rtl w:val="0"/>
        </w:rPr>
        <w:t xml:space="preserve">Niger</w:t>
      </w:r>
      <w:r w:rsidDel="00000000" w:rsidR="00000000" w:rsidRPr="00000000">
        <w:rPr>
          <w:rtl w:val="0"/>
        </w:rPr>
        <w:t xml:space="preserve">’s average annual GDP growth rate of 5.0% over the five-year period is greater than Nigeria’s rate (1.9%) but less than</w:t>
      </w:r>
      <w:r w:rsidDel="00000000" w:rsidR="00000000" w:rsidRPr="00000000">
        <w:rPr>
          <w:rtl w:val="0"/>
        </w:rPr>
        <w:t xml:space="preserve"> </w:t>
      </w:r>
      <w:r w:rsidDel="00000000" w:rsidR="00000000" w:rsidRPr="00000000">
        <w:rPr>
          <w:rtl w:val="0"/>
        </w:rPr>
        <w:t xml:space="preserve">Ethiopia’s rate 7.7%.</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Figure 1b shows the GDP levels for </w:t>
      </w:r>
      <w:r w:rsidDel="00000000" w:rsidR="00000000" w:rsidRPr="00000000">
        <w:rPr>
          <w:rtl w:val="0"/>
        </w:rPr>
        <w:t xml:space="preserve">Niger</w:t>
      </w:r>
      <w:r w:rsidDel="00000000" w:rsidR="00000000" w:rsidRPr="00000000">
        <w:rPr>
          <w:rtl w:val="0"/>
        </w:rPr>
        <w:t xml:space="preserve"> and its peer countries (Nigeria, Ethiopia, and Togo) from 2019 to 2022. Similar to the other countries, </w:t>
      </w:r>
      <w:r w:rsidDel="00000000" w:rsidR="00000000" w:rsidRPr="00000000">
        <w:rPr>
          <w:rtl w:val="0"/>
        </w:rPr>
        <w:t xml:space="preserve">Niger</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Niger</w:t>
      </w:r>
      <w:r w:rsidDel="00000000" w:rsidR="00000000" w:rsidRPr="00000000">
        <w:rPr>
          <w:rtl w:val="0"/>
        </w:rPr>
        <w:t xml:space="preserve">’s average annual GDP growth rate (4.69%) is in the higher end</w:t>
      </w:r>
      <w:r w:rsidDel="00000000" w:rsidR="00000000" w:rsidRPr="00000000">
        <w:rPr>
          <w:rtl w:val="0"/>
        </w:rPr>
        <w:t xml:space="preserve">,</w:t>
      </w:r>
      <w:r w:rsidDel="00000000" w:rsidR="00000000" w:rsidRPr="00000000">
        <w:rPr>
          <w:rtl w:val="0"/>
        </w:rPr>
        <w:t xml:space="preserve"> as it is greater than Nigeria and Togo’s average annual GDP growth rate of 1.725% and 4.67%, respectively, but less than Ethiopia’s 6.35%. It is notable that the GDP levels in </w:t>
      </w:r>
      <w:r w:rsidDel="00000000" w:rsidR="00000000" w:rsidRPr="00000000">
        <w:rPr>
          <w:rtl w:val="0"/>
        </w:rPr>
        <w:t xml:space="preserve">Niger</w:t>
      </w:r>
      <w:r w:rsidDel="00000000" w:rsidR="00000000" w:rsidRPr="00000000">
        <w:rPr>
          <w:rtl w:val="0"/>
        </w:rPr>
        <w:t xml:space="preserve"> and Togo almost evened out after 2018.</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5016323" cy="3748088"/>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016323"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Niger. As illustrated in Figure 2 below, </w:t>
      </w:r>
      <w:r w:rsidDel="00000000" w:rsidR="00000000" w:rsidRPr="00000000">
        <w:rPr>
          <w:rtl w:val="0"/>
        </w:rPr>
        <w:t xml:space="preserve">Niger</w:t>
      </w:r>
      <w:r w:rsidDel="00000000" w:rsidR="00000000" w:rsidRPr="00000000">
        <w:rPr>
          <w:rtl w:val="0"/>
        </w:rPr>
        <w:t xml:space="preserve"> (1.78% ECI change) exhibited a</w:t>
      </w:r>
      <w:r w:rsidDel="00000000" w:rsidR="00000000" w:rsidRPr="00000000">
        <w:rPr>
          <w:rtl w:val="0"/>
        </w:rPr>
        <w:t xml:space="preserve"> </w:t>
      </w:r>
      <w:r w:rsidDel="00000000" w:rsidR="00000000" w:rsidRPr="00000000">
        <w:rPr>
          <w:rtl w:val="0"/>
        </w:rPr>
        <w:t xml:space="preserve">small increase in production capability from 2013 to 2018, which is different from both Ethiopia (13.2%) and Nigeria (-3.4%). </w:t>
      </w:r>
      <w:r w:rsidDel="00000000" w:rsidR="00000000" w:rsidRPr="00000000">
        <w:rPr>
          <w:rtl w:val="0"/>
        </w:rPr>
        <w:t xml:space="preserve">Niger</w:t>
      </w:r>
      <w:r w:rsidDel="00000000" w:rsidR="00000000" w:rsidRPr="00000000">
        <w:rPr>
          <w:rtl w:val="0"/>
        </w:rPr>
        <w:t xml:space="preserve"> is in a strong position in ECI terms, as its ECI change is consistently above average within its peer group in terms of GDP growth rate and ECI change across the period.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2022.</w:t>
      </w:r>
      <w:r w:rsidDel="00000000" w:rsidR="00000000" w:rsidRPr="00000000">
        <w:rPr>
          <w:rtl w:val="0"/>
        </w:rPr>
        <w:t xml:space="preserve"> Niger</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extensive microeconomic stimulus packages</w:t>
      </w:r>
      <w:r w:rsidDel="00000000" w:rsidR="00000000" w:rsidRPr="00000000">
        <w:rPr>
          <w:rtl w:val="0"/>
        </w:rPr>
        <w:t xml:space="preserve"> being one of the reasons. </w:t>
      </w:r>
      <w:r w:rsidDel="00000000" w:rsidR="00000000" w:rsidRPr="00000000">
        <w:rPr>
          <w:rtl w:val="0"/>
        </w:rPr>
        <w:t xml:space="preserve">Niger</w:t>
      </w:r>
      <w:r w:rsidDel="00000000" w:rsidR="00000000" w:rsidRPr="00000000">
        <w:rPr>
          <w:rtl w:val="0"/>
        </w:rPr>
        <w:t xml:space="preserve"> has seen a 178.83% increase in its ECI, which is greater than Nigeria's (55.39%), but less than Ethiopia and Togo’s 204.55% and 205.18%, respectively.</w:t>
      </w:r>
    </w:p>
    <w:p w:rsidR="00000000" w:rsidDel="00000000" w:rsidP="00000000" w:rsidRDefault="00000000" w:rsidRPr="00000000" w14:paraId="00000028">
      <w:pPr>
        <w:jc w:val="center"/>
        <w:rPr/>
      </w:pPr>
      <w:r w:rsidDel="00000000" w:rsidR="00000000" w:rsidRPr="00000000">
        <w:rPr>
          <w:rtl w:val="0"/>
        </w:rPr>
        <w:t xml:space="preserve">   </w:t>
      </w:r>
      <w:r w:rsidDel="00000000" w:rsidR="00000000" w:rsidRPr="00000000">
        <w:rPr/>
        <w:drawing>
          <wp:inline distB="114300" distT="114300" distL="114300" distR="114300">
            <wp:extent cx="3362204" cy="2519363"/>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362204"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Figures 3a and 3b offer a further comparison of GDP Growth and ECI over the time span from 2013 to 2022 for </w:t>
      </w:r>
      <w:r w:rsidDel="00000000" w:rsidR="00000000" w:rsidRPr="00000000">
        <w:rPr>
          <w:rtl w:val="0"/>
        </w:rPr>
        <w:t xml:space="preserve">Niger</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Niger</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Niger</w:t>
      </w:r>
      <w:r w:rsidDel="00000000" w:rsidR="00000000" w:rsidRPr="00000000">
        <w:rPr>
          <w:rtl w:val="0"/>
        </w:rPr>
        <w:t xml:space="preserve"> made moderate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Niger</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C">
      <w:pPr>
        <w:jc w:val="center"/>
        <w:rPr/>
      </w:pPr>
      <w:r w:rsidDel="00000000" w:rsidR="00000000" w:rsidRPr="00000000">
        <w:rPr/>
        <w:drawing>
          <wp:inline distB="114300" distT="114300" distL="114300" distR="114300">
            <wp:extent cx="3527454" cy="2643188"/>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527454"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rFonts w:ascii="Times" w:cs="Times" w:eastAsia="Times" w:hAnsi="Times"/>
          <w:b w:val="1"/>
          <w:bCs w:val="1"/>
          <w:sz w:val="28"/>
          <w:szCs w:val="28"/>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Niger</w:t>
      </w:r>
      <w:r w:rsidDel="00000000" w:rsidR="00000000" w:rsidRPr="00000000">
        <w:rPr>
          <w:sz w:val="22"/>
          <w:szCs w:val="22"/>
          <w:rtl w:val="0"/>
        </w:rPr>
        <w:t xml:space="preserve"> (right: 2019-2021)</w:t>
      </w:r>
      <w:r w:rsidDel="00000000" w:rsidR="00000000" w:rsidRPr="00000000">
        <w:br w:type="page"/>
      </w:r>
      <w:r w:rsidDel="00000000" w:rsidR="00000000" w:rsidRPr="00000000">
        <w:rPr>
          <w:rtl w:val="0"/>
        </w:rPr>
      </w:r>
    </w:p>
    <w:p w:rsidR="00000000" w:rsidDel="00000000" w:rsidP="00000000" w:rsidRDefault="00000000" w:rsidRPr="00000000" w14:paraId="0000002E">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5">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6">
            <w:pPr>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7">
            <w:pPr>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8">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A">
            <w:pPr>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C">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F">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Figure 4.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4">
            <w:pPr>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6">
            <w:pPr>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7">
            <w:pPr>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8">
            <w:pPr>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9">
            <w:pPr>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A">
            <w:pPr>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B">
            <w:pPr>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C">
            <w:pPr>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D">
            <w:pPr>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E">
            <w:pPr>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F">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0">
            <w:pPr>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1">
            <w:pPr>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2">
      <w:pPr>
        <w:jc w:val="center"/>
        <w:rPr>
          <w:sz w:val="22"/>
          <w:szCs w:val="22"/>
        </w:rPr>
      </w:pPr>
      <w:r w:rsidDel="00000000" w:rsidR="00000000" w:rsidRPr="00000000">
        <w:rPr>
          <w:sz w:val="22"/>
          <w:szCs w:val="22"/>
          <w:rtl w:val="0"/>
        </w:rPr>
        <w:t xml:space="preserve">Figure 5. OLS Regression Results of GDP against Volume of Percentage Exports</w:t>
      </w:r>
    </w:p>
    <w:p w:rsidR="00000000" w:rsidDel="00000000" w:rsidP="00000000" w:rsidRDefault="00000000" w:rsidRPr="00000000" w14:paraId="00000083">
      <w:pPr>
        <w:jc w:val="center"/>
        <w:rPr>
          <w:sz w:val="22"/>
          <w:szCs w:val="22"/>
        </w:rPr>
      </w:pP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6">
      <w:pPr>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Niger'</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Niger</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decreased</w:t>
      </w:r>
      <w:r w:rsidDel="00000000" w:rsidR="00000000" w:rsidRPr="00000000">
        <w:rPr>
          <w:rtl w:val="0"/>
        </w:rPr>
        <w:t xml:space="preserve"> from 2018 to 2021.</w:t>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drawing>
          <wp:inline distB="114300" distT="114300" distL="114300" distR="114300">
            <wp:extent cx="3812339" cy="4452938"/>
            <wp:effectExtent b="0" l="0" r="0" t="0"/>
            <wp:docPr id="1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3812339"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b w:val="1"/>
          <w:bCs w:val="1"/>
        </w:rPr>
      </w:pPr>
      <w:r w:rsidDel="00000000" w:rsidR="00000000" w:rsidRPr="00000000">
        <w:rPr>
          <w:rtl w:val="0"/>
        </w:rPr>
        <w:t xml:space="preserve">T</w:t>
      </w:r>
      <w:r w:rsidDel="00000000" w:rsidR="00000000" w:rsidRPr="00000000">
        <w:rPr>
          <w:sz w:val="22"/>
          <w:szCs w:val="22"/>
          <w:rtl w:val="0"/>
        </w:rPr>
        <w:t xml:space="preserve">able 3. Realized Industry Development (RID) of </w:t>
      </w:r>
      <w:r w:rsidDel="00000000" w:rsidR="00000000" w:rsidRPr="00000000">
        <w:rPr>
          <w:sz w:val="22"/>
          <w:szCs w:val="22"/>
          <w:rtl w:val="0"/>
        </w:rPr>
        <w:t xml:space="preserve">Niger</w:t>
      </w: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D">
      <w:pPr>
        <w:jc w:val="both"/>
        <w:rPr>
          <w:sz w:val="22"/>
          <w:szCs w:val="22"/>
        </w:rPr>
      </w:pPr>
      <w:r w:rsidDel="00000000" w:rsidR="00000000" w:rsidRPr="00000000">
        <w:rPr>
          <w:rtl w:val="0"/>
        </w:rPr>
        <w:t xml:space="preserve">Table 4a below summarizes how the production strategy adopted by Niger compares with selected leading economies in the world across different years, as measured in RID. Leading economies such as Bolivia, Peru, and Uruguay gave a considerable level of attention to more advanced product groups. </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114300" distT="114300" distL="114300" distR="114300">
            <wp:extent cx="5731200" cy="2984500"/>
            <wp:effectExtent b="0" l="0" r="0" t="0"/>
            <wp:docPr id="13" name="image18.png"/>
            <a:graphic>
              <a:graphicData uri="http://schemas.openxmlformats.org/drawingml/2006/picture">
                <pic:pic>
                  <pic:nvPicPr>
                    <pic:cNvPr id="0" name="image18.png"/>
                    <pic:cNvPicPr preferRelativeResize="0"/>
                  </pic:nvPicPr>
                  <pic:blipFill>
                    <a:blip r:embed="rId12"/>
                    <a:srcRect b="4118" l="0" r="0" t="3824"/>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p>
    <w:p w:rsidR="00000000" w:rsidDel="00000000" w:rsidP="00000000" w:rsidRDefault="00000000" w:rsidRPr="00000000" w14:paraId="00000091">
      <w:pPr>
        <w:jc w:val="center"/>
        <w:rPr>
          <w:sz w:val="22"/>
          <w:szCs w:val="22"/>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4">
      <w:pPr>
        <w:jc w:val="both"/>
        <w:rPr>
          <w:b w:val="1"/>
          <w:bCs w:val="1"/>
        </w:rPr>
      </w:pPr>
      <w:r w:rsidDel="00000000" w:rsidR="00000000" w:rsidRPr="00000000">
        <w:rPr>
          <w:rtl w:val="0"/>
        </w:rPr>
      </w:r>
    </w:p>
    <w:p w:rsidR="00000000" w:rsidDel="00000000" w:rsidP="00000000" w:rsidRDefault="00000000" w:rsidRPr="00000000" w14:paraId="00000095">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6">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7">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99">
      <w:pPr>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w:t>
      </w:r>
      <w:r w:rsidDel="00000000" w:rsidR="00000000" w:rsidRPr="00000000">
        <w:rPr>
          <w:rtl w:val="0"/>
        </w:rPr>
        <w:t xml:space="preserve">decrement</w:t>
      </w:r>
      <w:r w:rsidDel="00000000" w:rsidR="00000000" w:rsidRPr="00000000">
        <w:rPr>
          <w:rtl w:val="0"/>
        </w:rPr>
        <w:t xml:space="preserve">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sz w:val="22"/>
          <w:szCs w:val="22"/>
        </w:rPr>
      </w:pPr>
      <w:r w:rsidDel="00000000" w:rsidR="00000000" w:rsidRPr="00000000">
        <w:rPr>
          <w:sz w:val="22"/>
          <w:szCs w:val="22"/>
          <w:rtl w:val="0"/>
        </w:rPr>
        <w:t xml:space="preserve">Table 5. Opportunity Gain Ranking on a Comparable Scale (2022)</w:t>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We define the ranking of opportunity gain for a country c, as the Suggested Development Vector (SDV) of c. Table 5 summarizes how the SDV of Niger compares with a selected group of comparable and leading economies in the world, with the industry groups ranked in decreasing order of significance. </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Chemicals and Mining industries. It can be concluded that Niger shares the characteristics of developing countries, with a balanced economic structure that leans towards developing-level industries.</w:t>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both"/>
        <w:rPr>
          <w:sz w:val="22"/>
          <w:szCs w:val="22"/>
        </w:rPr>
      </w:pPr>
      <w:r w:rsidDel="00000000" w:rsidR="00000000" w:rsidRPr="00000000">
        <w:rPr/>
        <w:drawing>
          <wp:inline distB="114300" distT="114300" distL="114300" distR="114300">
            <wp:extent cx="5731200" cy="2273300"/>
            <wp:effectExtent b="0" l="0" r="0" t="0"/>
            <wp:docPr id="17"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center"/>
        <w:rPr>
          <w:i w:val="1"/>
          <w:iCs w:val="1"/>
          <w:color w:val="444499"/>
          <w:sz w:val="20"/>
          <w:szCs w:val="20"/>
        </w:rPr>
      </w:pPr>
      <w:r w:rsidDel="00000000" w:rsidR="00000000" w:rsidRPr="00000000">
        <w:rPr/>
        <w:drawing>
          <wp:inline distB="114300" distT="114300" distL="114300" distR="114300">
            <wp:extent cx="2528888" cy="1141284"/>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AC">
      <w:pPr>
        <w:jc w:val="both"/>
        <w:rPr/>
      </w:pPr>
      <w:r w:rsidDel="00000000" w:rsidR="00000000" w:rsidRPr="00000000">
        <w:rPr>
          <w:rtl w:val="0"/>
        </w:rPr>
        <w:t xml:space="preserve"> </w:t>
      </w:r>
    </w:p>
    <w:p w:rsidR="00000000" w:rsidDel="00000000" w:rsidP="00000000" w:rsidRDefault="00000000" w:rsidRPr="00000000" w14:paraId="000000AD">
      <w:pPr>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AE">
      <w:pPr>
        <w:jc w:val="both"/>
        <w:rPr/>
      </w:pPr>
      <w:r w:rsidDel="00000000" w:rsidR="00000000" w:rsidRPr="00000000">
        <w:rPr>
          <w:rtl w:val="0"/>
        </w:rPr>
        <w:t xml:space="preserve"> </w:t>
      </w:r>
    </w:p>
    <w:p w:rsidR="00000000" w:rsidDel="00000000" w:rsidP="00000000" w:rsidRDefault="00000000" w:rsidRPr="00000000" w14:paraId="000000AF">
      <w:pPr>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0">
      <w:pPr>
        <w:jc w:val="center"/>
        <w:rPr>
          <w:i w:val="1"/>
          <w:iCs w:val="1"/>
          <w:color w:val="444499"/>
          <w:sz w:val="20"/>
          <w:szCs w:val="20"/>
        </w:rPr>
      </w:pPr>
      <w:r w:rsidDel="00000000" w:rsidR="00000000" w:rsidRPr="00000000">
        <w:rPr/>
        <w:drawing>
          <wp:inline distB="114300" distT="114300" distL="114300" distR="114300">
            <wp:extent cx="2138363" cy="71863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B8">
      <w:pPr>
        <w:jc w:val="both"/>
        <w:rPr>
          <w:rFonts w:ascii="Times" w:cs="Times" w:eastAsia="Times" w:hAnsi="Times"/>
          <w:b w:val="1"/>
          <w:bCs w:val="1"/>
          <w:sz w:val="28"/>
          <w:szCs w:val="28"/>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b w:val="1"/>
          <w:bCs w:val="1"/>
        </w:rPr>
      </w:pPr>
      <w:r w:rsidDel="00000000" w:rsidR="00000000" w:rsidRPr="00000000">
        <w:rPr>
          <w:rtl w:val="0"/>
        </w:rPr>
      </w:r>
    </w:p>
    <w:p w:rsidR="00000000" w:rsidDel="00000000" w:rsidP="00000000" w:rsidRDefault="00000000" w:rsidRPr="00000000" w14:paraId="000000BB">
      <w:pPr>
        <w:jc w:val="both"/>
        <w:rPr>
          <w:b w:val="1"/>
          <w:bCs w:val="1"/>
        </w:rPr>
      </w:pPr>
      <w:r w:rsidDel="00000000" w:rsidR="00000000" w:rsidRPr="00000000">
        <w:rPr>
          <w:rtl w:val="0"/>
        </w:rPr>
      </w:r>
    </w:p>
    <w:p w:rsidR="00000000" w:rsidDel="00000000" w:rsidP="00000000" w:rsidRDefault="00000000" w:rsidRPr="00000000" w14:paraId="000000B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BE">
      <w:pPr>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BF">
      <w:pPr>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6">
      <w:pPr>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Figures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Niger</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Niger</w:t>
      </w:r>
      <w:r w:rsidDel="00000000" w:rsidR="00000000" w:rsidRPr="00000000">
        <w:rPr>
          <w:rtl w:val="0"/>
        </w:rPr>
        <w:t xml:space="preserve"> actually have different increments.</w:t>
      </w:r>
    </w:p>
    <w:p w:rsidR="00000000" w:rsidDel="00000000" w:rsidP="00000000" w:rsidRDefault="00000000" w:rsidRPr="00000000" w14:paraId="000000E9">
      <w:pPr>
        <w:jc w:val="both"/>
        <w:rPr/>
      </w:pPr>
      <w:r w:rsidDel="00000000" w:rsidR="00000000" w:rsidRPr="00000000">
        <w:rPr>
          <w:rtl w:val="0"/>
        </w:rPr>
        <w:t xml:space="preserve"> </w:t>
      </w:r>
    </w:p>
    <w:p w:rsidR="00000000" w:rsidDel="00000000" w:rsidP="00000000" w:rsidRDefault="00000000" w:rsidRPr="00000000" w14:paraId="000000EA">
      <w:pPr>
        <w:jc w:val="both"/>
        <w:rPr/>
      </w:pPr>
      <w:r w:rsidDel="00000000" w:rsidR="00000000" w:rsidRPr="00000000">
        <w:rPr>
          <w:rtl w:val="0"/>
        </w:rPr>
        <w:t xml:space="preserve">For 2022, it’s interesting to see that Energy Drilling and Mining contributes to 100% of growth optimization for all 5%, 10%, 15%, and 20% cases. This is different from other countries’ growth optimization industry portfolios, with a unique push for Energy Drilling and Mining. These strategies go in line with the suggested trajectories based on ECI.</w:t>
      </w:r>
    </w:p>
    <w:p w:rsidR="00000000" w:rsidDel="00000000" w:rsidP="00000000" w:rsidRDefault="00000000" w:rsidRPr="00000000" w14:paraId="000000EB">
      <w:pPr>
        <w:jc w:val="both"/>
        <w:rPr>
          <w:i w:val="1"/>
          <w:iCs w:val="1"/>
          <w:color w:val="444499"/>
          <w:sz w:val="20"/>
          <w:szCs w:val="20"/>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drawing>
          <wp:inline distB="114300" distT="114300" distL="114300" distR="114300">
            <wp:extent cx="5734050" cy="2314575"/>
            <wp:effectExtent b="0" l="0" r="0" t="0"/>
            <wp:docPr id="1" name="image11.png"/>
            <a:graphic>
              <a:graphicData uri="http://schemas.openxmlformats.org/drawingml/2006/picture">
                <pic:pic>
                  <pic:nvPicPr>
                    <pic:cNvPr id="0" name="image11.png"/>
                    <pic:cNvPicPr preferRelativeResize="0"/>
                  </pic:nvPicPr>
                  <pic:blipFill>
                    <a:blip r:embed="rId17"/>
                    <a:srcRect b="19269" l="0" r="0" t="0"/>
                    <a:stretch>
                      <a:fillRect/>
                    </a:stretch>
                  </pic:blipFill>
                  <pic:spPr>
                    <a:xfrm>
                      <a:off x="0" y="0"/>
                      <a:ext cx="57340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Niger</w:t>
      </w:r>
      <w:r w:rsidDel="00000000" w:rsidR="00000000" w:rsidRPr="00000000">
        <w:rPr>
          <w:sz w:val="22"/>
          <w:szCs w:val="22"/>
          <w:rtl w:val="0"/>
        </w:rPr>
        <w:t xml:space="preserve"> with Different Budgets (2022)</w:t>
      </w:r>
    </w:p>
    <w:p w:rsidR="00000000" w:rsidDel="00000000" w:rsidP="00000000" w:rsidRDefault="00000000" w:rsidRPr="00000000" w14:paraId="000000EE">
      <w:pPr>
        <w:jc w:val="center"/>
        <w:rPr/>
      </w:pPr>
      <w:r w:rsidDel="00000000" w:rsidR="00000000" w:rsidRPr="00000000">
        <w:rPr/>
        <w:drawing>
          <wp:inline distB="114300" distT="114300" distL="114300" distR="114300">
            <wp:extent cx="5731200" cy="571500"/>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Niger</w:t>
      </w:r>
      <w:r w:rsidDel="00000000" w:rsidR="00000000" w:rsidRPr="00000000">
        <w:rPr>
          <w:sz w:val="22"/>
          <w:szCs w:val="22"/>
          <w:rtl w:val="0"/>
        </w:rPr>
        <w:t xml:space="preserve"> (2013)</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3">
      <w:pPr>
        <w:spacing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Niger</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0F4">
      <w:pPr>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5">
      <w:pPr>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6">
      <w:pPr>
        <w:jc w:val="both"/>
        <w:rPr>
          <w:b w:val="1"/>
          <w:bCs w:val="1"/>
        </w:rPr>
      </w:pPr>
      <w:r w:rsidDel="00000000" w:rsidR="00000000" w:rsidRPr="00000000">
        <w:rPr>
          <w:b w:val="1"/>
          <w:bCs w:val="1"/>
        </w:rPr>
        <w:drawing>
          <wp:inline distB="114300" distT="114300" distL="114300" distR="114300">
            <wp:extent cx="5310188" cy="2519630"/>
            <wp:effectExtent b="0" l="0" r="0" t="0"/>
            <wp:docPr id="7" name="image5.jpg"/>
            <a:graphic>
              <a:graphicData uri="http://schemas.openxmlformats.org/drawingml/2006/picture">
                <pic:pic>
                  <pic:nvPicPr>
                    <pic:cNvPr id="0" name="image5.jpg"/>
                    <pic:cNvPicPr preferRelativeResize="0"/>
                  </pic:nvPicPr>
                  <pic:blipFill>
                    <a:blip r:embed="rId19"/>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8">
      <w:pPr>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2022,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0F9">
      <w:pPr>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0FA">
      <w:pPr>
        <w:jc w:val="both"/>
        <w:rPr/>
      </w:pPr>
      <w:r w:rsidDel="00000000" w:rsidR="00000000" w:rsidRPr="00000000">
        <w:rPr>
          <w:rtl w:val="0"/>
        </w:rPr>
        <w:t xml:space="preserve">We examine </w:t>
      </w:r>
      <w:r w:rsidDel="00000000" w:rsidR="00000000" w:rsidRPr="00000000">
        <w:rPr>
          <w:rtl w:val="0"/>
        </w:rPr>
        <w:t xml:space="preserve">Niger</w:t>
      </w:r>
      <w:r w:rsidDel="00000000" w:rsidR="00000000" w:rsidRPr="00000000">
        <w:rPr>
          <w:rtl w:val="0"/>
        </w:rPr>
        <w:t xml:space="preserve">'s ECI Decremental and Incremental Sensitivity Charts for 2021. An increase in Energy Drilling and Mining will lead to the highest change in ECI, followed by Chemical Manufacturing and Wood Products. The strong sensitivity effect of manipulating the Wood Product category remains consistent with previous years. For the negative shock cases, Transportation becomes most impactful, a </w:t>
      </w:r>
      <w:r w:rsidDel="00000000" w:rsidR="00000000" w:rsidRPr="00000000">
        <w:rPr>
          <w:rtl w:val="0"/>
        </w:rPr>
        <w:t xml:space="preserve">new trend </w:t>
      </w:r>
      <w:r w:rsidDel="00000000" w:rsidR="00000000" w:rsidRPr="00000000">
        <w:rPr>
          <w:rtl w:val="0"/>
        </w:rPr>
        <w:t xml:space="preserve">exhibited by the plethora of transportation projects initiated by the Niger government, including the Benin-Niger Regional Transport Compact. The rest of the industries do not appear to have the same level of sensitivity.</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drawing>
          <wp:inline distB="114300" distT="114300" distL="114300" distR="114300">
            <wp:extent cx="5734050" cy="2952750"/>
            <wp:effectExtent b="0" l="0" r="0" t="0"/>
            <wp:docPr id="12" name="image13.png"/>
            <a:graphic>
              <a:graphicData uri="http://schemas.openxmlformats.org/drawingml/2006/picture">
                <pic:pic>
                  <pic:nvPicPr>
                    <pic:cNvPr id="0" name="image13.png"/>
                    <pic:cNvPicPr preferRelativeResize="0"/>
                  </pic:nvPicPr>
                  <pic:blipFill>
                    <a:blip r:embed="rId20"/>
                    <a:srcRect b="11189" l="0" r="0" t="16550"/>
                    <a:stretch>
                      <a:fillRect/>
                    </a:stretch>
                  </pic:blipFill>
                  <pic:spPr>
                    <a:xfrm>
                      <a:off x="0" y="0"/>
                      <a:ext cx="57340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Niger</w:t>
      </w:r>
      <w:r w:rsidDel="00000000" w:rsidR="00000000" w:rsidRPr="00000000">
        <w:rPr>
          <w:sz w:val="22"/>
          <w:szCs w:val="22"/>
          <w:rtl w:val="0"/>
        </w:rPr>
        <w:t xml:space="preserve"> (2021)</w:t>
      </w:r>
    </w:p>
    <w:p w:rsidR="00000000" w:rsidDel="00000000" w:rsidP="00000000" w:rsidRDefault="00000000" w:rsidRPr="00000000" w14:paraId="000000FE">
      <w:pPr>
        <w:jc w:val="center"/>
        <w:rPr>
          <w:sz w:val="22"/>
          <w:szCs w:val="22"/>
        </w:rPr>
      </w:pPr>
      <w:r w:rsidDel="00000000" w:rsidR="00000000" w:rsidRPr="00000000">
        <w:rPr>
          <w:sz w:val="22"/>
          <w:szCs w:val="22"/>
        </w:rPr>
        <w:drawing>
          <wp:inline distB="114300" distT="114300" distL="114300" distR="114300">
            <wp:extent cx="5734050" cy="3009900"/>
            <wp:effectExtent b="0" l="0" r="0" t="0"/>
            <wp:docPr id="18" name="image10.png"/>
            <a:graphic>
              <a:graphicData uri="http://schemas.openxmlformats.org/drawingml/2006/picture">
                <pic:pic>
                  <pic:nvPicPr>
                    <pic:cNvPr id="0" name="image10.png"/>
                    <pic:cNvPicPr preferRelativeResize="0"/>
                  </pic:nvPicPr>
                  <pic:blipFill>
                    <a:blip r:embed="rId21"/>
                    <a:srcRect b="11189" l="0" r="0" t="15152"/>
                    <a:stretch>
                      <a:fillRect/>
                    </a:stretch>
                  </pic:blipFill>
                  <pic:spPr>
                    <a:xfrm>
                      <a:off x="0" y="0"/>
                      <a:ext cx="57340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Niger</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Below is </w:t>
      </w:r>
      <w:r w:rsidDel="00000000" w:rsidR="00000000" w:rsidRPr="00000000">
        <w:rPr>
          <w:rtl w:val="0"/>
        </w:rPr>
        <w:t xml:space="preserve">Niger</w:t>
      </w:r>
      <w:r w:rsidDel="00000000" w:rsidR="00000000" w:rsidRPr="00000000">
        <w:rPr>
          <w:rtl w:val="0"/>
        </w:rPr>
        <w:t xml:space="preserve">'s 2018 ECI Sensitivity Charts. First, in the positive chart, we notice immediately that increases in Food and Preparations, Vegetables/Fruits/Plants, and Energy Drilling and Mining lead to an uptrend of ECI. The agriculture-adjacent product categories seem to give the most immediate increase in ECI for only a 20-30% increase in export magnitude. </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Next, we consider </w:t>
      </w:r>
      <w:r w:rsidDel="00000000" w:rsidR="00000000" w:rsidRPr="00000000">
        <w:rPr>
          <w:rtl w:val="0"/>
        </w:rPr>
        <w:t xml:space="preserve">Niger</w:t>
      </w:r>
      <w:r w:rsidDel="00000000" w:rsidR="00000000" w:rsidRPr="00000000">
        <w:rPr>
          <w:rtl w:val="0"/>
        </w:rPr>
        <w:t xml:space="preserve">'s 2018 Negative Shock chart. We see that </w:t>
      </w:r>
      <w:r w:rsidDel="00000000" w:rsidR="00000000" w:rsidRPr="00000000">
        <w:rPr>
          <w:rtl w:val="0"/>
        </w:rPr>
        <w:t xml:space="preserve">Niger</w:t>
      </w:r>
      <w:r w:rsidDel="00000000" w:rsidR="00000000" w:rsidRPr="00000000">
        <w:rPr>
          <w:rtl w:val="0"/>
        </w:rPr>
        <w:t xml:space="preserve"> is sensitive to changes in export levels in Energy Drilling and Mining, Wood Products, and Chemical Manufacturing as well as Transportation and Precious Stones. Interestingly, </w:t>
      </w:r>
      <w:r w:rsidDel="00000000" w:rsidR="00000000" w:rsidRPr="00000000">
        <w:rPr>
          <w:rtl w:val="0"/>
        </w:rPr>
        <w:t xml:space="preserve">Niger</w:t>
      </w:r>
      <w:r w:rsidDel="00000000" w:rsidR="00000000" w:rsidRPr="00000000">
        <w:rPr>
          <w:rtl w:val="0"/>
        </w:rPr>
        <w:t xml:space="preserve"> is highly insensitive to changes in most other industries suggesting that </w:t>
      </w:r>
      <w:r w:rsidDel="00000000" w:rsidR="00000000" w:rsidRPr="00000000">
        <w:rPr>
          <w:rtl w:val="0"/>
        </w:rPr>
        <w:t xml:space="preserve">Niger</w:t>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b w:val="1"/>
          <w:bCs w:val="1"/>
        </w:rPr>
        <w:drawing>
          <wp:inline distB="114300" distT="114300" distL="114300" distR="114300">
            <wp:extent cx="5731200" cy="2984500"/>
            <wp:effectExtent b="0" l="0" r="0" t="0"/>
            <wp:docPr id="3" name="image17.jpg"/>
            <a:graphic>
              <a:graphicData uri="http://schemas.openxmlformats.org/drawingml/2006/picture">
                <pic:pic>
                  <pic:nvPicPr>
                    <pic:cNvPr id="0" name="image17.jpg"/>
                    <pic:cNvPicPr preferRelativeResize="0"/>
                  </pic:nvPicPr>
                  <pic:blipFill>
                    <a:blip r:embed="rId2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sz w:val="22"/>
          <w:szCs w:val="22"/>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Niger</w:t>
      </w:r>
      <w:r w:rsidDel="00000000" w:rsidR="00000000" w:rsidRPr="00000000">
        <w:rPr>
          <w:sz w:val="22"/>
          <w:szCs w:val="22"/>
          <w:rtl w:val="0"/>
        </w:rPr>
        <w:t xml:space="preserve"> (2018)</w:t>
      </w:r>
    </w:p>
    <w:p w:rsidR="00000000" w:rsidDel="00000000" w:rsidP="00000000" w:rsidRDefault="00000000" w:rsidRPr="00000000" w14:paraId="00000107">
      <w:pPr>
        <w:jc w:val="center"/>
        <w:rPr>
          <w:sz w:val="22"/>
          <w:szCs w:val="22"/>
        </w:rPr>
      </w:pPr>
      <w:r w:rsidDel="00000000" w:rsidR="00000000" w:rsidRPr="00000000">
        <w:rPr>
          <w:rtl w:val="0"/>
        </w:rPr>
      </w:r>
    </w:p>
    <w:p w:rsidR="00000000" w:rsidDel="00000000" w:rsidP="00000000" w:rsidRDefault="00000000" w:rsidRPr="00000000" w14:paraId="00000108">
      <w:pPr>
        <w:jc w:val="center"/>
        <w:rPr>
          <w:sz w:val="22"/>
          <w:szCs w:val="22"/>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b w:val="1"/>
          <w:bCs w:val="1"/>
        </w:rPr>
        <w:drawing>
          <wp:inline distB="114300" distT="114300" distL="114300" distR="114300">
            <wp:extent cx="5731200" cy="2959100"/>
            <wp:effectExtent b="0" l="0" r="0" t="0"/>
            <wp:docPr id="11"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b w:val="1"/>
          <w:bCs w:val="1"/>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Niger</w:t>
      </w:r>
      <w:r w:rsidDel="00000000" w:rsidR="00000000" w:rsidRPr="00000000">
        <w:rPr>
          <w:sz w:val="22"/>
          <w:szCs w:val="22"/>
          <w:rtl w:val="0"/>
        </w:rPr>
        <w:t xml:space="preserve"> (2018)</w:t>
      </w:r>
      <w:r w:rsidDel="00000000" w:rsidR="00000000" w:rsidRPr="00000000">
        <w:br w:type="page"/>
      </w:r>
      <w:r w:rsidDel="00000000" w:rsidR="00000000" w:rsidRPr="00000000">
        <w:rPr>
          <w:rtl w:val="0"/>
        </w:rPr>
      </w:r>
    </w:p>
    <w:p w:rsidR="00000000" w:rsidDel="00000000" w:rsidP="00000000" w:rsidRDefault="00000000" w:rsidRPr="00000000" w14:paraId="0000010C">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D">
      <w:pPr>
        <w:jc w:val="both"/>
        <w:rPr>
          <w:b w:val="1"/>
          <w:bCs w:val="1"/>
        </w:rPr>
      </w:pPr>
      <w:r w:rsidDel="00000000" w:rsidR="00000000" w:rsidRPr="00000000">
        <w:rPr>
          <w:rtl w:val="0"/>
        </w:rPr>
      </w:r>
    </w:p>
    <w:p w:rsidR="00000000" w:rsidDel="00000000" w:rsidP="00000000" w:rsidRDefault="00000000" w:rsidRPr="00000000" w14:paraId="0000010E">
      <w:pPr>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F">
      <w:pPr>
        <w:jc w:val="both"/>
        <w:rPr/>
      </w:pPr>
      <w:r w:rsidDel="00000000" w:rsidR="00000000" w:rsidRPr="00000000">
        <w:rPr>
          <w:rtl w:val="0"/>
        </w:rPr>
        <w:t xml:space="preserve">ECI sensitivity described in the section before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moderate positive correlation between countries’ SOI and their five-year GDP growth, significant at the 45%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18.4%</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12">
      <w:pPr>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tcMar>
              <w:top w:w="-44.64" w:type="dxa"/>
              <w:left w:w="-44.64" w:type="dxa"/>
              <w:bottom w:w="-44.64" w:type="dxa"/>
              <w:right w:w="-44.64" w:type="dxa"/>
            </w:tcMar>
            <w:vAlign w:val="center"/>
          </w:tcPr>
          <w:p w:rsidR="00000000" w:rsidDel="00000000" w:rsidP="00000000" w:rsidRDefault="00000000" w:rsidRPr="00000000" w14:paraId="00000113">
            <w:pPr>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115">
            <w:pPr>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tcMar>
              <w:top w:w="-44.64" w:type="dxa"/>
              <w:left w:w="-44.64" w:type="dxa"/>
              <w:bottom w:w="-44.64" w:type="dxa"/>
              <w:right w:w="-44.64" w:type="dxa"/>
            </w:tcMar>
            <w:vAlign w:val="center"/>
          </w:tcPr>
          <w:p w:rsidR="00000000" w:rsidDel="00000000" w:rsidP="00000000" w:rsidRDefault="00000000" w:rsidRPr="00000000" w14:paraId="00000116">
            <w:pPr>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0.4508</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117">
            <w:pPr>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0.184</w:t>
            </w:r>
          </w:p>
        </w:tc>
        <w:tc>
          <w:tcPr>
            <w:tcMar>
              <w:top w:w="-44.64" w:type="dxa"/>
              <w:left w:w="-44.64" w:type="dxa"/>
              <w:bottom w:w="-44.64" w:type="dxa"/>
              <w:right w:w="-44.64" w:type="dxa"/>
            </w:tcMar>
            <w:vAlign w:val="center"/>
          </w:tcPr>
          <w:p w:rsidR="00000000" w:rsidDel="00000000" w:rsidP="00000000" w:rsidRDefault="00000000" w:rsidRPr="00000000" w14:paraId="00000118">
            <w:pPr>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0.571</w:t>
            </w:r>
          </w:p>
        </w:tc>
      </w:tr>
      <w:tr>
        <w:trPr>
          <w:cantSplit w:val="0"/>
          <w:trHeight w:val="335.52" w:hRule="atLeast"/>
          <w:tblHeader w:val="0"/>
        </w:trPr>
        <w:tc>
          <w:tcPr>
            <w:tcMar>
              <w:top w:w="-44.64" w:type="dxa"/>
              <w:left w:w="-44.64" w:type="dxa"/>
              <w:bottom w:w="-44.64" w:type="dxa"/>
              <w:right w:w="-44.64" w:type="dxa"/>
            </w:tcMar>
            <w:vAlign w:val="center"/>
          </w:tcPr>
          <w:p w:rsidR="00000000" w:rsidDel="00000000" w:rsidP="00000000" w:rsidRDefault="00000000" w:rsidRPr="00000000" w14:paraId="00000119">
            <w:pPr>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-0.224</w:t>
            </w:r>
          </w:p>
        </w:tc>
        <w:tc>
          <w:tcPr>
            <w:tcMar>
              <w:top w:w="-44.64" w:type="dxa"/>
              <w:left w:w="-44.64" w:type="dxa"/>
              <w:bottom w:w="-44.64" w:type="dxa"/>
              <w:right w:w="-44.64" w:type="dxa"/>
            </w:tcMar>
            <w:vAlign w:val="center"/>
          </w:tcPr>
          <w:p w:rsidR="00000000" w:rsidDel="00000000" w:rsidP="00000000" w:rsidRDefault="00000000" w:rsidRPr="00000000" w14:paraId="0000011A">
            <w:pPr>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4</w:t>
            </w:r>
          </w:p>
        </w:tc>
      </w:tr>
    </w:tbl>
    <w:p w:rsidR="00000000" w:rsidDel="00000000" w:rsidP="00000000" w:rsidRDefault="00000000" w:rsidRPr="00000000" w14:paraId="0000011B">
      <w:pPr>
        <w:rPr>
          <w:sz w:val="22"/>
          <w:szCs w:val="22"/>
        </w:rPr>
      </w:pPr>
      <w:r w:rsidDel="00000000" w:rsidR="00000000" w:rsidRPr="00000000">
        <w:rPr>
          <w:rtl w:val="0"/>
        </w:rPr>
      </w:r>
    </w:p>
    <w:p w:rsidR="00000000" w:rsidDel="00000000" w:rsidP="00000000" w:rsidRDefault="00000000" w:rsidRPr="00000000" w14:paraId="0000011C">
      <w:pPr>
        <w:jc w:val="center"/>
        <w:rPr>
          <w:sz w:val="22"/>
          <w:szCs w:val="22"/>
        </w:rPr>
      </w:pPr>
      <w:r w:rsidDel="00000000" w:rsidR="00000000" w:rsidRPr="00000000">
        <w:rPr/>
        <w:drawing>
          <wp:inline distB="114300" distT="114300" distL="114300" distR="114300">
            <wp:extent cx="4612564" cy="3071813"/>
            <wp:effectExtent b="0" l="0" r="0" t="0"/>
            <wp:docPr id="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612564"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Niger</w:t>
      </w:r>
      <w:r w:rsidDel="00000000" w:rsidR="00000000" w:rsidRPr="00000000">
        <w:rPr>
          <w:b w:val="1"/>
          <w:bCs w:val="1"/>
          <w:rtl w:val="0"/>
        </w:rPr>
        <w:t xml:space="preserve"> and Its Implications</w:t>
      </w:r>
    </w:p>
    <w:p w:rsidR="00000000" w:rsidDel="00000000" w:rsidP="00000000" w:rsidRDefault="00000000" w:rsidRPr="00000000" w14:paraId="00000120">
      <w:pPr>
        <w:jc w:val="both"/>
        <w:rPr/>
      </w:pPr>
      <w:r w:rsidDel="00000000" w:rsidR="00000000" w:rsidRPr="00000000">
        <w:rPr>
          <w:rtl w:val="0"/>
        </w:rPr>
        <w:t xml:space="preserve">During the first examined period, </w:t>
      </w:r>
      <w:r w:rsidDel="00000000" w:rsidR="00000000" w:rsidRPr="00000000">
        <w:rPr>
          <w:rtl w:val="0"/>
        </w:rPr>
        <w:t xml:space="preserve">Niger</w:t>
      </w:r>
      <w:r w:rsidDel="00000000" w:rsidR="00000000" w:rsidRPr="00000000">
        <w:rPr>
          <w:rtl w:val="0"/>
        </w:rPr>
        <w:t xml:space="preserve">, for instance, has a low level of structural optimality as compared with its developing peers. </w:t>
      </w:r>
      <w:r w:rsidDel="00000000" w:rsidR="00000000" w:rsidRPr="00000000">
        <w:rPr>
          <w:rtl w:val="0"/>
        </w:rPr>
        <w:t xml:space="preserve">Niger</w:t>
      </w:r>
      <w:r w:rsidDel="00000000" w:rsidR="00000000" w:rsidRPr="00000000">
        <w:rPr>
          <w:rtl w:val="0"/>
        </w:rPr>
        <w:t xml:space="preserve"> demonstrates a low level of correlation with the suggested developmental path, having an adjusted R-square of around 18.4%. </w:t>
      </w:r>
      <w:r w:rsidDel="00000000" w:rsidR="00000000" w:rsidRPr="00000000">
        <w:rPr>
          <w:rtl w:val="0"/>
        </w:rPr>
        <w:t xml:space="preserve">Niger</w:t>
      </w:r>
      <w:r w:rsidDel="00000000" w:rsidR="00000000" w:rsidRPr="00000000">
        <w:rPr>
          <w:rtl w:val="0"/>
        </w:rPr>
        <w:t xml:space="preserve"> ranks in the bottom half among all countries in terms of SOI and has made an accelerated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almost 6%. This is in direct contrast to emerging economies such as Togo, where there is a high SOI of around 5% and corresponding GDP growth of 4% from 2013 to 2018, making it one of the fastest developing economies during the period. </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In sum, </w:t>
      </w:r>
      <w:r w:rsidDel="00000000" w:rsidR="00000000" w:rsidRPr="00000000">
        <w:rPr>
          <w:rtl w:val="0"/>
        </w:rPr>
        <w:t xml:space="preserve">Niger</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Niger</w:t>
      </w:r>
      <w:r w:rsidDel="00000000" w:rsidR="00000000" w:rsidRPr="00000000">
        <w:rPr>
          <w:rtl w:val="0"/>
        </w:rPr>
        <w:t xml:space="preserve"> invested heavily in the Wood Products industry, while it should have focused more on industry groups such as Metals to further maximize ECI.</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jc w:val="center"/>
        <w:rPr/>
      </w:pPr>
      <w:r w:rsidDel="00000000" w:rsidR="00000000" w:rsidRPr="00000000">
        <w:rPr/>
        <w:drawing>
          <wp:inline distB="114300" distT="114300" distL="114300" distR="114300">
            <wp:extent cx="5731200" cy="2298700"/>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both"/>
        <w:rPr>
          <w:sz w:val="22"/>
          <w:szCs w:val="22"/>
        </w:rPr>
      </w:pPr>
      <w:r w:rsidDel="00000000" w:rsidR="00000000" w:rsidRPr="00000000">
        <w:rPr>
          <w:rtl w:val="0"/>
        </w:rPr>
      </w:r>
    </w:p>
    <w:p w:rsidR="00000000" w:rsidDel="00000000" w:rsidP="00000000" w:rsidRDefault="00000000" w:rsidRPr="00000000" w14:paraId="00000126">
      <w:pPr>
        <w:jc w:val="center"/>
        <w:rPr>
          <w:sz w:val="22"/>
          <w:szCs w:val="22"/>
        </w:rPr>
      </w:pPr>
      <w:r w:rsidDel="00000000" w:rsidR="00000000" w:rsidRPr="00000000">
        <w:rPr>
          <w:sz w:val="22"/>
          <w:szCs w:val="22"/>
          <w:rtl w:val="0"/>
        </w:rPr>
        <w:t xml:space="preserve">Figure 10. SOI of </w:t>
      </w:r>
      <w:r w:rsidDel="00000000" w:rsidR="00000000" w:rsidRPr="00000000">
        <w:rPr>
          <w:sz w:val="22"/>
          <w:szCs w:val="22"/>
          <w:rtl w:val="0"/>
        </w:rPr>
        <w:t xml:space="preserve">Niger</w:t>
      </w:r>
      <w:r w:rsidDel="00000000" w:rsidR="00000000" w:rsidRPr="00000000">
        <w:rPr>
          <w:sz w:val="22"/>
          <w:szCs w:val="22"/>
          <w:rtl w:val="0"/>
        </w:rPr>
        <w:t xml:space="preserve"> (2019-2021)</w:t>
      </w:r>
    </w:p>
    <w:p w:rsidR="00000000" w:rsidDel="00000000" w:rsidP="00000000" w:rsidRDefault="00000000" w:rsidRPr="00000000" w14:paraId="00000127">
      <w:pPr>
        <w:jc w:val="both"/>
        <w:rPr>
          <w:b w:val="1"/>
          <w:bCs w:val="1"/>
        </w:rPr>
      </w:pP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rtl w:val="0"/>
        </w:rPr>
      </w:r>
    </w:p>
    <w:p w:rsidR="00000000" w:rsidDel="00000000" w:rsidP="00000000" w:rsidRDefault="00000000" w:rsidRPr="00000000" w14:paraId="00000129">
      <w:pPr>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A">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In conclusion, </w:t>
      </w:r>
      <w:r w:rsidDel="00000000" w:rsidR="00000000" w:rsidRPr="00000000">
        <w:rPr>
          <w:rtl w:val="0"/>
        </w:rPr>
        <w:t xml:space="preserve">Niger</w:t>
      </w:r>
      <w:r w:rsidDel="00000000" w:rsidR="00000000" w:rsidRPr="00000000">
        <w:rPr>
          <w:rtl w:val="0"/>
        </w:rPr>
        <w:t xml:space="preserve"> has demonstrated a moderate level of economic growth in terms of annual GDP increase during the period from 2013 to 2018, concurrent with an increase in economic complexity as compared with comparable developing economies. For 2019-2021, the growth in GDP has increased alongside a large boost in ECI, </w:t>
      </w:r>
      <w:r w:rsidDel="00000000" w:rsidR="00000000" w:rsidRPr="00000000">
        <w:rPr>
          <w:rtl w:val="0"/>
        </w:rPr>
        <w:t xml:space="preserve">in line with its comparable countries and higher than many of the leading economies in the world</w:t>
      </w:r>
      <w:r w:rsidDel="00000000" w:rsidR="00000000" w:rsidRPr="00000000">
        <w:rPr>
          <w:rtl w:val="0"/>
        </w:rPr>
        <w:t xml:space="preserve">.</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We believe that the mixed progress during the first period can be partially explained through the analysis of the economic and product complexity structure of </w:t>
      </w:r>
      <w:r w:rsidDel="00000000" w:rsidR="00000000" w:rsidRPr="00000000">
        <w:rPr>
          <w:rtl w:val="0"/>
        </w:rPr>
        <w:t xml:space="preserve">Niger</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Niger</w:t>
      </w:r>
      <w:r w:rsidDel="00000000" w:rsidR="00000000" w:rsidRPr="00000000">
        <w:rPr>
          <w:rtl w:val="0"/>
        </w:rPr>
        <w:t xml:space="preserve"> progressed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t xml:space="preserve">.</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Niger</w:t>
      </w:r>
      <w:r w:rsidDel="00000000" w:rsidR="00000000" w:rsidRPr="00000000">
        <w:rPr>
          <w:rtl w:val="0"/>
        </w:rPr>
        <w:t xml:space="preserve"> can further its gains by prioritizing Energy Drill and Mining, Metals, and Transportation. We further note that </w:t>
      </w:r>
      <w:r w:rsidDel="00000000" w:rsidR="00000000" w:rsidRPr="00000000">
        <w:rPr>
          <w:rtl w:val="0"/>
        </w:rPr>
        <w:t xml:space="preserve">Niger</w:t>
      </w:r>
      <w:r w:rsidDel="00000000" w:rsidR="00000000" w:rsidRPr="00000000">
        <w:rPr>
          <w:rtl w:val="0"/>
        </w:rPr>
        <w:t xml:space="preserve"> has a </w:t>
      </w:r>
      <w:r w:rsidDel="00000000" w:rsidR="00000000" w:rsidRPr="00000000">
        <w:rPr>
          <w:rtl w:val="0"/>
        </w:rPr>
        <w:t xml:space="preserve">heavily mismatched</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0.184%. Since a strong positive correlation exists between five-year GDP growth and the structural optimality index of an economy as we define and calculate, </w:t>
      </w:r>
      <w:r w:rsidDel="00000000" w:rsidR="00000000" w:rsidRPr="00000000">
        <w:rPr>
          <w:rtl w:val="0"/>
        </w:rPr>
        <w:t xml:space="preserve">Niger</w:t>
      </w:r>
      <w:r w:rsidDel="00000000" w:rsidR="00000000" w:rsidRPr="00000000">
        <w:rPr>
          <w:rtl w:val="0"/>
        </w:rPr>
        <w:t xml:space="preserve"> indeed has an 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During the second examined period from 2019 to 2021, </w:t>
      </w:r>
      <w:r w:rsidDel="00000000" w:rsidR="00000000" w:rsidRPr="00000000">
        <w:rPr>
          <w:rtl w:val="0"/>
        </w:rPr>
        <w:t xml:space="preserve">Niger</w:t>
      </w:r>
      <w:r w:rsidDel="00000000" w:rsidR="00000000" w:rsidRPr="00000000">
        <w:rPr>
          <w:rtl w:val="0"/>
        </w:rPr>
        <w:t xml:space="preserve"> performed much stronger than before and compared to other countries, particularly Togo. We infer that during the  COVID-19 period, Niger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Niger</w:t>
      </w:r>
      <w:r w:rsidDel="00000000" w:rsidR="00000000" w:rsidRPr="00000000">
        <w:rPr>
          <w:rtl w:val="0"/>
        </w:rPr>
        <w:t xml:space="preserve"> has increased its investment in the sectors identified earlier, leading to a strong boost from Transportation and Agriculture industries, leaving some room for strategic improvement. It did invest in the industries which contributed the most to its advancements, such as Energy Drill and Mining and Metals industries. The ECI suggests that greater growth could have been achieved through an even stronger push for Metals, followed by Wood Products. The surprising growth also increased the adjusted R-squared value to 0.184% in 2022,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Niger</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ongoing economic expansion</w:t>
      </w:r>
      <w:r w:rsidDel="00000000" w:rsidR="00000000" w:rsidRPr="00000000">
        <w:rPr>
          <w:rtl w:val="0"/>
        </w:rPr>
        <w:t xml:space="preserve">.</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8">
      <w:pPr>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9">
      <w:pPr>
        <w:jc w:val="both"/>
        <w:rPr>
          <w:b w:val="1"/>
          <w:bCs w:val="1"/>
          <w:sz w:val="28"/>
          <w:szCs w:val="28"/>
        </w:rPr>
      </w:pPr>
      <w:r w:rsidDel="00000000" w:rsidR="00000000" w:rsidRPr="00000000">
        <w:rPr>
          <w:rtl w:val="0"/>
        </w:rPr>
      </w:r>
    </w:p>
    <w:p w:rsidR="00000000" w:rsidDel="00000000" w:rsidP="00000000" w:rsidRDefault="00000000" w:rsidRPr="00000000" w14:paraId="0000013A">
      <w:pPr>
        <w:jc w:val="both"/>
        <w:rPr>
          <w:highlight w:val="white"/>
        </w:rPr>
      </w:pPr>
      <w:r w:rsidDel="00000000" w:rsidR="00000000" w:rsidRPr="00000000">
        <w:rPr>
          <w:highlight w:val="white"/>
          <w:rtl w:val="0"/>
        </w:rPr>
        <w:t xml:space="preserve">Hausmann, R., Hidalgo, C., Bustos, S., Coscia, M., Chung, S., Jimenez, J., Simoes, A. and Yıldırım, M. (2007). </w:t>
      </w:r>
      <w:r w:rsidDel="00000000" w:rsidR="00000000" w:rsidRPr="00000000">
        <w:rPr>
          <w:i w:val="1"/>
          <w:iCs w:val="1"/>
          <w:highlight w:val="white"/>
          <w:rtl w:val="0"/>
        </w:rPr>
        <w:t xml:space="preserve">The Atlas of Economic Complexity</w:t>
      </w:r>
      <w:r w:rsidDel="00000000" w:rsidR="00000000" w:rsidRPr="00000000">
        <w:rPr>
          <w:highlight w:val="white"/>
          <w:rtl w:val="0"/>
        </w:rPr>
        <w:t xml:space="preserve">. [online] Atlas.cid.harvard.edu. Available at: http://atlas.cid.harvard.edu/.</w:t>
      </w:r>
    </w:p>
    <w:p w:rsidR="00000000" w:rsidDel="00000000" w:rsidP="00000000" w:rsidRDefault="00000000" w:rsidRPr="00000000" w14:paraId="0000013B">
      <w:pPr>
        <w:jc w:val="both"/>
        <w:rPr>
          <w:highlight w:val="white"/>
        </w:rPr>
      </w:pPr>
      <w:r w:rsidDel="00000000" w:rsidR="00000000" w:rsidRPr="00000000">
        <w:rPr>
          <w:rtl w:val="0"/>
        </w:rPr>
      </w:r>
    </w:p>
    <w:p w:rsidR="00000000" w:rsidDel="00000000" w:rsidP="00000000" w:rsidRDefault="00000000" w:rsidRPr="00000000" w14:paraId="0000013C">
      <w:pPr>
        <w:jc w:val="both"/>
        <w:rPr>
          <w:highlight w:val="white"/>
        </w:rPr>
      </w:pPr>
      <w:r w:rsidDel="00000000" w:rsidR="00000000" w:rsidRPr="00000000">
        <w:rPr>
          <w:highlight w:val="white"/>
          <w:rtl w:val="0"/>
        </w:rPr>
        <w:t xml:space="preserve">Balassa, B., “The Purchasing Power Parity Doctrine - A Reapprais- al,” </w:t>
      </w:r>
      <w:r w:rsidDel="00000000" w:rsidR="00000000" w:rsidRPr="00000000">
        <w:rPr>
          <w:i w:val="1"/>
          <w:iCs w:val="1"/>
          <w:highlight w:val="white"/>
          <w:rtl w:val="0"/>
        </w:rPr>
        <w:t xml:space="preserve">Journal of Political Economy </w:t>
      </w:r>
      <w:r w:rsidDel="00000000" w:rsidR="00000000" w:rsidRPr="00000000">
        <w:rPr>
          <w:b w:val="1"/>
          <w:bCs w:val="1"/>
          <w:highlight w:val="white"/>
          <w:rtl w:val="0"/>
        </w:rPr>
        <w:t xml:space="preserve">72</w:t>
      </w:r>
      <w:r w:rsidDel="00000000" w:rsidR="00000000" w:rsidRPr="00000000">
        <w:rPr>
          <w:highlight w:val="white"/>
          <w:rtl w:val="0"/>
        </w:rPr>
        <w:t xml:space="preserve">, 584-596 (1964). </w:t>
      </w:r>
    </w:p>
    <w:p w:rsidR="00000000" w:rsidDel="00000000" w:rsidP="00000000" w:rsidRDefault="00000000" w:rsidRPr="00000000" w14:paraId="0000013D">
      <w:pPr>
        <w:jc w:val="both"/>
        <w:rPr>
          <w:highlight w:val="white"/>
        </w:rPr>
      </w:pPr>
      <w:r w:rsidDel="00000000" w:rsidR="00000000" w:rsidRPr="00000000">
        <w:rPr>
          <w:rtl w:val="0"/>
        </w:rPr>
      </w:r>
    </w:p>
    <w:p w:rsidR="00000000" w:rsidDel="00000000" w:rsidP="00000000" w:rsidRDefault="00000000" w:rsidRPr="00000000" w14:paraId="0000013E">
      <w:pPr>
        <w:jc w:val="both"/>
        <w:rPr>
          <w:highlight w:val="white"/>
        </w:rPr>
      </w:pPr>
      <w:r w:rsidDel="00000000" w:rsidR="00000000" w:rsidRPr="00000000">
        <w:rPr>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F">
      <w:pPr>
        <w:jc w:val="both"/>
        <w:rPr>
          <w:highlight w:val="white"/>
        </w:rPr>
      </w:pPr>
      <w:r w:rsidDel="00000000" w:rsidR="00000000" w:rsidRPr="00000000">
        <w:rPr>
          <w:rtl w:val="0"/>
        </w:rPr>
      </w:r>
    </w:p>
    <w:p w:rsidR="00000000" w:rsidDel="00000000" w:rsidP="00000000" w:rsidRDefault="00000000" w:rsidRPr="00000000" w14:paraId="00000140">
      <w:pPr>
        <w:jc w:val="both"/>
        <w:rPr>
          <w:highlight w:val="white"/>
        </w:rPr>
      </w:pPr>
      <w:r w:rsidDel="00000000" w:rsidR="00000000" w:rsidRPr="00000000">
        <w:rPr>
          <w:highlight w:val="white"/>
          <w:rtl w:val="0"/>
        </w:rPr>
        <w:t xml:space="preserve">United Nations Commodity Trade Statistics Database (http://comtrade.un.org/db/), accessed in August 2019. </w:t>
      </w:r>
    </w:p>
    <w:p w:rsidR="00000000" w:rsidDel="00000000" w:rsidP="00000000" w:rsidRDefault="00000000" w:rsidRPr="00000000" w14:paraId="00000141">
      <w:pPr>
        <w:jc w:val="both"/>
        <w:rPr>
          <w:highlight w:val="white"/>
        </w:rPr>
      </w:pPr>
      <w:r w:rsidDel="00000000" w:rsidR="00000000" w:rsidRPr="00000000">
        <w:rPr>
          <w:rtl w:val="0"/>
        </w:rPr>
      </w:r>
    </w:p>
    <w:p w:rsidR="00000000" w:rsidDel="00000000" w:rsidP="00000000" w:rsidRDefault="00000000" w:rsidRPr="00000000" w14:paraId="00000142">
      <w:pPr>
        <w:jc w:val="both"/>
        <w:rPr>
          <w:highlight w:val="white"/>
        </w:rPr>
      </w:pPr>
      <w:r w:rsidDel="00000000" w:rsidR="00000000" w:rsidRPr="00000000">
        <w:rPr>
          <w:highlight w:val="white"/>
          <w:rtl w:val="0"/>
        </w:rPr>
        <w:t xml:space="preserve">The World Economic Forum, “The global competitiveness report,” (various years). </w:t>
      </w:r>
    </w:p>
    <w:p w:rsidR="00000000" w:rsidDel="00000000" w:rsidP="00000000" w:rsidRDefault="00000000" w:rsidRPr="00000000" w14:paraId="00000143">
      <w:pPr>
        <w:jc w:val="both"/>
        <w:rPr>
          <w:highlight w:val="white"/>
        </w:rPr>
      </w:pPr>
      <w:r w:rsidDel="00000000" w:rsidR="00000000" w:rsidRPr="00000000">
        <w:rPr>
          <w:rtl w:val="0"/>
        </w:rPr>
      </w:r>
    </w:p>
    <w:p w:rsidR="00000000" w:rsidDel="00000000" w:rsidP="00000000" w:rsidRDefault="00000000" w:rsidRPr="00000000" w14:paraId="00000144">
      <w:pPr>
        <w:jc w:val="both"/>
        <w:rPr>
          <w:highlight w:val="white"/>
        </w:rPr>
      </w:pPr>
      <w:r w:rsidDel="00000000" w:rsidR="00000000" w:rsidRPr="00000000">
        <w:rPr>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5">
      <w:pPr>
        <w:jc w:val="both"/>
        <w:rPr>
          <w:highlight w:val="white"/>
        </w:rPr>
      </w:pPr>
      <w:r w:rsidDel="00000000" w:rsidR="00000000" w:rsidRPr="00000000">
        <w:rPr>
          <w:rtl w:val="0"/>
        </w:rPr>
      </w:r>
    </w:p>
    <w:p w:rsidR="00000000" w:rsidDel="00000000" w:rsidP="00000000" w:rsidRDefault="00000000" w:rsidRPr="00000000" w14:paraId="00000146">
      <w:pPr>
        <w:jc w:val="both"/>
        <w:rPr>
          <w:highlight w:val="white"/>
        </w:rPr>
      </w:pPr>
      <w:r w:rsidDel="00000000" w:rsidR="00000000" w:rsidRPr="00000000">
        <w:rPr>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7">
      <w:pPr>
        <w:jc w:val="both"/>
        <w:rPr>
          <w:highlight w:val="white"/>
        </w:rPr>
      </w:pPr>
      <w:r w:rsidDel="00000000" w:rsidR="00000000" w:rsidRPr="00000000">
        <w:rPr>
          <w:rtl w:val="0"/>
        </w:rPr>
      </w:r>
    </w:p>
    <w:p w:rsidR="00000000" w:rsidDel="00000000" w:rsidP="00000000" w:rsidRDefault="00000000" w:rsidRPr="00000000" w14:paraId="00000148">
      <w:pPr>
        <w:jc w:val="both"/>
        <w:rPr>
          <w:highlight w:val="white"/>
        </w:rPr>
      </w:pPr>
      <w:r w:rsidDel="00000000" w:rsidR="00000000" w:rsidRPr="00000000">
        <w:rPr>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9">
      <w:pPr>
        <w:jc w:val="both"/>
        <w:rPr/>
      </w:pPr>
      <w:r w:rsidDel="00000000" w:rsidR="00000000" w:rsidRPr="00000000">
        <w:rPr>
          <w:rtl w:val="0"/>
        </w:rPr>
      </w:r>
    </w:p>
    <w:sectPr>
      <w:headerReference r:id="rId26" w:type="default"/>
      <w:footerReference r:id="rId27" w:type="default"/>
      <w:footerReference r:id="rId28" w:type="first"/>
      <w:footerReference r:id="rId29" w:type="even"/>
      <w:type w:val="nextPage"/>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widowControl w:val="0"/>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4B">
    <w:pPr>
      <w:tabs>
        <w:tab w:val="center" w:leader="none" w:pos="4680"/>
        <w:tab w:val="right" w:leader="none" w:pos="9360"/>
      </w:tabs>
      <w:rPr>
        <w:rFonts w:ascii="Calibri" w:cs="Calibri" w:eastAsia="Calibri" w:hAnsi="Calibri"/>
      </w:rPr>
    </w:pPr>
    <w:r w:rsidDel="00000000" w:rsidR="00000000" w:rsidRPr="00000000">
      <w:rPr>
        <w:rtl w:val="0"/>
      </w:rPr>
    </w:r>
  </w:p>
  <w:p w:rsidR="00000000" w:rsidDel="00000000" w:rsidP="00000000" w:rsidRDefault="00000000" w:rsidRPr="00000000" w14:paraId="0000014C">
    <w:pP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tabs>
        <w:tab w:val="center" w:leader="none" w:pos="4680"/>
        <w:tab w:val="right" w:leader="none" w:pos="9360"/>
      </w:tabs>
      <w:jc w:val="center"/>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F">
    <w:pPr>
      <w:tabs>
        <w:tab w:val="center" w:leader="none" w:pos="4680"/>
        <w:tab w:val="right" w:leader="none" w:pos="9360"/>
      </w:tabs>
      <w:rPr>
        <w:rFonts w:ascii="Calibri" w:cs="Calibri" w:eastAsia="Calibri" w:hAnsi="Calibri"/>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tabs>
        <w:tab w:val="center" w:leader="none" w:pos="4680"/>
        <w:tab w:val="right" w:leader="none" w:pos="9360"/>
      </w:tabs>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7.jpg"/><Relationship Id="rId21" Type="http://schemas.openxmlformats.org/officeDocument/2006/relationships/image" Target="media/image10.png"/><Relationship Id="rId24" Type="http://schemas.openxmlformats.org/officeDocument/2006/relationships/image" Target="media/image6.pn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eader" Target="header1.xml"/><Relationship Id="rId25" Type="http://schemas.openxmlformats.org/officeDocument/2006/relationships/image" Target="media/image9.png"/><Relationship Id="rId28" Type="http://schemas.openxmlformats.org/officeDocument/2006/relationships/footer" Target="footer3.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2.xml"/><Relationship Id="rId7" Type="http://schemas.openxmlformats.org/officeDocument/2006/relationships/image" Target="media/image16.png"/><Relationship Id="rId8" Type="http://schemas.openxmlformats.org/officeDocument/2006/relationships/image" Target="media/image19.png"/><Relationship Id="rId11" Type="http://schemas.openxmlformats.org/officeDocument/2006/relationships/image" Target="media/image20.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18.png"/><Relationship Id="rId15" Type="http://schemas.openxmlformats.org/officeDocument/2006/relationships/image" Target="media/image1.png"/><Relationship Id="rId14" Type="http://schemas.openxmlformats.org/officeDocument/2006/relationships/image" Target="media/image4.jpg"/><Relationship Id="rId17" Type="http://schemas.openxmlformats.org/officeDocument/2006/relationships/image" Target="media/image11.png"/><Relationship Id="rId16" Type="http://schemas.openxmlformats.org/officeDocument/2006/relationships/image" Target="media/image3.png"/><Relationship Id="rId19" Type="http://schemas.openxmlformats.org/officeDocument/2006/relationships/image" Target="media/image5.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