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7" name="image15.png"/>
            <a:graphic>
              <a:graphicData uri="http://schemas.openxmlformats.org/drawingml/2006/picture">
                <pic:pic>
                  <pic:nvPicPr>
                    <pic:cNvPr id="0" name="image15.png"/>
                    <pic:cNvPicPr preferRelativeResize="0"/>
                  </pic:nvPicPr>
                  <pic:blipFill>
                    <a:blip r:embed="rId6"/>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Paraguay</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Paraguay</w:t>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Paraguay</w:t>
      </w:r>
      <w:r w:rsidDel="00000000" w:rsidR="00000000" w:rsidRPr="00000000">
        <w:rPr>
          <w:rtl w:val="0"/>
        </w:rPr>
        <w:t xml:space="preserve"> went through during the period from 2013 to 2023. Specifically, we dive into the topic through a macroeconomic overview of </w:t>
      </w:r>
      <w:r w:rsidDel="00000000" w:rsidR="00000000" w:rsidRPr="00000000">
        <w:rPr>
          <w:rtl w:val="0"/>
        </w:rPr>
        <w:t xml:space="preserve">Paraguay</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Paraguay</w:t>
      </w:r>
      <w:r w:rsidDel="00000000" w:rsidR="00000000" w:rsidRPr="00000000">
        <w:rPr>
          <w:rtl w:val="0"/>
        </w:rPr>
        <w:t xml:space="preserve"> demonstrated a high level of economic growth with an average annual GDP growth rate of 2.61% between 2019 and 2023, with a low economic complexity compared to other major developing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poor progress during the period, we believe, can be partially explained through the analysis of the economic and product complexity structure of </w:t>
      </w:r>
      <w:r w:rsidDel="00000000" w:rsidR="00000000" w:rsidRPr="00000000">
        <w:rPr>
          <w:rtl w:val="0"/>
        </w:rPr>
        <w:t xml:space="preserve">Paraguay</w:t>
      </w:r>
      <w:r w:rsidDel="00000000" w:rsidR="00000000" w:rsidRPr="00000000">
        <w:rPr>
          <w:rtl w:val="0"/>
        </w:rPr>
        <w:t xml:space="preserve"> on the industry group level, as well as the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Paraguay</w:t>
      </w:r>
      <w:r w:rsidDel="00000000" w:rsidR="00000000" w:rsidRPr="00000000">
        <w:rPr>
          <w:rtl w:val="0"/>
        </w:rPr>
        <w:t xml:space="preserve"> is developing most of its industries during the period while its developing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Paraguay</w:t>
      </w:r>
      <w:r w:rsidDel="00000000" w:rsidR="00000000" w:rsidRPr="00000000">
        <w:rPr>
          <w:rtl w:val="0"/>
        </w:rPr>
        <w:t xml:space="preserve"> could further its gains by prioritizing </w:t>
      </w:r>
      <w:r w:rsidDel="00000000" w:rsidR="00000000" w:rsidRPr="00000000">
        <w:rPr>
          <w:rtl w:val="0"/>
        </w:rPr>
        <w:t xml:space="preserve">Chemicals</w:t>
      </w:r>
      <w:r w:rsidDel="00000000" w:rsidR="00000000" w:rsidRPr="00000000">
        <w:rPr>
          <w:rtl w:val="0"/>
        </w:rPr>
        <w:t xml:space="preserve">, </w:t>
      </w:r>
      <w:r w:rsidDel="00000000" w:rsidR="00000000" w:rsidRPr="00000000">
        <w:rPr>
          <w:rtl w:val="0"/>
        </w:rPr>
        <w:t xml:space="preserve">Mining</w:t>
      </w:r>
      <w:r w:rsidDel="00000000" w:rsidR="00000000" w:rsidRPr="00000000">
        <w:rPr>
          <w:rtl w:val="0"/>
        </w:rPr>
        <w:t xml:space="preserve">, and Precious Stones in 2018. Five years later, in 2023, its focus should shift to the </w:t>
      </w:r>
      <w:r w:rsidDel="00000000" w:rsidR="00000000" w:rsidRPr="00000000">
        <w:rPr>
          <w:rtl w:val="0"/>
        </w:rPr>
        <w:t xml:space="preserve">Drilling</w:t>
      </w:r>
      <w:r w:rsidDel="00000000" w:rsidR="00000000" w:rsidRPr="00000000">
        <w:rPr>
          <w:rtl w:val="0"/>
        </w:rPr>
        <w:t xml:space="preserve"> and </w:t>
      </w:r>
      <w:r w:rsidDel="00000000" w:rsidR="00000000" w:rsidRPr="00000000">
        <w:rPr>
          <w:rtl w:val="0"/>
        </w:rPr>
        <w:t xml:space="preserve">Food and Preparations</w:t>
      </w:r>
      <w:r w:rsidDel="00000000" w:rsidR="00000000" w:rsidRPr="00000000">
        <w:rPr>
          <w:rtl w:val="0"/>
        </w:rPr>
        <w:t xml:space="preserve"> industries, which are also one of the more developed industries at the time. We further note that </w:t>
      </w:r>
      <w:r w:rsidDel="00000000" w:rsidR="00000000" w:rsidRPr="00000000">
        <w:rPr>
          <w:rtl w:val="0"/>
        </w:rPr>
        <w:t xml:space="preserve">Paraguay</w:t>
      </w:r>
      <w:r w:rsidDel="00000000" w:rsidR="00000000" w:rsidRPr="00000000">
        <w:rPr>
          <w:rtl w:val="0"/>
        </w:rPr>
        <w:t xml:space="preserve"> has a heavily mismatched development strategy that indicates a low level (compared to other developing countries) of structural optimality on the complexity level, having an adjusted R-square of around</w:t>
      </w:r>
      <w:r w:rsidDel="00000000" w:rsidR="00000000" w:rsidRPr="00000000">
        <w:rPr>
          <w:rtl w:val="0"/>
        </w:rPr>
        <w:t xml:space="preserve"> 2.8% </w:t>
      </w:r>
      <w:r w:rsidDel="00000000" w:rsidR="00000000" w:rsidRPr="00000000">
        <w:rPr>
          <w:rtl w:val="0"/>
        </w:rPr>
        <w:t xml:space="preserve">in 2018 and a much higher score of 30.24% in 2023, demonstrating a </w:t>
      </w:r>
      <w:r w:rsidDel="00000000" w:rsidR="00000000" w:rsidRPr="00000000">
        <w:rPr>
          <w:rtl w:val="0"/>
        </w:rPr>
        <w:t xml:space="preserve">shift and improvement</w:t>
      </w:r>
      <w:r w:rsidDel="00000000" w:rsidR="00000000" w:rsidRPr="00000000">
        <w:rPr>
          <w:rtl w:val="0"/>
        </w:rPr>
        <w:t xml:space="preserve">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Paraguay</w:t>
      </w:r>
      <w:r w:rsidDel="00000000" w:rsidR="00000000" w:rsidRPr="00000000">
        <w:rPr>
          <w:rtl w:val="0"/>
        </w:rPr>
        <w:t xml:space="preserve"> indeed has a</w:t>
      </w:r>
      <w:r w:rsidDel="00000000" w:rsidR="00000000" w:rsidRPr="00000000">
        <w:rPr>
          <w:rtl w:val="0"/>
        </w:rPr>
        <w:t xml:space="preserve"> </w:t>
      </w:r>
      <w:r w:rsidDel="00000000" w:rsidR="00000000" w:rsidRPr="00000000">
        <w:rPr>
          <w:rtl w:val="0"/>
        </w:rPr>
        <w:t xml:space="preserve">suboptimal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four years between 2019 and 2023 showed a significant improvement in </w:t>
      </w:r>
      <w:r w:rsidDel="00000000" w:rsidR="00000000" w:rsidRPr="00000000">
        <w:rPr>
          <w:rtl w:val="0"/>
        </w:rPr>
        <w:t xml:space="preserve">Paraguay</w:t>
      </w:r>
      <w:r w:rsidDel="00000000" w:rsidR="00000000" w:rsidRPr="00000000">
        <w:rPr>
          <w:rtl w:val="0"/>
        </w:rPr>
        <w:t xml:space="preserve">'s economic growth, boosting its position on the global scale. Its GDP recovered to above the pre-pandemic levels, and it saw a </w:t>
      </w:r>
      <w:r w:rsidDel="00000000" w:rsidR="00000000" w:rsidRPr="00000000">
        <w:rPr>
          <w:rtl w:val="0"/>
        </w:rPr>
        <w:t xml:space="preserve">significant 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Paraguay</w:t>
      </w:r>
      <w:r w:rsidDel="00000000" w:rsidR="00000000" w:rsidRPr="00000000">
        <w:rPr>
          <w:rtl w:val="0"/>
        </w:rPr>
        <w:t xml:space="preserve"> went through during the period from 2019 to 2023, before and after the COVID pandemic, compared to its performance from 2013 to 2018, before and after the COVID pandemic. Specifically, we dive into the topic through a macroeconomic overview of </w:t>
      </w:r>
      <w:r w:rsidDel="00000000" w:rsidR="00000000" w:rsidRPr="00000000">
        <w:rPr>
          <w:rtl w:val="0"/>
        </w:rPr>
        <w:t xml:space="preserve">Paraguay</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Paraguay</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Paraguay</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jc w:val="both"/>
        <w:rPr/>
      </w:pPr>
      <w:r w:rsidDel="00000000" w:rsidR="00000000" w:rsidRPr="00000000">
        <w:rPr>
          <w:rtl w:val="0"/>
        </w:rPr>
        <w:t xml:space="preserve">Figure 1 illustrates the time-series GDP results for Paraguay and two of its peer countries (Bolivia, Uruguay) from 2013-2018. Similar to the other countries, Paraguay saw a large degree of growth compared to its peers. Additionally, Paraguay’s average annual growth rate of 4.94% over the five-year period is less than that of its peers, which are 5.3%, and 3.01% for Bolivia and Uruguay respectively.</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both"/>
        <w:rPr/>
      </w:pPr>
      <w:r w:rsidDel="00000000" w:rsidR="00000000" w:rsidRPr="00000000">
        <w:rPr>
          <w:rtl w:val="0"/>
        </w:rPr>
        <w:t xml:space="preserve">Figure 1b shows the GDP levels for </w:t>
      </w:r>
      <w:r w:rsidDel="00000000" w:rsidR="00000000" w:rsidRPr="00000000">
        <w:rPr>
          <w:rtl w:val="0"/>
        </w:rPr>
        <w:t xml:space="preserve">Paraguay</w:t>
      </w:r>
      <w:r w:rsidDel="00000000" w:rsidR="00000000" w:rsidRPr="00000000">
        <w:rPr>
          <w:rtl w:val="0"/>
        </w:rPr>
        <w:t xml:space="preserve"> and its peer countries (</w:t>
      </w:r>
      <w:r w:rsidDel="00000000" w:rsidR="00000000" w:rsidRPr="00000000">
        <w:rPr>
          <w:rtl w:val="0"/>
        </w:rPr>
        <w:t xml:space="preserve">Bolivia</w:t>
      </w:r>
      <w:r w:rsidDel="00000000" w:rsidR="00000000" w:rsidRPr="00000000">
        <w:rPr>
          <w:rtl w:val="0"/>
        </w:rPr>
        <w:t xml:space="preserve">, </w:t>
      </w:r>
      <w:r w:rsidDel="00000000" w:rsidR="00000000" w:rsidRPr="00000000">
        <w:rPr>
          <w:rtl w:val="0"/>
        </w:rPr>
        <w:t xml:space="preserve">Peru</w:t>
      </w:r>
      <w:r w:rsidDel="00000000" w:rsidR="00000000" w:rsidRPr="00000000">
        <w:rPr>
          <w:rtl w:val="0"/>
        </w:rPr>
        <w:t xml:space="preserve">, and </w:t>
      </w:r>
      <w:r w:rsidDel="00000000" w:rsidR="00000000" w:rsidRPr="00000000">
        <w:rPr>
          <w:rtl w:val="0"/>
        </w:rPr>
        <w:t xml:space="preserve">Uruguay</w:t>
      </w:r>
      <w:r w:rsidDel="00000000" w:rsidR="00000000" w:rsidRPr="00000000">
        <w:rPr>
          <w:rtl w:val="0"/>
        </w:rPr>
        <w:t xml:space="preserve">) from 2019 to 2023. Similar to the other countries, </w:t>
      </w:r>
      <w:r w:rsidDel="00000000" w:rsidR="00000000" w:rsidRPr="00000000">
        <w:rPr>
          <w:rtl w:val="0"/>
        </w:rPr>
        <w:t xml:space="preserve">Paraguay</w:t>
      </w:r>
      <w:r w:rsidDel="00000000" w:rsidR="00000000" w:rsidRPr="00000000">
        <w:rPr>
          <w:rtl w:val="0"/>
        </w:rPr>
        <w:t xml:space="preserve"> displayed a drop in GDP from 2019 to 2020 because of the pandemic, with all GDPs rebounding in 2023. Over these four years, </w:t>
      </w:r>
      <w:r w:rsidDel="00000000" w:rsidR="00000000" w:rsidRPr="00000000">
        <w:rPr>
          <w:rtl w:val="0"/>
        </w:rPr>
        <w:t xml:space="preserve">Paraguay</w:t>
      </w:r>
      <w:r w:rsidDel="00000000" w:rsidR="00000000" w:rsidRPr="00000000">
        <w:rPr>
          <w:rtl w:val="0"/>
        </w:rPr>
        <w:t xml:space="preserve">’s average annual GDP growth rate (2.61%) is in the lower end, as it is greater than </w:t>
      </w:r>
      <w:r w:rsidDel="00000000" w:rsidR="00000000" w:rsidRPr="00000000">
        <w:rPr>
          <w:rtl w:val="0"/>
        </w:rPr>
        <w:t xml:space="preserve">Bolivia</w:t>
      </w:r>
      <w:r w:rsidDel="00000000" w:rsidR="00000000" w:rsidRPr="00000000">
        <w:rPr>
          <w:rtl w:val="0"/>
        </w:rPr>
        <w:t xml:space="preserve">’s rate (1.62%) but less than</w:t>
      </w:r>
      <w:r w:rsidDel="00000000" w:rsidR="00000000" w:rsidRPr="00000000">
        <w:rPr>
          <w:rtl w:val="0"/>
        </w:rPr>
        <w:t xml:space="preserve"> </w:t>
      </w:r>
      <w:r w:rsidDel="00000000" w:rsidR="00000000" w:rsidRPr="00000000">
        <w:rPr>
          <w:rtl w:val="0"/>
        </w:rPr>
        <w:t xml:space="preserve">Uruguay’s rate (4.21%). It is notable that the GDP levels in </w:t>
      </w:r>
      <w:r w:rsidDel="00000000" w:rsidR="00000000" w:rsidRPr="00000000">
        <w:rPr>
          <w:rtl w:val="0"/>
        </w:rPr>
        <w:t xml:space="preserve">Paraguay</w:t>
      </w:r>
      <w:r w:rsidDel="00000000" w:rsidR="00000000" w:rsidRPr="00000000">
        <w:rPr>
          <w:rtl w:val="0"/>
        </w:rPr>
        <w:t xml:space="preserve"> and </w:t>
      </w:r>
      <w:r w:rsidDel="00000000" w:rsidR="00000000" w:rsidRPr="00000000">
        <w:rPr>
          <w:rtl w:val="0"/>
        </w:rPr>
        <w:t xml:space="preserve">Bolivia</w:t>
      </w:r>
      <w:r w:rsidDel="00000000" w:rsidR="00000000" w:rsidRPr="00000000">
        <w:rPr>
          <w:rtl w:val="0"/>
        </w:rPr>
        <w:t xml:space="preserve"> almost evened out after 2018.</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jc w:val="center"/>
        <w:rPr>
          <w:i w:val="1"/>
          <w:iCs w:val="1"/>
          <w:color w:val="444499"/>
          <w:sz w:val="20"/>
          <w:szCs w:val="20"/>
        </w:rPr>
      </w:pPr>
      <w:r w:rsidDel="00000000" w:rsidR="00000000" w:rsidRPr="00000000">
        <w:rPr/>
        <w:drawing>
          <wp:inline distB="114300" distT="114300" distL="114300" distR="114300">
            <wp:extent cx="4116225" cy="3287213"/>
            <wp:effectExtent b="0" l="0" r="0" t="0"/>
            <wp:docPr id="1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116225" cy="328721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sz w:val="22"/>
          <w:szCs w:val="22"/>
        </w:rPr>
      </w:pPr>
      <w:r w:rsidDel="00000000" w:rsidR="00000000" w:rsidRPr="00000000">
        <w:rPr>
          <w:sz w:val="22"/>
          <w:szCs w:val="22"/>
          <w:rtl w:val="0"/>
        </w:rPr>
        <w:t xml:space="preserve">Figure 1. GDP Comparison Among Peer Countries  (2019-2023)</w:t>
      </w:r>
    </w:p>
    <w:p w:rsidR="00000000" w:rsidDel="00000000" w:rsidP="00000000" w:rsidRDefault="00000000" w:rsidRPr="00000000" w14:paraId="00000023">
      <w:pPr>
        <w:pageBreakBefore w:val="0"/>
        <w:jc w:val="left"/>
        <w:rPr/>
      </w:pPr>
      <w:r w:rsidDel="00000000" w:rsidR="00000000" w:rsidRPr="00000000">
        <w:rPr>
          <w:rtl w:val="0"/>
        </w:rPr>
      </w:r>
    </w:p>
    <w:p w:rsidR="00000000" w:rsidDel="00000000" w:rsidP="00000000" w:rsidRDefault="00000000" w:rsidRPr="00000000" w14:paraId="00000024">
      <w:pPr>
        <w:pageBreakBefore w:val="0"/>
        <w:jc w:val="left"/>
        <w:rPr/>
      </w:pPr>
      <w:r w:rsidDel="00000000" w:rsidR="00000000" w:rsidRPr="00000000">
        <w:rPr>
          <w:rtl w:val="0"/>
        </w:rPr>
      </w:r>
    </w:p>
    <w:p w:rsidR="00000000" w:rsidDel="00000000" w:rsidP="00000000" w:rsidRDefault="00000000" w:rsidRPr="00000000" w14:paraId="00000025">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6">
      <w:pPr>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growth pattern for Paraguay. As illustrated in Figure 2 below, Paraguay (1.34% ECI change) exhibited a slight increase in terms of its production capability from 2013 to 2018, which is different from both Bolivia (+16.39%) and Uruguay (-173.95%). Ultimately, Paraguay is among the middle in its peer group in terms of its GDP growth rate and ECI change across the period.</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pageBreakBefore w:val="0"/>
        <w:jc w:val="both"/>
        <w:rPr/>
      </w:pPr>
      <w:r w:rsidDel="00000000" w:rsidR="00000000" w:rsidRPr="00000000">
        <w:rPr>
          <w:rtl w:val="0"/>
        </w:rPr>
      </w:r>
    </w:p>
    <w:p w:rsidR="00000000" w:rsidDel="00000000" w:rsidP="00000000" w:rsidRDefault="00000000" w:rsidRPr="00000000" w14:paraId="00000029">
      <w:pPr>
        <w:pageBreakBefore w:val="0"/>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2019 and 2020, with a sharp change between 2020 and 2023.</w:t>
      </w:r>
      <w:r w:rsidDel="00000000" w:rsidR="00000000" w:rsidRPr="00000000">
        <w:rPr>
          <w:rtl w:val="0"/>
        </w:rPr>
        <w:t xml:space="preserve"> Paraguay</w:t>
      </w:r>
      <w:r w:rsidDel="00000000" w:rsidR="00000000" w:rsidRPr="00000000">
        <w:rPr>
          <w:rtl w:val="0"/>
        </w:rPr>
        <w:t xml:space="preserve"> exhibits a large increase in production capability in 2023 to levels not seen prior, with </w:t>
      </w:r>
      <w:r w:rsidDel="00000000" w:rsidR="00000000" w:rsidRPr="00000000">
        <w:rPr>
          <w:rtl w:val="0"/>
        </w:rPr>
        <w:t xml:space="preserve">extensive microeconomic stimulus packages</w:t>
      </w:r>
      <w:r w:rsidDel="00000000" w:rsidR="00000000" w:rsidRPr="00000000">
        <w:rPr>
          <w:rtl w:val="0"/>
        </w:rPr>
        <w:t xml:space="preserve"> being one of the reasons. </w:t>
      </w:r>
      <w:r w:rsidDel="00000000" w:rsidR="00000000" w:rsidRPr="00000000">
        <w:rPr>
          <w:rtl w:val="0"/>
        </w:rPr>
        <w:t xml:space="preserve">Paraguay</w:t>
      </w:r>
      <w:r w:rsidDel="00000000" w:rsidR="00000000" w:rsidRPr="00000000">
        <w:rPr>
          <w:rtl w:val="0"/>
        </w:rPr>
        <w:t xml:space="preserve"> has seen a 151.24% increase in its ECI, which is lower than Bolivia’'s (173.4%) and Peru’s (187%), and Uruguay’s (180%).</w:t>
      </w:r>
    </w:p>
    <w:p w:rsidR="00000000" w:rsidDel="00000000" w:rsidP="00000000" w:rsidRDefault="00000000" w:rsidRPr="00000000" w14:paraId="0000002A">
      <w:pPr>
        <w:pageBreakBefore w:val="0"/>
        <w:jc w:val="both"/>
        <w:rPr/>
      </w:pPr>
      <w:r w:rsidDel="00000000" w:rsidR="00000000" w:rsidRPr="00000000">
        <w:rPr>
          <w:rtl w:val="0"/>
        </w:rPr>
      </w:r>
    </w:p>
    <w:p w:rsidR="00000000" w:rsidDel="00000000" w:rsidP="00000000" w:rsidRDefault="00000000" w:rsidRPr="00000000" w14:paraId="0000002B">
      <w:pPr>
        <w:pageBreakBefore w:val="0"/>
        <w:jc w:val="center"/>
        <w:rPr/>
      </w:pPr>
      <w:r w:rsidDel="00000000" w:rsidR="00000000" w:rsidRPr="00000000">
        <w:rPr/>
        <w:drawing>
          <wp:inline distB="114300" distT="114300" distL="114300" distR="114300">
            <wp:extent cx="5505450" cy="4343400"/>
            <wp:effectExtent b="0" l="0" r="0" t="0"/>
            <wp:docPr id="1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505450" cy="4343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C">
      <w:pPr>
        <w:pageBreakBefore w:val="0"/>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(2019-2023) </w:t>
      </w:r>
      <w:r w:rsidDel="00000000" w:rsidR="00000000" w:rsidRPr="00000000">
        <w:rPr>
          <w:rtl w:val="0"/>
        </w:rPr>
        <w:t xml:space="preserve">                        </w:t>
      </w:r>
    </w:p>
    <w:p w:rsidR="00000000" w:rsidDel="00000000" w:rsidP="00000000" w:rsidRDefault="00000000" w:rsidRPr="00000000" w14:paraId="0000002D">
      <w:pPr>
        <w:pageBreakBefore w:val="0"/>
        <w:jc w:val="left"/>
        <w:rPr/>
      </w:pPr>
      <w:r w:rsidDel="00000000" w:rsidR="00000000" w:rsidRPr="00000000">
        <w:rPr>
          <w:rtl w:val="0"/>
        </w:rPr>
      </w:r>
    </w:p>
    <w:p w:rsidR="00000000" w:rsidDel="00000000" w:rsidP="00000000" w:rsidRDefault="00000000" w:rsidRPr="00000000" w14:paraId="0000002E">
      <w:pPr>
        <w:pageBreakBefore w:val="0"/>
        <w:jc w:val="both"/>
        <w:rPr/>
      </w:pPr>
      <w:r w:rsidDel="00000000" w:rsidR="00000000" w:rsidRPr="00000000">
        <w:rPr>
          <w:rtl w:val="0"/>
        </w:rPr>
        <w:t xml:space="preserve">Figures 3a and 3b offer a further comparison of GDP Growth and ECI over the time span from 2013 to 2023 for </w:t>
      </w:r>
      <w:r w:rsidDel="00000000" w:rsidR="00000000" w:rsidRPr="00000000">
        <w:rPr>
          <w:rtl w:val="0"/>
        </w:rPr>
        <w:t xml:space="preserve">Paraguay</w:t>
      </w:r>
      <w:r w:rsidDel="00000000" w:rsidR="00000000" w:rsidRPr="00000000">
        <w:rPr>
          <w:rtl w:val="0"/>
        </w:rPr>
        <w:t xml:space="preserve">. </w:t>
      </w:r>
      <w:r w:rsidDel="00000000" w:rsidR="00000000" w:rsidRPr="00000000">
        <w:rPr>
          <w:rtl w:val="0"/>
        </w:rPr>
        <w:t xml:space="preserve">Similar to the GDP drop and further increase from 2013 to 2018, the GDP growth during the period from 2019 to 2023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Paraguay</w:t>
      </w:r>
      <w:r w:rsidDel="00000000" w:rsidR="00000000" w:rsidRPr="00000000">
        <w:rPr>
          <w:rtl w:val="0"/>
        </w:rPr>
        <w:t xml:space="preserve"> during the period from 2013 to 2018 is </w:t>
      </w:r>
      <w:r w:rsidDel="00000000" w:rsidR="00000000" w:rsidRPr="00000000">
        <w:rPr>
          <w:rtl w:val="0"/>
        </w:rPr>
        <w:t xml:space="preserve">only partially consistent</w:t>
      </w:r>
      <w:r w:rsidDel="00000000" w:rsidR="00000000" w:rsidRPr="00000000">
        <w:rPr>
          <w:rtl w:val="0"/>
        </w:rPr>
        <w:t xml:space="preserve"> with the predictions by ECI and that </w:t>
      </w:r>
      <w:r w:rsidDel="00000000" w:rsidR="00000000" w:rsidRPr="00000000">
        <w:rPr>
          <w:rtl w:val="0"/>
        </w:rPr>
        <w:t xml:space="preserve">Paraguay</w:t>
      </w:r>
      <w:r w:rsidDel="00000000" w:rsidR="00000000" w:rsidRPr="00000000">
        <w:rPr>
          <w:rtl w:val="0"/>
        </w:rPr>
        <w:t xml:space="preserve"> made </w:t>
      </w:r>
      <w:r w:rsidDel="00000000" w:rsidR="00000000" w:rsidRPr="00000000">
        <w:rPr>
          <w:rtl w:val="0"/>
        </w:rPr>
        <w:t xml:space="preserve">weak</w:t>
      </w:r>
      <w:r w:rsidDel="00000000" w:rsidR="00000000" w:rsidRPr="00000000">
        <w:rPr>
          <w:rtl w:val="0"/>
        </w:rPr>
        <w:t xml:space="preserve"> progress towards effectively developing a competitive product space that helps to accumulate complicated knowledge and technology. </w:t>
      </w:r>
      <w:r w:rsidDel="00000000" w:rsidR="00000000" w:rsidRPr="00000000">
        <w:rPr>
          <w:rtl w:val="0"/>
        </w:rPr>
        <w:t xml:space="preserve">For the period 2019 to 2023,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Paraguay</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2F">
      <w:pPr>
        <w:pageBreakBefore w:val="0"/>
        <w:jc w:val="both"/>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drawing>
          <wp:inline distB="114300" distT="114300" distL="114300" distR="114300">
            <wp:extent cx="5734050" cy="3943350"/>
            <wp:effectExtent b="0" l="0" r="0" t="0"/>
            <wp:docPr id="12" name="image10.png"/>
            <a:graphic>
              <a:graphicData uri="http://schemas.openxmlformats.org/drawingml/2006/picture">
                <pic:pic>
                  <pic:nvPicPr>
                    <pic:cNvPr id="0" name="image10.png"/>
                    <pic:cNvPicPr preferRelativeResize="0"/>
                  </pic:nvPicPr>
                  <pic:blipFill>
                    <a:blip r:embed="rId9"/>
                    <a:srcRect b="0" l="0" r="0" t="5909"/>
                    <a:stretch>
                      <a:fillRect/>
                    </a:stretch>
                  </pic:blipFill>
                  <pic:spPr>
                    <a:xfrm>
                      <a:off x="0" y="0"/>
                      <a:ext cx="5734050"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b w:val="0"/>
          <w:bCs w:val="0"/>
          <w:i w:val="1"/>
          <w:iCs w:val="1"/>
          <w:color w:val="444499"/>
          <w:sz w:val="20"/>
          <w:szCs w:val="20"/>
        </w:rPr>
      </w:pPr>
      <w:r w:rsidDel="00000000" w:rsidR="00000000" w:rsidRPr="00000000">
        <w:rPr>
          <w:sz w:val="22"/>
          <w:szCs w:val="22"/>
          <w:rtl w:val="0"/>
        </w:rPr>
        <w:t xml:space="preserve">Figure 3. GDP Growth and ECI for</w:t>
      </w:r>
      <w:r w:rsidDel="00000000" w:rsidR="00000000" w:rsidRPr="00000000">
        <w:rPr>
          <w:sz w:val="22"/>
          <w:szCs w:val="22"/>
          <w:rtl w:val="0"/>
        </w:rPr>
        <w:t xml:space="preserve"> Paraguay</w:t>
      </w:r>
      <w:r w:rsidDel="00000000" w:rsidR="00000000" w:rsidRPr="00000000">
        <w:rPr>
          <w:sz w:val="22"/>
          <w:szCs w:val="22"/>
          <w:rtl w:val="0"/>
        </w:rPr>
        <w:t xml:space="preserve"> (2019-2023)</w:t>
      </w:r>
      <w:r w:rsidDel="00000000" w:rsidR="00000000" w:rsidRPr="00000000">
        <w:rPr>
          <w:rtl w:val="0"/>
        </w:rPr>
      </w:r>
    </w:p>
    <w:p w:rsidR="00000000" w:rsidDel="00000000" w:rsidP="00000000" w:rsidRDefault="00000000" w:rsidRPr="00000000" w14:paraId="00000032">
      <w:pPr>
        <w:pageBreakBefore w:val="0"/>
        <w:jc w:val="both"/>
        <w:rPr>
          <w:b w:val="1"/>
          <w:bCs w:val="1"/>
        </w:rPr>
      </w:pPr>
      <w:r w:rsidDel="00000000" w:rsidR="00000000" w:rsidRPr="00000000">
        <w:rPr>
          <w:rtl w:val="0"/>
        </w:rPr>
      </w:r>
    </w:p>
    <w:p w:rsidR="00000000" w:rsidDel="00000000" w:rsidP="00000000" w:rsidRDefault="00000000" w:rsidRPr="00000000" w14:paraId="00000033">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5">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6">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7">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8">
      <w:pPr>
        <w:pageBreakBefore w:val="0"/>
        <w:jc w:val="both"/>
        <w:rPr/>
      </w:pPr>
      <w:r w:rsidDel="00000000" w:rsidR="00000000" w:rsidRPr="00000000">
        <w:rPr>
          <w:rtl w:val="0"/>
        </w:rPr>
      </w:r>
    </w:p>
    <w:p w:rsidR="00000000" w:rsidDel="00000000" w:rsidP="00000000" w:rsidRDefault="00000000" w:rsidRPr="00000000" w14:paraId="00000039">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A">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B">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C">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B">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7">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1">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2">
      <w:pPr>
        <w:pageBreakBefore w:val="0"/>
        <w:jc w:val="both"/>
        <w:rPr/>
      </w:pPr>
      <w:r w:rsidDel="00000000" w:rsidR="00000000" w:rsidRPr="00000000">
        <w:rPr>
          <w:rtl w:val="0"/>
        </w:rPr>
      </w:r>
    </w:p>
    <w:p w:rsidR="00000000" w:rsidDel="00000000" w:rsidP="00000000" w:rsidRDefault="00000000" w:rsidRPr="00000000" w14:paraId="00000063">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4">
      <w:pPr>
        <w:pageBreakBefore w:val="0"/>
        <w:jc w:val="both"/>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6">
            <w:pPr>
              <w:jc w:val="center"/>
              <w:rPr/>
            </w:pPr>
            <w:r w:rsidDel="00000000" w:rsidR="00000000" w:rsidRPr="00000000">
              <w:rPr>
                <w:rtl w:val="0"/>
              </w:rPr>
            </w:r>
          </w:p>
        </w:tc>
        <w:tc>
          <w:tcPr/>
          <w:p w:rsidR="00000000" w:rsidDel="00000000" w:rsidP="00000000" w:rsidRDefault="00000000" w:rsidRPr="00000000" w14:paraId="00000067">
            <w:pPr>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8">
            <w:pPr>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9">
            <w:pPr>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A">
            <w:pPr>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B">
            <w:pPr>
              <w:jc w:val="center"/>
              <w:rPr/>
            </w:pPr>
            <w:r w:rsidDel="00000000" w:rsidR="00000000" w:rsidRPr="00000000">
              <w:rPr>
                <w:rtl w:val="0"/>
              </w:rPr>
              <w:t xml:space="preserve">0.075</w:t>
            </w:r>
          </w:p>
        </w:tc>
        <w:tc>
          <w:tcPr>
            <w:vAlign w:val="bottom"/>
          </w:tcPr>
          <w:p w:rsidR="00000000" w:rsidDel="00000000" w:rsidP="00000000" w:rsidRDefault="00000000" w:rsidRPr="00000000" w14:paraId="0000006C">
            <w:pPr>
              <w:jc w:val="center"/>
              <w:rPr/>
            </w:pPr>
            <w:r w:rsidDel="00000000" w:rsidR="00000000" w:rsidRPr="00000000">
              <w:rPr>
                <w:rtl w:val="0"/>
              </w:rPr>
              <w:t xml:space="preserve">0.006</w:t>
            </w:r>
          </w:p>
        </w:tc>
        <w:tc>
          <w:tcPr>
            <w:vAlign w:val="bottom"/>
          </w:tcPr>
          <w:p w:rsidR="00000000" w:rsidDel="00000000" w:rsidP="00000000" w:rsidRDefault="00000000" w:rsidRPr="00000000" w14:paraId="0000006D">
            <w:pPr>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E">
            <w:pPr>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F">
            <w:pPr>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70">
            <w:pPr>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71">
            <w:pPr>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72">
            <w:pPr>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3">
            <w:pPr>
              <w:jc w:val="center"/>
              <w:rPr/>
            </w:pPr>
            <w:r w:rsidDel="00000000" w:rsidR="00000000" w:rsidRPr="00000000">
              <w:rPr>
                <w:rtl w:val="0"/>
              </w:rPr>
              <w:t xml:space="preserve">107</w:t>
            </w:r>
          </w:p>
        </w:tc>
        <w:tc>
          <w:tcPr>
            <w:vAlign w:val="bottom"/>
          </w:tcPr>
          <w:p w:rsidR="00000000" w:rsidDel="00000000" w:rsidP="00000000" w:rsidRDefault="00000000" w:rsidRPr="00000000" w14:paraId="00000074">
            <w:pPr>
              <w:jc w:val="center"/>
              <w:rPr/>
            </w:pPr>
            <w:r w:rsidDel="00000000" w:rsidR="00000000" w:rsidRPr="00000000">
              <w:rPr>
                <w:rtl w:val="0"/>
              </w:rPr>
              <w:t xml:space="preserve">107</w:t>
            </w:r>
          </w:p>
        </w:tc>
        <w:tc>
          <w:tcPr>
            <w:vAlign w:val="bottom"/>
          </w:tcPr>
          <w:p w:rsidR="00000000" w:rsidDel="00000000" w:rsidP="00000000" w:rsidRDefault="00000000" w:rsidRPr="00000000" w14:paraId="00000075">
            <w:pPr>
              <w:jc w:val="center"/>
              <w:rPr/>
            </w:pPr>
            <w:r w:rsidDel="00000000" w:rsidR="00000000" w:rsidRPr="00000000">
              <w:rPr>
                <w:rtl w:val="0"/>
              </w:rPr>
              <w:t xml:space="preserve">107</w:t>
            </w:r>
          </w:p>
        </w:tc>
      </w:tr>
    </w:tbl>
    <w:p w:rsidR="00000000" w:rsidDel="00000000" w:rsidP="00000000" w:rsidRDefault="00000000" w:rsidRPr="00000000" w14:paraId="00000076">
      <w:pPr>
        <w:jc w:val="center"/>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A">
            <w:pPr>
              <w:jc w:val="center"/>
              <w:rPr/>
            </w:pPr>
            <w:r w:rsidDel="00000000" w:rsidR="00000000" w:rsidRPr="00000000">
              <w:rPr>
                <w:rtl w:val="0"/>
              </w:rPr>
            </w:r>
          </w:p>
        </w:tc>
        <w:tc>
          <w:tcPr/>
          <w:p w:rsidR="00000000" w:rsidDel="00000000" w:rsidP="00000000" w:rsidRDefault="00000000" w:rsidRPr="00000000" w14:paraId="0000007B">
            <w:pPr>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C">
            <w:pPr>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D">
            <w:pPr>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E">
            <w:pPr>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F">
            <w:pPr>
              <w:jc w:val="center"/>
              <w:rPr/>
            </w:pPr>
            <w:r w:rsidDel="00000000" w:rsidR="00000000" w:rsidRPr="00000000">
              <w:rPr>
                <w:rtl w:val="0"/>
              </w:rPr>
              <w:t xml:space="preserve">0.149</w:t>
            </w:r>
          </w:p>
        </w:tc>
        <w:tc>
          <w:tcPr>
            <w:vAlign w:val="bottom"/>
          </w:tcPr>
          <w:p w:rsidR="00000000" w:rsidDel="00000000" w:rsidP="00000000" w:rsidRDefault="00000000" w:rsidRPr="00000000" w14:paraId="00000080">
            <w:pPr>
              <w:jc w:val="center"/>
              <w:rPr/>
            </w:pPr>
            <w:r w:rsidDel="00000000" w:rsidR="00000000" w:rsidRPr="00000000">
              <w:rPr>
                <w:rtl w:val="0"/>
              </w:rPr>
              <w:t xml:space="preserve">0.003</w:t>
            </w:r>
          </w:p>
        </w:tc>
        <w:tc>
          <w:tcPr>
            <w:vAlign w:val="bottom"/>
          </w:tcPr>
          <w:p w:rsidR="00000000" w:rsidDel="00000000" w:rsidP="00000000" w:rsidRDefault="00000000" w:rsidRPr="00000000" w14:paraId="00000081">
            <w:pPr>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82">
            <w:pPr>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3">
            <w:pPr>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84">
            <w:pPr>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85">
            <w:pPr>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6">
            <w:pPr>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7">
            <w:pPr>
              <w:jc w:val="center"/>
              <w:rPr/>
            </w:pPr>
            <w:r w:rsidDel="00000000" w:rsidR="00000000" w:rsidRPr="00000000">
              <w:rPr>
                <w:rtl w:val="0"/>
              </w:rPr>
              <w:t xml:space="preserve">21</w:t>
            </w:r>
          </w:p>
        </w:tc>
        <w:tc>
          <w:tcPr>
            <w:vAlign w:val="bottom"/>
          </w:tcPr>
          <w:p w:rsidR="00000000" w:rsidDel="00000000" w:rsidP="00000000" w:rsidRDefault="00000000" w:rsidRPr="00000000" w14:paraId="00000088">
            <w:pPr>
              <w:jc w:val="center"/>
              <w:rPr/>
            </w:pPr>
            <w:r w:rsidDel="00000000" w:rsidR="00000000" w:rsidRPr="00000000">
              <w:rPr>
                <w:rtl w:val="0"/>
              </w:rPr>
              <w:t xml:space="preserve">21</w:t>
            </w:r>
          </w:p>
        </w:tc>
        <w:tc>
          <w:tcPr>
            <w:vAlign w:val="bottom"/>
          </w:tcPr>
          <w:p w:rsidR="00000000" w:rsidDel="00000000" w:rsidP="00000000" w:rsidRDefault="00000000" w:rsidRPr="00000000" w14:paraId="00000089">
            <w:pPr>
              <w:jc w:val="center"/>
              <w:rPr/>
            </w:pPr>
            <w:r w:rsidDel="00000000" w:rsidR="00000000" w:rsidRPr="00000000">
              <w:rPr>
                <w:rtl w:val="0"/>
              </w:rPr>
              <w:t xml:space="preserve">21</w:t>
            </w:r>
          </w:p>
        </w:tc>
      </w:tr>
    </w:tbl>
    <w:p w:rsidR="00000000" w:rsidDel="00000000" w:rsidP="00000000" w:rsidRDefault="00000000" w:rsidRPr="00000000" w14:paraId="0000008A">
      <w:pPr>
        <w:jc w:val="center"/>
        <w:rPr/>
      </w:pPr>
      <w:r w:rsidDel="00000000" w:rsidR="00000000" w:rsidRPr="00000000">
        <w:rPr>
          <w:rtl w:val="0"/>
        </w:rPr>
      </w:r>
    </w:p>
    <w:p w:rsidR="00000000" w:rsidDel="00000000" w:rsidP="00000000" w:rsidRDefault="00000000" w:rsidRPr="00000000" w14:paraId="0000008B">
      <w:pPr>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C">
      <w:pPr>
        <w:pageBreakBefore w:val="0"/>
        <w:jc w:val="center"/>
        <w:rPr/>
      </w:pPr>
      <w:r w:rsidDel="00000000" w:rsidR="00000000" w:rsidRPr="00000000">
        <w:rPr>
          <w:rtl w:val="0"/>
        </w:rPr>
      </w:r>
    </w:p>
    <w:p w:rsidR="00000000" w:rsidDel="00000000" w:rsidP="00000000" w:rsidRDefault="00000000" w:rsidRPr="00000000" w14:paraId="0000008D">
      <w:pPr>
        <w:pageBreakBefore w:val="0"/>
        <w:jc w:val="center"/>
        <w:rPr>
          <w:sz w:val="22"/>
          <w:szCs w:val="22"/>
        </w:rPr>
      </w:pPr>
      <w:r w:rsidDel="00000000" w:rsidR="00000000" w:rsidRPr="00000000">
        <w:rPr>
          <w:rtl w:val="0"/>
        </w:rPr>
      </w:r>
    </w:p>
    <w:p w:rsidR="00000000" w:rsidDel="00000000" w:rsidP="00000000" w:rsidRDefault="00000000" w:rsidRPr="00000000" w14:paraId="0000008E">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F">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Paraguay'</w:t>
      </w:r>
      <w:r w:rsidDel="00000000" w:rsidR="00000000" w:rsidRPr="00000000">
        <w:rPr>
          <w:rtl w:val="0"/>
        </w:rPr>
        <w:t xml:space="preserve">s realized industry production strategy between 2013 and 2023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Paraguay</w:t>
      </w:r>
      <w:r w:rsidDel="00000000" w:rsidR="00000000" w:rsidRPr="00000000">
        <w:rPr>
          <w:rtl w:val="0"/>
        </w:rPr>
        <w:t xml:space="preserve"> and the 18 product groups in 2023 and 2018 through the difference, where a positive RID indicates a shortening of the distance (i.e., advancement of the industry), and a negative RID indicates the reverse. It is notable that the number of industries with positive RID has decreased from 2018 to 2023.</w:t>
      </w:r>
    </w:p>
    <w:p w:rsidR="00000000" w:rsidDel="00000000" w:rsidP="00000000" w:rsidRDefault="00000000" w:rsidRPr="00000000" w14:paraId="00000090">
      <w:pPr>
        <w:pageBreakBefore w:val="0"/>
        <w:jc w:val="both"/>
        <w:rPr/>
      </w:pPr>
      <w:r w:rsidDel="00000000" w:rsidR="00000000" w:rsidRPr="00000000">
        <w:rPr>
          <w:rtl w:val="0"/>
        </w:rPr>
      </w:r>
    </w:p>
    <w:p w:rsidR="00000000" w:rsidDel="00000000" w:rsidP="00000000" w:rsidRDefault="00000000" w:rsidRPr="00000000" w14:paraId="00000091">
      <w:pPr>
        <w:pageBreakBefore w:val="0"/>
        <w:jc w:val="center"/>
        <w:rPr>
          <w:sz w:val="22"/>
          <w:szCs w:val="22"/>
        </w:rPr>
      </w:pPr>
      <w:r w:rsidDel="00000000" w:rsidR="00000000" w:rsidRPr="00000000">
        <w:rPr>
          <w:sz w:val="22"/>
          <w:szCs w:val="22"/>
        </w:rPr>
        <w:drawing>
          <wp:inline distB="114300" distT="114300" distL="114300" distR="114300">
            <wp:extent cx="5124450" cy="5372100"/>
            <wp:effectExtent b="0" l="0" r="0" t="0"/>
            <wp:docPr id="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12445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Paraguay</w:t>
      </w:r>
      <w:r w:rsidDel="00000000" w:rsidR="00000000" w:rsidRPr="00000000">
        <w:rPr>
          <w:rtl w:val="0"/>
        </w:rPr>
      </w:r>
    </w:p>
    <w:p w:rsidR="00000000" w:rsidDel="00000000" w:rsidP="00000000" w:rsidRDefault="00000000" w:rsidRPr="00000000" w14:paraId="00000093">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4">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5">
      <w:pPr>
        <w:pageBreakBefore w:val="0"/>
        <w:jc w:val="both"/>
        <w:rPr>
          <w:sz w:val="22"/>
          <w:szCs w:val="22"/>
        </w:rPr>
      </w:pPr>
      <w:r w:rsidDel="00000000" w:rsidR="00000000" w:rsidRPr="00000000">
        <w:rPr>
          <w:rtl w:val="0"/>
        </w:rPr>
        <w:t xml:space="preserve">Table 4a below summarizes how the production strategy adopted by </w:t>
      </w:r>
      <w:r w:rsidDel="00000000" w:rsidR="00000000" w:rsidRPr="00000000">
        <w:rPr>
          <w:rtl w:val="0"/>
        </w:rPr>
        <w:t xml:space="preserve">Paraguay</w:t>
      </w:r>
      <w:r w:rsidDel="00000000" w:rsidR="00000000" w:rsidRPr="00000000">
        <w:rPr>
          <w:rtl w:val="0"/>
        </w:rPr>
        <w:t xml:space="preserve"> compares with selected leading economies in the world across different years, as measured in RID. Leading economies such as </w:t>
      </w:r>
      <w:r w:rsidDel="00000000" w:rsidR="00000000" w:rsidRPr="00000000">
        <w:rPr>
          <w:rtl w:val="0"/>
        </w:rPr>
        <w:t xml:space="preserve">Bolivia</w:t>
      </w:r>
      <w:r w:rsidDel="00000000" w:rsidR="00000000" w:rsidRPr="00000000">
        <w:rPr>
          <w:rtl w:val="0"/>
        </w:rPr>
        <w:t xml:space="preserve">, </w:t>
      </w:r>
      <w:r w:rsidDel="00000000" w:rsidR="00000000" w:rsidRPr="00000000">
        <w:rPr>
          <w:rtl w:val="0"/>
        </w:rPr>
        <w:t xml:space="preserve">Peru</w:t>
      </w:r>
      <w:r w:rsidDel="00000000" w:rsidR="00000000" w:rsidRPr="00000000">
        <w:rPr>
          <w:rtl w:val="0"/>
        </w:rPr>
        <w:t xml:space="preserve">, and </w:t>
      </w:r>
      <w:r w:rsidDel="00000000" w:rsidR="00000000" w:rsidRPr="00000000">
        <w:rPr>
          <w:rtl w:val="0"/>
        </w:rPr>
        <w:t xml:space="preserve">Uruguay</w:t>
      </w:r>
      <w:r w:rsidDel="00000000" w:rsidR="00000000" w:rsidRPr="00000000">
        <w:rPr>
          <w:rtl w:val="0"/>
        </w:rPr>
        <w:t xml:space="preserve"> gave a considerable level of attention to more advanced product groups. </w:t>
      </w:r>
      <w:r w:rsidDel="00000000" w:rsidR="00000000" w:rsidRPr="00000000">
        <w:rPr>
          <w:rtl w:val="0"/>
        </w:rPr>
      </w:r>
    </w:p>
    <w:p w:rsidR="00000000" w:rsidDel="00000000" w:rsidP="00000000" w:rsidRDefault="00000000" w:rsidRPr="00000000" w14:paraId="00000096">
      <w:pPr>
        <w:pageBreakBefore w:val="0"/>
        <w:jc w:val="center"/>
        <w:rPr/>
      </w:pPr>
      <w:r w:rsidDel="00000000" w:rsidR="00000000" w:rsidRPr="00000000">
        <w:rPr>
          <w:rtl w:val="0"/>
        </w:rPr>
      </w:r>
    </w:p>
    <w:p w:rsidR="00000000" w:rsidDel="00000000" w:rsidP="00000000" w:rsidRDefault="00000000" w:rsidRPr="00000000" w14:paraId="00000097">
      <w:pPr>
        <w:pageBreakBefore w:val="0"/>
        <w:jc w:val="center"/>
        <w:rPr/>
      </w:pPr>
      <w:r w:rsidDel="00000000" w:rsidR="00000000" w:rsidRPr="00000000">
        <w:rPr/>
        <w:drawing>
          <wp:inline distB="114300" distT="114300" distL="114300" distR="114300">
            <wp:extent cx="5734050" cy="2981325"/>
            <wp:effectExtent b="0" l="0" r="0" t="0"/>
            <wp:docPr id="2" name="image12.png"/>
            <a:graphic>
              <a:graphicData uri="http://schemas.openxmlformats.org/drawingml/2006/picture">
                <pic:pic>
                  <pic:nvPicPr>
                    <pic:cNvPr id="0" name="image12.png"/>
                    <pic:cNvPicPr preferRelativeResize="0"/>
                  </pic:nvPicPr>
                  <pic:blipFill>
                    <a:blip r:embed="rId11"/>
                    <a:srcRect b="4118" l="0" r="0" t="3824"/>
                    <a:stretch>
                      <a:fillRect/>
                    </a:stretch>
                  </pic:blipFill>
                  <pic:spPr>
                    <a:xfrm>
                      <a:off x="0" y="0"/>
                      <a:ext cx="573405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ageBreakBefore w:val="0"/>
        <w:jc w:val="both"/>
        <w:rPr/>
      </w:pPr>
      <w:r w:rsidDel="00000000" w:rsidR="00000000" w:rsidRPr="00000000">
        <w:rPr>
          <w:rtl w:val="0"/>
        </w:rPr>
      </w:r>
    </w:p>
    <w:p w:rsidR="00000000" w:rsidDel="00000000" w:rsidP="00000000" w:rsidRDefault="00000000" w:rsidRPr="00000000" w14:paraId="0000009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9A">
      <w:pPr>
        <w:pageBreakBefore w:val="0"/>
        <w:jc w:val="both"/>
        <w:rPr>
          <w:b w:val="1"/>
          <w:bCs w:val="1"/>
        </w:rPr>
      </w:pPr>
      <w:r w:rsidDel="00000000" w:rsidR="00000000" w:rsidRPr="00000000">
        <w:rPr>
          <w:rtl w:val="0"/>
        </w:rPr>
      </w:r>
    </w:p>
    <w:p w:rsidR="00000000" w:rsidDel="00000000" w:rsidP="00000000" w:rsidRDefault="00000000" w:rsidRPr="00000000" w14:paraId="0000009B">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9D">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9E">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9F">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w:t>
      </w:r>
      <w:r w:rsidDel="00000000" w:rsidR="00000000" w:rsidRPr="00000000">
        <w:rPr>
          <w:rtl w:val="0"/>
        </w:rPr>
        <w:t xml:space="preserve">decrement</w:t>
      </w:r>
      <w:r w:rsidDel="00000000" w:rsidR="00000000" w:rsidRPr="00000000">
        <w:rPr>
          <w:rtl w:val="0"/>
        </w:rPr>
        <w:t xml:space="preserve">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0A0">
      <w:pPr>
        <w:pageBreakBefore w:val="0"/>
        <w:jc w:val="left"/>
        <w:rPr/>
      </w:pPr>
      <w:r w:rsidDel="00000000" w:rsidR="00000000" w:rsidRPr="00000000">
        <w:rPr>
          <w:rtl w:val="0"/>
        </w:rPr>
      </w:r>
    </w:p>
    <w:p w:rsidR="00000000" w:rsidDel="00000000" w:rsidP="00000000" w:rsidRDefault="00000000" w:rsidRPr="00000000" w14:paraId="000000A1">
      <w:pPr>
        <w:tabs>
          <w:tab w:val="center" w:leader="none" w:pos="4680"/>
          <w:tab w:val="right" w:leader="none" w:pos="9360"/>
        </w:tabs>
        <w:jc w:val="both"/>
        <w:rPr>
          <w:sz w:val="22"/>
          <w:szCs w:val="22"/>
        </w:rPr>
      </w:pPr>
      <w:r w:rsidDel="00000000" w:rsidR="00000000" w:rsidRPr="00000000">
        <w:rPr>
          <w:rFonts w:ascii="Times" w:cs="Times" w:eastAsia="Times" w:hAnsi="Times"/>
          <w:b w:val="1"/>
          <w:bCs w:val="1"/>
          <w:sz w:val="28"/>
          <w:szCs w:val="28"/>
        </w:rPr>
        <w:drawing>
          <wp:inline distB="114300" distT="114300" distL="114300" distR="114300">
            <wp:extent cx="5731200" cy="2400300"/>
            <wp:effectExtent b="0" l="0" r="0" t="0"/>
            <wp:docPr id="1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jc w:val="center"/>
        <w:rPr>
          <w:sz w:val="22"/>
          <w:szCs w:val="22"/>
        </w:rPr>
      </w:pPr>
      <w:r w:rsidDel="00000000" w:rsidR="00000000" w:rsidRPr="00000000">
        <w:rPr>
          <w:sz w:val="22"/>
          <w:szCs w:val="22"/>
          <w:rtl w:val="0"/>
        </w:rPr>
        <w:t xml:space="preserve">Table 5. Opportunity Gain Ranking on a Comparable Scale (</w:t>
      </w:r>
      <w:r w:rsidDel="00000000" w:rsidR="00000000" w:rsidRPr="00000000">
        <w:rPr>
          <w:sz w:val="22"/>
          <w:szCs w:val="22"/>
          <w:rtl w:val="0"/>
        </w:rPr>
        <w:t xml:space="preserve">2023</w:t>
      </w:r>
      <w:r w:rsidDel="00000000" w:rsidR="00000000" w:rsidRPr="00000000">
        <w:rPr>
          <w:sz w:val="22"/>
          <w:szCs w:val="22"/>
          <w:rtl w:val="0"/>
        </w:rPr>
        <w:t xml:space="preserve">)</w:t>
      </w:r>
    </w:p>
    <w:p w:rsidR="00000000" w:rsidDel="00000000" w:rsidP="00000000" w:rsidRDefault="00000000" w:rsidRPr="00000000" w14:paraId="000000A3">
      <w:pPr>
        <w:pageBreakBefore w:val="0"/>
        <w:jc w:val="center"/>
        <w:rPr/>
      </w:pPr>
      <w:r w:rsidDel="00000000" w:rsidR="00000000" w:rsidRPr="00000000">
        <w:rPr>
          <w:rtl w:val="0"/>
        </w:rPr>
      </w:r>
    </w:p>
    <w:p w:rsidR="00000000" w:rsidDel="00000000" w:rsidP="00000000" w:rsidRDefault="00000000" w:rsidRPr="00000000" w14:paraId="000000A4">
      <w:pPr>
        <w:pageBreakBefore w:val="0"/>
        <w:jc w:val="both"/>
        <w:rPr/>
      </w:pPr>
      <w:r w:rsidDel="00000000" w:rsidR="00000000" w:rsidRPr="00000000">
        <w:rPr>
          <w:rtl w:val="0"/>
        </w:rPr>
        <w:t xml:space="preserve">We define the ranking of opportunity gain for a country c, as the Suggested Development Vector (SDV) of c. Table 5 summarizes how the SDV of </w:t>
      </w:r>
      <w:r w:rsidDel="00000000" w:rsidR="00000000" w:rsidRPr="00000000">
        <w:rPr>
          <w:rtl w:val="0"/>
        </w:rPr>
        <w:t xml:space="preserve">Paraguay</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0A5">
      <w:pPr>
        <w:pageBreakBefore w:val="0"/>
        <w:jc w:val="both"/>
        <w:rPr/>
      </w:pPr>
      <w:r w:rsidDel="00000000" w:rsidR="00000000" w:rsidRPr="00000000">
        <w:rPr>
          <w:rtl w:val="0"/>
        </w:rPr>
      </w:r>
    </w:p>
    <w:p w:rsidR="00000000" w:rsidDel="00000000" w:rsidP="00000000" w:rsidRDefault="00000000" w:rsidRPr="00000000" w14:paraId="000000A6">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w:t>
      </w:r>
      <w:r w:rsidDel="00000000" w:rsidR="00000000" w:rsidRPr="00000000">
        <w:rPr>
          <w:rtl w:val="0"/>
        </w:rPr>
        <w:t xml:space="preserve">Chemicals</w:t>
      </w:r>
      <w:r w:rsidDel="00000000" w:rsidR="00000000" w:rsidRPr="00000000">
        <w:rPr>
          <w:rtl w:val="0"/>
        </w:rPr>
        <w:t xml:space="preserve"> and </w:t>
      </w:r>
      <w:r w:rsidDel="00000000" w:rsidR="00000000" w:rsidRPr="00000000">
        <w:rPr>
          <w:rtl w:val="0"/>
        </w:rPr>
        <w:t xml:space="preserve">Mining</w:t>
      </w:r>
      <w:r w:rsidDel="00000000" w:rsidR="00000000" w:rsidRPr="00000000">
        <w:rPr>
          <w:rtl w:val="0"/>
        </w:rPr>
        <w:t xml:space="preserve"> industries. It can be concluded that </w:t>
      </w:r>
      <w:r w:rsidDel="00000000" w:rsidR="00000000" w:rsidRPr="00000000">
        <w:rPr>
          <w:rtl w:val="0"/>
        </w:rPr>
        <w:t xml:space="preserve">Paraguay</w:t>
      </w:r>
      <w:r w:rsidDel="00000000" w:rsidR="00000000" w:rsidRPr="00000000">
        <w:rPr>
          <w:rtl w:val="0"/>
        </w:rPr>
        <w:t xml:space="preserve"> shares the characteristics of developing countries, with a balanced economic structure that leans towards developing-level industries.</w:t>
      </w:r>
    </w:p>
    <w:p w:rsidR="00000000" w:rsidDel="00000000" w:rsidP="00000000" w:rsidRDefault="00000000" w:rsidRPr="00000000" w14:paraId="000000A7">
      <w:pPr>
        <w:jc w:val="center"/>
        <w:rPr/>
      </w:pPr>
      <w:r w:rsidDel="00000000" w:rsidR="00000000" w:rsidRPr="00000000">
        <w:rPr>
          <w:rtl w:val="0"/>
        </w:rPr>
      </w:r>
    </w:p>
    <w:p w:rsidR="00000000" w:rsidDel="00000000" w:rsidP="00000000" w:rsidRDefault="00000000" w:rsidRPr="00000000" w14:paraId="000000A8">
      <w:pPr>
        <w:jc w:val="both"/>
        <w:rPr>
          <w:sz w:val="22"/>
          <w:szCs w:val="22"/>
        </w:rPr>
      </w:pPr>
      <w:r w:rsidDel="00000000" w:rsidR="00000000" w:rsidRPr="00000000">
        <w:rPr/>
        <w:drawing>
          <wp:inline distB="114300" distT="114300" distL="114300" distR="114300">
            <wp:extent cx="5731200" cy="2273300"/>
            <wp:effectExtent b="0" l="0" r="0" t="0"/>
            <wp:docPr id="16"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0AA">
      <w:pPr>
        <w:pageBreakBefore w:val="0"/>
        <w:jc w:val="center"/>
        <w:rPr>
          <w:sz w:val="22"/>
          <w:szCs w:val="22"/>
        </w:rPr>
      </w:pPr>
      <w:r w:rsidDel="00000000" w:rsidR="00000000" w:rsidRPr="00000000">
        <w:rPr>
          <w:rtl w:val="0"/>
        </w:rPr>
      </w:r>
    </w:p>
    <w:p w:rsidR="00000000" w:rsidDel="00000000" w:rsidP="00000000" w:rsidRDefault="00000000" w:rsidRPr="00000000" w14:paraId="000000AB">
      <w:pPr>
        <w:pageBreakBefore w:val="0"/>
        <w:jc w:val="center"/>
        <w:rPr/>
      </w:pPr>
      <w:r w:rsidDel="00000000" w:rsidR="00000000" w:rsidRPr="00000000">
        <w:rPr>
          <w:rtl w:val="0"/>
        </w:rPr>
      </w:r>
    </w:p>
    <w:p w:rsidR="00000000" w:rsidDel="00000000" w:rsidP="00000000" w:rsidRDefault="00000000" w:rsidRPr="00000000" w14:paraId="000000AC">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AD">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AE">
      <w:pPr>
        <w:pageBreakBefore w:val="0"/>
        <w:jc w:val="both"/>
        <w:rPr/>
      </w:pPr>
      <w:r w:rsidDel="00000000" w:rsidR="00000000" w:rsidRPr="00000000">
        <w:rPr>
          <w:rtl w:val="0"/>
        </w:rPr>
      </w:r>
    </w:p>
    <w:p w:rsidR="00000000" w:rsidDel="00000000" w:rsidP="00000000" w:rsidRDefault="00000000" w:rsidRPr="00000000" w14:paraId="000000AF">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ageBreakBefore w:val="0"/>
        <w:jc w:val="center"/>
        <w:rPr/>
      </w:pPr>
      <w:r w:rsidDel="00000000" w:rsidR="00000000" w:rsidRPr="00000000">
        <w:rPr>
          <w:rtl w:val="0"/>
        </w:rPr>
      </w:r>
    </w:p>
    <w:p w:rsidR="00000000" w:rsidDel="00000000" w:rsidP="00000000" w:rsidRDefault="00000000" w:rsidRPr="00000000" w14:paraId="000000B1">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0B2">
      <w:pPr>
        <w:pageBreakBefore w:val="0"/>
        <w:jc w:val="both"/>
        <w:rPr/>
      </w:pPr>
      <w:r w:rsidDel="00000000" w:rsidR="00000000" w:rsidRPr="00000000">
        <w:rPr>
          <w:rtl w:val="0"/>
        </w:rPr>
        <w:t xml:space="preserve"> </w:t>
      </w:r>
    </w:p>
    <w:p w:rsidR="00000000" w:rsidDel="00000000" w:rsidP="00000000" w:rsidRDefault="00000000" w:rsidRPr="00000000" w14:paraId="000000B3">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0B4">
      <w:pPr>
        <w:pageBreakBefore w:val="0"/>
        <w:jc w:val="both"/>
        <w:rPr/>
      </w:pPr>
      <w:r w:rsidDel="00000000" w:rsidR="00000000" w:rsidRPr="00000000">
        <w:rPr>
          <w:rtl w:val="0"/>
        </w:rPr>
        <w:t xml:space="preserve"> </w:t>
      </w:r>
    </w:p>
    <w:p w:rsidR="00000000" w:rsidDel="00000000" w:rsidP="00000000" w:rsidRDefault="00000000" w:rsidRPr="00000000" w14:paraId="000000B5">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B6">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BA">
      <w:pPr>
        <w:pageBreakBefore w:val="0"/>
        <w:rPr/>
      </w:pPr>
      <w:r w:rsidDel="00000000" w:rsidR="00000000" w:rsidRPr="00000000">
        <w:rPr>
          <w:rtl w:val="0"/>
        </w:rPr>
        <w:t xml:space="preserve"> </w:t>
      </w:r>
    </w:p>
    <w:p w:rsidR="00000000" w:rsidDel="00000000" w:rsidP="00000000" w:rsidRDefault="00000000" w:rsidRPr="00000000" w14:paraId="000000BB">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0BE">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pageBreakBefore w:val="0"/>
        <w:jc w:val="both"/>
        <w:rPr>
          <w:b w:val="1"/>
          <w:bCs w:val="1"/>
        </w:rPr>
      </w:pPr>
      <w:r w:rsidDel="00000000" w:rsidR="00000000" w:rsidRPr="00000000">
        <w:rPr>
          <w:rtl w:val="0"/>
        </w:rPr>
      </w:r>
    </w:p>
    <w:p w:rsidR="00000000" w:rsidDel="00000000" w:rsidP="00000000" w:rsidRDefault="00000000" w:rsidRPr="00000000" w14:paraId="000000C1">
      <w:pPr>
        <w:pageBreakBefore w:val="0"/>
        <w:jc w:val="both"/>
        <w:rPr>
          <w:b w:val="1"/>
          <w:bCs w:val="1"/>
        </w:rPr>
      </w:pPr>
      <w:r w:rsidDel="00000000" w:rsidR="00000000" w:rsidRPr="00000000">
        <w:rPr>
          <w:rtl w:val="0"/>
        </w:rPr>
      </w:r>
    </w:p>
    <w:p w:rsidR="00000000" w:rsidDel="00000000" w:rsidP="00000000" w:rsidRDefault="00000000" w:rsidRPr="00000000" w14:paraId="000000C2">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3">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C4">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0C5">
      <w:pPr>
        <w:pageBreakBefore w:val="0"/>
        <w:jc w:val="both"/>
        <w:rPr/>
      </w:pPr>
      <w:r w:rsidDel="00000000" w:rsidR="00000000" w:rsidRPr="00000000">
        <w:rPr>
          <w:rtl w:val="0"/>
        </w:rPr>
      </w:r>
    </w:p>
    <w:tbl>
      <w:tblPr>
        <w:tblStyle w:val="Table4"/>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6">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7">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0EC">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0ED">
      <w:pPr>
        <w:pageBreakBefore w:val="0"/>
        <w:jc w:val="center"/>
        <w:rPr/>
      </w:pPr>
      <w:r w:rsidDel="00000000" w:rsidR="00000000" w:rsidRPr="00000000">
        <w:rPr>
          <w:rtl w:val="0"/>
        </w:rPr>
      </w:r>
    </w:p>
    <w:p w:rsidR="00000000" w:rsidDel="00000000" w:rsidP="00000000" w:rsidRDefault="00000000" w:rsidRPr="00000000" w14:paraId="000000EE">
      <w:pPr>
        <w:pageBreakBefore w:val="0"/>
        <w:jc w:val="both"/>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Paraguay</w:t>
      </w:r>
      <w:r w:rsidDel="00000000" w:rsidR="00000000" w:rsidRPr="00000000">
        <w:rPr>
          <w:rtl w:val="0"/>
        </w:rPr>
        <w:t xml:space="preserve"> in 2023. We can see that for different percentages of heuristic total export growth, the ECIs of </w:t>
      </w:r>
      <w:r w:rsidDel="00000000" w:rsidR="00000000" w:rsidRPr="00000000">
        <w:rPr>
          <w:rtl w:val="0"/>
        </w:rPr>
        <w:t xml:space="preserve">Paraguay</w:t>
      </w:r>
      <w:r w:rsidDel="00000000" w:rsidR="00000000" w:rsidRPr="00000000">
        <w:rPr>
          <w:rtl w:val="0"/>
        </w:rPr>
        <w:t xml:space="preserve"> actually have different increments. </w:t>
      </w:r>
      <w:r w:rsidDel="00000000" w:rsidR="00000000" w:rsidRPr="00000000">
        <w:rPr>
          <w:rtl w:val="0"/>
        </w:rPr>
        <w:t xml:space="preserve">[Discuss the patterns observed in the Indicator increments and provide specific values for each case]</w:t>
      </w:r>
      <w:r w:rsidDel="00000000" w:rsidR="00000000" w:rsidRPr="00000000">
        <w:rPr>
          <w:rtl w:val="0"/>
        </w:rPr>
        <w:t xml:space="preserve">.</w:t>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pPr>
      <w:r w:rsidDel="00000000" w:rsidR="00000000" w:rsidRPr="00000000">
        <w:rPr>
          <w:rtl w:val="0"/>
        </w:rPr>
        <w:t xml:space="preserve">For 2023, </w:t>
      </w:r>
      <w:r w:rsidDel="00000000" w:rsidR="00000000" w:rsidRPr="00000000">
        <w:rPr>
          <w:rtl w:val="0"/>
        </w:rPr>
        <w:t xml:space="preserve">a 5 percent increase in export would emphasize </w:t>
      </w:r>
      <w:r w:rsidDel="00000000" w:rsidR="00000000" w:rsidRPr="00000000">
        <w:rPr>
          <w:rtl w:val="0"/>
        </w:rPr>
        <w:t xml:space="preserve">Drilling</w:t>
      </w:r>
      <w:r w:rsidDel="00000000" w:rsidR="00000000" w:rsidRPr="00000000">
        <w:rPr>
          <w:rtl w:val="0"/>
        </w:rPr>
        <w:t xml:space="preserve">, followed by </w:t>
      </w:r>
      <w:r w:rsidDel="00000000" w:rsidR="00000000" w:rsidRPr="00000000">
        <w:rPr>
          <w:rtl w:val="0"/>
        </w:rPr>
        <w:t xml:space="preserve">Food and Preparations</w:t>
      </w:r>
      <w:r w:rsidDel="00000000" w:rsidR="00000000" w:rsidRPr="00000000">
        <w:rPr>
          <w:rtl w:val="0"/>
        </w:rPr>
        <w:t xml:space="preserve">, </w:t>
      </w:r>
      <w:r w:rsidDel="00000000" w:rsidR="00000000" w:rsidRPr="00000000">
        <w:rPr>
          <w:rtl w:val="0"/>
        </w:rPr>
        <w:t xml:space="preserve">Raw Manufacturing</w:t>
      </w:r>
      <w:r w:rsidDel="00000000" w:rsidR="00000000" w:rsidRPr="00000000">
        <w:rPr>
          <w:rtl w:val="0"/>
        </w:rPr>
        <w:t xml:space="preserve">, </w:t>
      </w:r>
      <w:r w:rsidDel="00000000" w:rsidR="00000000" w:rsidRPr="00000000">
        <w:rPr>
          <w:rtl w:val="0"/>
        </w:rPr>
        <w:t xml:space="preserve">Daily Instruments</w:t>
      </w:r>
      <w:r w:rsidDel="00000000" w:rsidR="00000000" w:rsidRPr="00000000">
        <w:rPr>
          <w:rtl w:val="0"/>
        </w:rPr>
        <w:t xml:space="preserve">, and </w:t>
      </w:r>
      <w:r w:rsidDel="00000000" w:rsidR="00000000" w:rsidRPr="00000000">
        <w:rPr>
          <w:rtl w:val="0"/>
        </w:rPr>
        <w:t xml:space="preserve">Precious Stones</w:t>
      </w:r>
      <w:r w:rsidDel="00000000" w:rsidR="00000000" w:rsidRPr="00000000">
        <w:rPr>
          <w:rtl w:val="0"/>
        </w:rPr>
        <w:t xml:space="preserve"> for 10, 15, and 20 percent export growth respectively. These strategies go in line with the suggested trajectories based on ECI. </w:t>
      </w:r>
      <w:r w:rsidDel="00000000" w:rsidR="00000000" w:rsidRPr="00000000">
        <w:rPr>
          <w:rtl w:val="0"/>
        </w:rPr>
        <w:t xml:space="preserve">[Discuss patterns observed in the Indicator improvements and the investment portfolio for each case]</w:t>
      </w:r>
      <w:r w:rsidDel="00000000" w:rsidR="00000000" w:rsidRPr="00000000">
        <w:rPr>
          <w:rtl w:val="0"/>
        </w:rPr>
        <w:t xml:space="preserve">. A more detailed numerical representation of the portfolio for </w:t>
      </w:r>
      <w:r w:rsidDel="00000000" w:rsidR="00000000" w:rsidRPr="00000000">
        <w:rPr>
          <w:rtl w:val="0"/>
        </w:rPr>
        <w:t xml:space="preserve">Paraguay</w:t>
      </w:r>
      <w:r w:rsidDel="00000000" w:rsidR="00000000" w:rsidRPr="00000000">
        <w:rPr>
          <w:rtl w:val="0"/>
        </w:rPr>
        <w:t xml:space="preserve"> is shown in Table 8.</w:t>
      </w:r>
    </w:p>
    <w:p w:rsidR="00000000" w:rsidDel="00000000" w:rsidP="00000000" w:rsidRDefault="00000000" w:rsidRPr="00000000" w14:paraId="000000F1">
      <w:pPr>
        <w:pageBreakBefore w:val="0"/>
        <w:rPr>
          <w:sz w:val="22"/>
          <w:szCs w:val="22"/>
        </w:rPr>
      </w:pPr>
      <w:r w:rsidDel="00000000" w:rsidR="00000000" w:rsidRPr="00000000">
        <w:rPr/>
        <w:drawing>
          <wp:inline distB="114300" distT="114300" distL="114300" distR="114300">
            <wp:extent cx="5072063" cy="1929406"/>
            <wp:effectExtent b="0" l="0" r="0" t="0"/>
            <wp:docPr id="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072063" cy="1929406"/>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jc w:val="center"/>
        <w:rPr>
          <w:sz w:val="22"/>
          <w:szCs w:val="22"/>
        </w:rPr>
      </w:pPr>
      <w:r w:rsidDel="00000000" w:rsidR="00000000" w:rsidRPr="00000000">
        <w:rPr>
          <w:rtl w:val="0"/>
        </w:rPr>
      </w:r>
    </w:p>
    <w:p w:rsidR="00000000" w:rsidDel="00000000" w:rsidP="00000000" w:rsidRDefault="00000000" w:rsidRPr="00000000" w14:paraId="000000F3">
      <w:pPr>
        <w:jc w:val="center"/>
        <w:rPr>
          <w:sz w:val="22"/>
          <w:szCs w:val="22"/>
        </w:rPr>
      </w:pPr>
      <w:r w:rsidDel="00000000" w:rsidR="00000000" w:rsidRPr="00000000">
        <w:rPr>
          <w:sz w:val="22"/>
          <w:szCs w:val="22"/>
          <w:rtl w:val="0"/>
        </w:rPr>
        <w:t xml:space="preserve">Figure 4. Greedy-Based ECI Improvement Results of </w:t>
      </w:r>
      <w:r w:rsidDel="00000000" w:rsidR="00000000" w:rsidRPr="00000000">
        <w:rPr>
          <w:sz w:val="22"/>
          <w:szCs w:val="22"/>
          <w:rtl w:val="0"/>
        </w:rPr>
        <w:t xml:space="preserve">Paraguay</w:t>
      </w:r>
      <w:r w:rsidDel="00000000" w:rsidR="00000000" w:rsidRPr="00000000">
        <w:rPr>
          <w:sz w:val="22"/>
          <w:szCs w:val="22"/>
          <w:rtl w:val="0"/>
        </w:rPr>
        <w:t xml:space="preserve"> with Different Budgets (2023)</w:t>
      </w:r>
    </w:p>
    <w:p w:rsidR="00000000" w:rsidDel="00000000" w:rsidP="00000000" w:rsidRDefault="00000000" w:rsidRPr="00000000" w14:paraId="000000F4">
      <w:pPr>
        <w:jc w:val="left"/>
        <w:rPr>
          <w:sz w:val="22"/>
          <w:szCs w:val="22"/>
        </w:rPr>
      </w:pPr>
      <w:r w:rsidDel="00000000" w:rsidR="00000000" w:rsidRPr="00000000">
        <w:rPr>
          <w:rtl w:val="0"/>
        </w:rPr>
      </w:r>
    </w:p>
    <w:p w:rsidR="00000000" w:rsidDel="00000000" w:rsidP="00000000" w:rsidRDefault="00000000" w:rsidRPr="00000000" w14:paraId="000000F5">
      <w:pPr>
        <w:jc w:val="center"/>
        <w:rPr>
          <w:sz w:val="22"/>
          <w:szCs w:val="22"/>
        </w:rPr>
      </w:pPr>
      <w:r w:rsidDel="00000000" w:rsidR="00000000" w:rsidRPr="00000000">
        <w:rPr>
          <w:sz w:val="22"/>
          <w:szCs w:val="22"/>
        </w:rPr>
        <w:drawing>
          <wp:inline distB="0" distT="0" distL="0" distR="0">
            <wp:extent cx="5734050" cy="1362075"/>
            <wp:effectExtent b="0" l="0" r="0" t="0"/>
            <wp:docPr id="17" name="image6.jpg"/>
            <a:graphic>
              <a:graphicData uri="http://schemas.openxmlformats.org/drawingml/2006/picture">
                <pic:pic>
                  <pic:nvPicPr>
                    <pic:cNvPr id="0" name="image6.jpg"/>
                    <pic:cNvPicPr preferRelativeResize="0"/>
                  </pic:nvPicPr>
                  <pic:blipFill>
                    <a:blip r:embed="rId17"/>
                    <a:srcRect b="0" l="0" r="0" t="24339"/>
                    <a:stretch>
                      <a:fillRect/>
                    </a:stretch>
                  </pic:blipFill>
                  <pic:spPr>
                    <a:xfrm>
                      <a:off x="0" y="0"/>
                      <a:ext cx="57340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jc w:val="center"/>
        <w:rPr>
          <w:sz w:val="22"/>
          <w:szCs w:val="22"/>
        </w:rPr>
      </w:pPr>
      <w:r w:rsidDel="00000000" w:rsidR="00000000" w:rsidRPr="00000000">
        <w:rPr>
          <w:sz w:val="22"/>
          <w:szCs w:val="22"/>
          <w:rtl w:val="0"/>
        </w:rPr>
        <w:t xml:space="preserve">Table 8. Portfolio of </w:t>
      </w:r>
      <w:r w:rsidDel="00000000" w:rsidR="00000000" w:rsidRPr="00000000">
        <w:rPr>
          <w:sz w:val="22"/>
          <w:szCs w:val="22"/>
          <w:rtl w:val="0"/>
        </w:rPr>
        <w:t xml:space="preserve">Paraguay</w:t>
      </w:r>
      <w:r w:rsidDel="00000000" w:rsidR="00000000" w:rsidRPr="00000000">
        <w:rPr>
          <w:sz w:val="22"/>
          <w:szCs w:val="22"/>
          <w:rtl w:val="0"/>
        </w:rPr>
        <w:t xml:space="preserve"> </w:t>
      </w:r>
      <w:r w:rsidDel="00000000" w:rsidR="00000000" w:rsidRPr="00000000">
        <w:rPr>
          <w:sz w:val="22"/>
          <w:szCs w:val="22"/>
          <w:rtl w:val="0"/>
        </w:rPr>
        <w:t xml:space="preserve">(2023)</w:t>
      </w:r>
      <w:r w:rsidDel="00000000" w:rsidR="00000000" w:rsidRPr="00000000">
        <w:rPr>
          <w:rtl w:val="0"/>
        </w:rPr>
      </w:r>
    </w:p>
    <w:p w:rsidR="00000000" w:rsidDel="00000000" w:rsidP="00000000" w:rsidRDefault="00000000" w:rsidRPr="00000000" w14:paraId="000000F7">
      <w:pPr>
        <w:jc w:val="center"/>
        <w:rPr>
          <w:sz w:val="22"/>
          <w:szCs w:val="22"/>
        </w:rPr>
      </w:pPr>
      <w:r w:rsidDel="00000000" w:rsidR="00000000" w:rsidRPr="00000000">
        <w:rPr>
          <w:rtl w:val="0"/>
        </w:rPr>
      </w:r>
    </w:p>
    <w:p w:rsidR="00000000" w:rsidDel="00000000" w:rsidP="00000000" w:rsidRDefault="00000000" w:rsidRPr="00000000" w14:paraId="000000F8">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0F9">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Paraguay</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0FA">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0FB">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0FC">
      <w:pPr>
        <w:jc w:val="both"/>
        <w:rPr>
          <w:b w:val="1"/>
          <w:bCs w:val="1"/>
        </w:rPr>
      </w:pPr>
      <w:r w:rsidDel="00000000" w:rsidR="00000000" w:rsidRPr="00000000">
        <w:rPr>
          <w:b w:val="1"/>
          <w:bCs w:val="1"/>
        </w:rPr>
        <w:drawing>
          <wp:inline distB="114300" distT="114300" distL="114300" distR="114300">
            <wp:extent cx="5310188" cy="2519630"/>
            <wp:effectExtent b="0" l="0" r="0" t="0"/>
            <wp:docPr id="5" name="image2.jpg"/>
            <a:graphic>
              <a:graphicData uri="http://schemas.openxmlformats.org/drawingml/2006/picture">
                <pic:pic>
                  <pic:nvPicPr>
                    <pic:cNvPr id="0" name="image2.jpg"/>
                    <pic:cNvPicPr preferRelativeResize="0"/>
                  </pic:nvPicPr>
                  <pic:blipFill>
                    <a:blip r:embed="rId18"/>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0FE">
      <w:pPr>
        <w:pageBreakBefore w:val="0"/>
        <w:spacing w:after="240" w:before="240" w:line="276" w:lineRule="auto"/>
        <w:rPr>
          <w:b w:val="1"/>
          <w:bCs w:val="1"/>
          <w:sz w:val="28"/>
          <w:szCs w:val="28"/>
        </w:rPr>
      </w:pPr>
      <w:r w:rsidDel="00000000" w:rsidR="00000000" w:rsidRPr="00000000">
        <w:rPr>
          <w:rtl w:val="0"/>
        </w:rPr>
        <w:t xml:space="preserve">The graphs are formulated as follows. There are six ECI Sensitivity graphs, two for each of the following years: 2023,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0FF">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100">
      <w:pPr>
        <w:pageBreakBefore w:val="0"/>
        <w:jc w:val="both"/>
        <w:rPr/>
      </w:pPr>
      <w:r w:rsidDel="00000000" w:rsidR="00000000" w:rsidRPr="00000000">
        <w:rPr>
          <w:rtl w:val="0"/>
        </w:rPr>
        <w:t xml:space="preserve">We examine </w:t>
      </w:r>
      <w:r w:rsidDel="00000000" w:rsidR="00000000" w:rsidRPr="00000000">
        <w:rPr>
          <w:rtl w:val="0"/>
        </w:rPr>
        <w:t xml:space="preserve">Paraguay</w:t>
      </w:r>
      <w:r w:rsidDel="00000000" w:rsidR="00000000" w:rsidRPr="00000000">
        <w:rPr>
          <w:rtl w:val="0"/>
        </w:rPr>
        <w:t xml:space="preserve">'s ECI Decremental and Incremental Sensitivity Charts for 2023. An increase in high-complexity products will lead to the highest change in ECI, followed by service and utilities and chemicals. The strong sensitivity effect of manipulating the </w:t>
      </w:r>
      <w:r w:rsidDel="00000000" w:rsidR="00000000" w:rsidRPr="00000000">
        <w:rPr>
          <w:rtl w:val="0"/>
        </w:rPr>
        <w:t xml:space="preserve">Mining</w:t>
      </w:r>
      <w:r w:rsidDel="00000000" w:rsidR="00000000" w:rsidRPr="00000000">
        <w:rPr>
          <w:rtl w:val="0"/>
        </w:rPr>
        <w:t xml:space="preserve"> category </w:t>
      </w:r>
      <w:r w:rsidDel="00000000" w:rsidR="00000000" w:rsidRPr="00000000">
        <w:rPr>
          <w:rtl w:val="0"/>
        </w:rPr>
        <w:t xml:space="preserve">remains consistent</w:t>
      </w:r>
      <w:r w:rsidDel="00000000" w:rsidR="00000000" w:rsidRPr="00000000">
        <w:rPr>
          <w:rtl w:val="0"/>
        </w:rPr>
        <w:t xml:space="preserve"> with previous years. For the negative shock cases, clothing and accessories become most impactful, a </w:t>
      </w:r>
      <w:r w:rsidDel="00000000" w:rsidR="00000000" w:rsidRPr="00000000">
        <w:rPr>
          <w:rtl w:val="0"/>
        </w:rPr>
        <w:t xml:space="preserve">new trend across the data emerging from the previous years</w:t>
      </w:r>
      <w:r w:rsidDel="00000000" w:rsidR="00000000" w:rsidRPr="00000000">
        <w:rPr>
          <w:rtl w:val="0"/>
        </w:rPr>
        <w:t xml:space="preserve">. The rest of the industries do not appear to have the same level of sensitivity.</w:t>
      </w:r>
    </w:p>
    <w:p w:rsidR="00000000" w:rsidDel="00000000" w:rsidP="00000000" w:rsidRDefault="00000000" w:rsidRPr="00000000" w14:paraId="00000101">
      <w:pPr>
        <w:pageBreakBefore w:val="0"/>
        <w:jc w:val="both"/>
        <w:rPr/>
      </w:pPr>
      <w:r w:rsidDel="00000000" w:rsidR="00000000" w:rsidRPr="00000000">
        <w:rPr>
          <w:rtl w:val="0"/>
        </w:rPr>
      </w:r>
    </w:p>
    <w:p w:rsidR="00000000" w:rsidDel="00000000" w:rsidP="00000000" w:rsidRDefault="00000000" w:rsidRPr="00000000" w14:paraId="00000102">
      <w:pPr>
        <w:pageBreakBefore w:val="0"/>
        <w:jc w:val="both"/>
        <w:rPr/>
      </w:pPr>
      <w:r w:rsidDel="00000000" w:rsidR="00000000" w:rsidRPr="00000000">
        <w:rPr/>
        <w:drawing>
          <wp:inline distB="114300" distT="114300" distL="114300" distR="114300">
            <wp:extent cx="5731200" cy="2311400"/>
            <wp:effectExtent b="0" l="0" r="0" t="0"/>
            <wp:docPr id="6"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Paraguay</w:t>
      </w:r>
      <w:r w:rsidDel="00000000" w:rsidR="00000000" w:rsidRPr="00000000">
        <w:rPr>
          <w:sz w:val="22"/>
          <w:szCs w:val="22"/>
          <w:rtl w:val="0"/>
        </w:rPr>
        <w:t xml:space="preserve"> (2023)</w:t>
      </w:r>
    </w:p>
    <w:p w:rsidR="00000000" w:rsidDel="00000000" w:rsidP="00000000" w:rsidRDefault="00000000" w:rsidRPr="00000000" w14:paraId="00000104">
      <w:pPr>
        <w:jc w:val="center"/>
        <w:rPr>
          <w:sz w:val="22"/>
          <w:szCs w:val="22"/>
        </w:rPr>
      </w:pPr>
      <w:r w:rsidDel="00000000" w:rsidR="00000000" w:rsidRPr="00000000">
        <w:rPr>
          <w:sz w:val="22"/>
          <w:szCs w:val="22"/>
        </w:rPr>
        <w:drawing>
          <wp:inline distB="114300" distT="114300" distL="114300" distR="114300">
            <wp:extent cx="5731200" cy="2184400"/>
            <wp:effectExtent b="0" l="0" r="0" t="0"/>
            <wp:docPr id="11"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Paraguay</w:t>
      </w:r>
      <w:r w:rsidDel="00000000" w:rsidR="00000000" w:rsidRPr="00000000">
        <w:rPr>
          <w:sz w:val="22"/>
          <w:szCs w:val="22"/>
          <w:rtl w:val="0"/>
        </w:rPr>
        <w:t xml:space="preserve"> (2023)</w:t>
      </w:r>
      <w:r w:rsidDel="00000000" w:rsidR="00000000" w:rsidRPr="00000000">
        <w:rPr>
          <w:rtl w:val="0"/>
        </w:rPr>
      </w:r>
    </w:p>
    <w:p w:rsidR="00000000" w:rsidDel="00000000" w:rsidP="00000000" w:rsidRDefault="00000000" w:rsidRPr="00000000" w14:paraId="00000106">
      <w:pPr>
        <w:pageBreakBefore w:val="0"/>
        <w:jc w:val="both"/>
        <w:rPr>
          <w:b w:val="1"/>
          <w:bCs w:val="1"/>
        </w:rPr>
      </w:pPr>
      <w:r w:rsidDel="00000000" w:rsidR="00000000" w:rsidRPr="00000000">
        <w:rPr>
          <w:rtl w:val="0"/>
        </w:rPr>
      </w:r>
    </w:p>
    <w:p w:rsidR="00000000" w:rsidDel="00000000" w:rsidP="00000000" w:rsidRDefault="00000000" w:rsidRPr="00000000" w14:paraId="0000010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08">
      <w:pPr>
        <w:pageBreakBefore w:val="0"/>
        <w:jc w:val="both"/>
        <w:rPr>
          <w:b w:val="1"/>
          <w:bCs w:val="1"/>
        </w:rPr>
      </w:pPr>
      <w:r w:rsidDel="00000000" w:rsidR="00000000" w:rsidRPr="00000000">
        <w:rPr>
          <w:rtl w:val="0"/>
        </w:rPr>
      </w:r>
    </w:p>
    <w:p w:rsidR="00000000" w:rsidDel="00000000" w:rsidP="00000000" w:rsidRDefault="00000000" w:rsidRPr="00000000" w14:paraId="00000109">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0A">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0B">
      <w:pPr>
        <w:pageBreakBefore w:val="0"/>
        <w:jc w:val="both"/>
        <w:rPr/>
      </w:pPr>
      <w:r w:rsidDel="00000000" w:rsidR="00000000" w:rsidRPr="00000000">
        <w:rPr>
          <w:rtl w:val="0"/>
        </w:rPr>
      </w:r>
    </w:p>
    <w:p w:rsidR="00000000" w:rsidDel="00000000" w:rsidP="00000000" w:rsidRDefault="00000000" w:rsidRPr="00000000" w14:paraId="0000010C">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95%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-0.015%</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10D">
      <w:pPr>
        <w:pageBreakBefore w:val="0"/>
        <w:jc w:val="both"/>
        <w:rPr/>
      </w:pPr>
      <w:r w:rsidDel="00000000" w:rsidR="00000000" w:rsidRPr="00000000">
        <w:rPr>
          <w:rtl w:val="0"/>
        </w:rPr>
      </w:r>
    </w:p>
    <w:tbl>
      <w:tblPr>
        <w:tblStyle w:val="Table5"/>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0E">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0">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1">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0.9567</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2">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ab/>
              <w:t xml:space="preserve">0.324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3">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0.431</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4">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-0.015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5">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4 </w:t>
            </w:r>
          </w:p>
        </w:tc>
      </w:tr>
    </w:tbl>
    <w:p w:rsidR="00000000" w:rsidDel="00000000" w:rsidP="00000000" w:rsidRDefault="00000000" w:rsidRPr="00000000" w14:paraId="00000116">
      <w:pPr>
        <w:pageBreakBefore w:val="0"/>
        <w:jc w:val="left"/>
        <w:rPr/>
      </w:pPr>
      <w:r w:rsidDel="00000000" w:rsidR="00000000" w:rsidRPr="00000000">
        <w:rPr>
          <w:rtl w:val="0"/>
        </w:rPr>
      </w:r>
    </w:p>
    <w:p w:rsidR="00000000" w:rsidDel="00000000" w:rsidP="00000000" w:rsidRDefault="00000000" w:rsidRPr="00000000" w14:paraId="00000117">
      <w:pPr>
        <w:pageBreakBefore w:val="0"/>
        <w:jc w:val="center"/>
        <w:rPr>
          <w:sz w:val="22"/>
          <w:szCs w:val="22"/>
        </w:rPr>
      </w:pPr>
      <w:r w:rsidDel="00000000" w:rsidR="00000000" w:rsidRPr="00000000">
        <w:rPr>
          <w:sz w:val="22"/>
          <w:szCs w:val="22"/>
        </w:rPr>
        <w:drawing>
          <wp:inline distB="114300" distT="114300" distL="114300" distR="114300">
            <wp:extent cx="4649625" cy="3335404"/>
            <wp:effectExtent b="0" l="0" r="0" t="0"/>
            <wp:docPr id="1"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649625" cy="3335404"/>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p>
    <w:p w:rsidR="00000000" w:rsidDel="00000000" w:rsidP="00000000" w:rsidRDefault="00000000" w:rsidRPr="00000000" w14:paraId="00000119">
      <w:pPr>
        <w:pageBreakBefore w:val="0"/>
        <w:jc w:val="both"/>
        <w:rPr/>
      </w:pPr>
      <w:r w:rsidDel="00000000" w:rsidR="00000000" w:rsidRPr="00000000">
        <w:rPr>
          <w:rtl w:val="0"/>
        </w:rPr>
      </w:r>
    </w:p>
    <w:p w:rsidR="00000000" w:rsidDel="00000000" w:rsidP="00000000" w:rsidRDefault="00000000" w:rsidRPr="00000000" w14:paraId="0000011A">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Paraguay</w:t>
      </w:r>
      <w:r w:rsidDel="00000000" w:rsidR="00000000" w:rsidRPr="00000000">
        <w:rPr>
          <w:b w:val="1"/>
          <w:bCs w:val="1"/>
          <w:rtl w:val="0"/>
        </w:rPr>
        <w:t xml:space="preserve"> and Its Implications</w:t>
      </w:r>
    </w:p>
    <w:p w:rsidR="00000000" w:rsidDel="00000000" w:rsidP="00000000" w:rsidRDefault="00000000" w:rsidRPr="00000000" w14:paraId="0000011B">
      <w:pPr>
        <w:pageBreakBefore w:val="0"/>
        <w:jc w:val="both"/>
        <w:rPr/>
      </w:pPr>
      <w:r w:rsidDel="00000000" w:rsidR="00000000" w:rsidRPr="00000000">
        <w:rPr>
          <w:rtl w:val="0"/>
        </w:rPr>
        <w:t xml:space="preserve">During the first examined period, </w:t>
      </w:r>
      <w:r w:rsidDel="00000000" w:rsidR="00000000" w:rsidRPr="00000000">
        <w:rPr>
          <w:rtl w:val="0"/>
        </w:rPr>
        <w:t xml:space="preserve">Paraguay</w:t>
      </w:r>
      <w:r w:rsidDel="00000000" w:rsidR="00000000" w:rsidRPr="00000000">
        <w:rPr>
          <w:rtl w:val="0"/>
        </w:rPr>
        <w:t xml:space="preserve">, for instance, has a low level of structural optimality as compared with its developing peers. Paraguay demonstrates a low level of correlation with the suggested developmental path, having an adjusted R-square of around 2.8%. Paraguay ranks in the bottom half among all countries in terms of SOI, yet has made a high rate of economic progress above its developed peers from 2013 to 2018 with a 5-year GDP growth rate of 33.3%. This is in direct contrast to other developed economies such as Japan, where there is low SOI of around -5.7% and a corresponding GDP growth of 9.05% from 2013 to 2018, making it a much slower developing economy during the period. In sum, Paraguay’s high economic progress from 2013 to 2018 does not seem to be correlated with the optimal development strategy, as it does not demonstrate a high level of matches with our suggested developmental path. In specific, Paraguay invested heavily in the Weapons, Wood Products and Chemicals industries, while it should have focused more on more complex industry groups such as Energy &amp; Drilling to maximize ECI.</w:t>
      </w:r>
    </w:p>
    <w:p w:rsidR="00000000" w:rsidDel="00000000" w:rsidP="00000000" w:rsidRDefault="00000000" w:rsidRPr="00000000" w14:paraId="0000011C">
      <w:pPr>
        <w:pageBreakBefore w:val="0"/>
        <w:jc w:val="both"/>
        <w:rPr/>
      </w:pPr>
      <w:r w:rsidDel="00000000" w:rsidR="00000000" w:rsidRPr="00000000">
        <w:rPr>
          <w:rtl w:val="0"/>
        </w:rPr>
      </w:r>
    </w:p>
    <w:p w:rsidR="00000000" w:rsidDel="00000000" w:rsidP="00000000" w:rsidRDefault="00000000" w:rsidRPr="00000000" w14:paraId="0000011D">
      <w:pPr>
        <w:pageBreakBefore w:val="0"/>
        <w:jc w:val="both"/>
        <w:rPr/>
      </w:pPr>
      <w:r w:rsidDel="00000000" w:rsidR="00000000" w:rsidRPr="00000000">
        <w:rPr>
          <w:rtl w:val="0"/>
        </w:rPr>
      </w:r>
    </w:p>
    <w:p w:rsidR="00000000" w:rsidDel="00000000" w:rsidP="00000000" w:rsidRDefault="00000000" w:rsidRPr="00000000" w14:paraId="0000011E">
      <w:pPr>
        <w:pageBreakBefore w:val="0"/>
        <w:jc w:val="both"/>
        <w:rPr/>
      </w:pPr>
      <w:r w:rsidDel="00000000" w:rsidR="00000000" w:rsidRPr="00000000">
        <w:rPr>
          <w:rtl w:val="0"/>
        </w:rPr>
        <w:t xml:space="preserve">Specifically, </w:t>
      </w:r>
      <w:r w:rsidDel="00000000" w:rsidR="00000000" w:rsidRPr="00000000">
        <w:rPr>
          <w:rtl w:val="0"/>
        </w:rPr>
        <w:t xml:space="preserve">Paraguay</w:t>
      </w:r>
      <w:r w:rsidDel="00000000" w:rsidR="00000000" w:rsidRPr="00000000">
        <w:rPr>
          <w:rtl w:val="0"/>
        </w:rPr>
        <w:t xml:space="preserve">'s slow economic progress from 2013 to 2018 can be at least partially explained by a development strategy that demonstrates a considerable but not perfect level of matches with our suggested developmental path. In specific, </w:t>
      </w:r>
      <w:r w:rsidDel="00000000" w:rsidR="00000000" w:rsidRPr="00000000">
        <w:rPr>
          <w:rtl w:val="0"/>
        </w:rPr>
        <w:t xml:space="preserve">Paraguay</w:t>
      </w:r>
      <w:r w:rsidDel="00000000" w:rsidR="00000000" w:rsidRPr="00000000">
        <w:rPr>
          <w:rtl w:val="0"/>
        </w:rPr>
        <w:t xml:space="preserve"> invested heavily in the </w:t>
      </w:r>
      <w:r w:rsidDel="00000000" w:rsidR="00000000" w:rsidRPr="00000000">
        <w:rPr>
          <w:rtl w:val="0"/>
        </w:rPr>
        <w:t xml:space="preserve">Chemicals</w:t>
      </w:r>
      <w:r w:rsidDel="00000000" w:rsidR="00000000" w:rsidRPr="00000000">
        <w:rPr>
          <w:rtl w:val="0"/>
        </w:rPr>
        <w:t xml:space="preserve"> industry, while it should have focused more on industry groups such as </w:t>
      </w:r>
      <w:r w:rsidDel="00000000" w:rsidR="00000000" w:rsidRPr="00000000">
        <w:rPr>
          <w:rtl w:val="0"/>
        </w:rPr>
        <w:t xml:space="preserve">Mining</w:t>
      </w:r>
      <w:r w:rsidDel="00000000" w:rsidR="00000000" w:rsidRPr="00000000">
        <w:rPr>
          <w:rtl w:val="0"/>
        </w:rPr>
        <w:t xml:space="preserve">.</w:t>
      </w:r>
    </w:p>
    <w:p w:rsidR="00000000" w:rsidDel="00000000" w:rsidP="00000000" w:rsidRDefault="00000000" w:rsidRPr="00000000" w14:paraId="0000011F">
      <w:pPr>
        <w:pageBreakBefore w:val="0"/>
        <w:jc w:val="both"/>
        <w:rPr/>
      </w:pP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drawing>
          <wp:inline distB="114300" distT="114300" distL="114300" distR="114300">
            <wp:extent cx="6448425" cy="2295525"/>
            <wp:effectExtent b="0" l="0" r="0" t="0"/>
            <wp:docPr id="13" name="image16.png"/>
            <a:graphic>
              <a:graphicData uri="http://schemas.openxmlformats.org/drawingml/2006/picture">
                <pic:pic>
                  <pic:nvPicPr>
                    <pic:cNvPr id="0" name="image16.png"/>
                    <pic:cNvPicPr preferRelativeResize="0"/>
                  </pic:nvPicPr>
                  <pic:blipFill>
                    <a:blip r:embed="rId22"/>
                    <a:srcRect b="0" l="0" r="1001" t="0"/>
                    <a:stretch>
                      <a:fillRect/>
                    </a:stretch>
                  </pic:blipFill>
                  <pic:spPr>
                    <a:xfrm>
                      <a:off x="0" y="0"/>
                      <a:ext cx="64484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jc w:val="center"/>
        <w:rPr>
          <w:b w:val="1"/>
          <w:bCs w:val="1"/>
        </w:rPr>
      </w:pPr>
      <w:r w:rsidDel="00000000" w:rsidR="00000000" w:rsidRPr="00000000">
        <w:rPr>
          <w:sz w:val="22"/>
          <w:szCs w:val="22"/>
          <w:rtl w:val="0"/>
        </w:rPr>
        <w:t xml:space="preserve">Figure 10. SOI of </w:t>
      </w:r>
      <w:r w:rsidDel="00000000" w:rsidR="00000000" w:rsidRPr="00000000">
        <w:rPr>
          <w:sz w:val="22"/>
          <w:szCs w:val="22"/>
          <w:rtl w:val="0"/>
        </w:rPr>
        <w:t xml:space="preserve">Paraguay</w:t>
      </w:r>
      <w:r w:rsidDel="00000000" w:rsidR="00000000" w:rsidRPr="00000000">
        <w:rPr>
          <w:sz w:val="22"/>
          <w:szCs w:val="22"/>
          <w:rtl w:val="0"/>
        </w:rPr>
        <w:t xml:space="preserve"> (2013-2018)</w:t>
      </w:r>
      <w:r w:rsidDel="00000000" w:rsidR="00000000" w:rsidRPr="00000000">
        <w:rPr>
          <w:rtl w:val="0"/>
        </w:rPr>
      </w:r>
    </w:p>
    <w:p w:rsidR="00000000" w:rsidDel="00000000" w:rsidP="00000000" w:rsidRDefault="00000000" w:rsidRPr="00000000" w14:paraId="00000122">
      <w:pPr>
        <w:pageBreakBefore w:val="0"/>
        <w:jc w:val="both"/>
        <w:rPr>
          <w:b w:val="1"/>
          <w:bCs w:val="1"/>
        </w:rPr>
      </w:pPr>
      <w:r w:rsidDel="00000000" w:rsidR="00000000" w:rsidRPr="00000000">
        <w:rPr>
          <w:rtl w:val="0"/>
        </w:rPr>
      </w:r>
    </w:p>
    <w:p w:rsidR="00000000" w:rsidDel="00000000" w:rsidP="00000000" w:rsidRDefault="00000000" w:rsidRPr="00000000" w14:paraId="00000123">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4">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25">
      <w:pPr>
        <w:pageBreakBefore w:val="0"/>
        <w:jc w:val="both"/>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t xml:space="preserve">In conclusion, Paraguay has demonstrated a high level of economic growth in terms of annual GDP increase during the period from 2013 to 2018, although this does not fully line up with a relatively stable level of economic complexity as compared with other major developed economies. For 2019-2023, the growth in GDP has </w:t>
      </w:r>
      <w:r w:rsidDel="00000000" w:rsidR="00000000" w:rsidRPr="00000000">
        <w:rPr>
          <w:rtl w:val="0"/>
        </w:rPr>
        <w:t xml:space="preserve">decreased</w:t>
      </w:r>
      <w:r w:rsidDel="00000000" w:rsidR="00000000" w:rsidRPr="00000000">
        <w:rPr>
          <w:rtl w:val="0"/>
        </w:rPr>
        <w:t xml:space="preserve"> alongside a </w:t>
      </w:r>
      <w:r w:rsidDel="00000000" w:rsidR="00000000" w:rsidRPr="00000000">
        <w:rPr>
          <w:rtl w:val="0"/>
        </w:rPr>
        <w:t xml:space="preserve">large</w:t>
      </w:r>
      <w:r w:rsidDel="00000000" w:rsidR="00000000" w:rsidRPr="00000000">
        <w:rPr>
          <w:rtl w:val="0"/>
        </w:rPr>
        <w:t xml:space="preserve"> boost in ECI,, which is not </w:t>
      </w:r>
      <w:r w:rsidDel="00000000" w:rsidR="00000000" w:rsidRPr="00000000">
        <w:rPr>
          <w:rtl w:val="0"/>
        </w:rPr>
        <w:t xml:space="preserve">in line with its comparable countries and higher than some of the leading economies in the world</w:t>
      </w:r>
      <w:r w:rsidDel="00000000" w:rsidR="00000000" w:rsidRPr="00000000">
        <w:rPr>
          <w:rtl w:val="0"/>
        </w:rPr>
        <w:t xml:space="preserve">.</w:t>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rtl w:val="0"/>
        </w:rPr>
        <w:t xml:space="preserve">We believe that the </w:t>
      </w:r>
      <w:r w:rsidDel="00000000" w:rsidR="00000000" w:rsidRPr="00000000">
        <w:rPr>
          <w:rtl w:val="0"/>
        </w:rPr>
        <w:t xml:space="preserve">consistent</w:t>
      </w:r>
      <w:r w:rsidDel="00000000" w:rsidR="00000000" w:rsidRPr="00000000">
        <w:rPr>
          <w:rtl w:val="0"/>
        </w:rPr>
        <w:t xml:space="preserve"> progress during the first period can be partially explained through the analysis of the economic and product complexity structure of </w:t>
      </w:r>
      <w:r w:rsidDel="00000000" w:rsidR="00000000" w:rsidRPr="00000000">
        <w:rPr>
          <w:rtl w:val="0"/>
        </w:rPr>
        <w:t xml:space="preserve">Paraguay</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Paraguay</w:t>
      </w:r>
      <w:r w:rsidDel="00000000" w:rsidR="00000000" w:rsidRPr="00000000">
        <w:rPr>
          <w:rtl w:val="0"/>
        </w:rPr>
        <w:t xml:space="preserve"> </w:t>
      </w:r>
      <w:r w:rsidDel="00000000" w:rsidR="00000000" w:rsidRPr="00000000">
        <w:rPr>
          <w:rtl w:val="0"/>
        </w:rPr>
        <w:t xml:space="preserve">regressed</w:t>
      </w:r>
      <w:r w:rsidDel="00000000" w:rsidR="00000000" w:rsidRPr="00000000">
        <w:rPr>
          <w:rtl w:val="0"/>
        </w:rPr>
        <w:t xml:space="preserve">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t xml:space="preserve">. </w:t>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t xml:space="preserve">Based on our analysis of the opportunity gain and a sensitivity analysis of major industry groups, Paraguay can further its gains by prioritizing Energy &amp; Drilling and Raw Manufacturing. We further note that Paraguay has a slightly mismatched development strategy that indicates a moderately high (compared to other developed countries) level of structural optimality on the complexity level, having an adjusted R-square of around 2.8%. Despite the fact a significant positive correlation exists between five-year GDP growth and the structural optimality index of an economy as we define and calculate, Paraguay still has a high growth experience as compared with fast-growing economies both on a regional scale and on a global scale, but still has the potential to further its economic gains through industrial structure optimization as suggested in the paper.</w:t>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t xml:space="preserve">During the second examined period from 2019 to 2023, </w:t>
      </w:r>
      <w:r w:rsidDel="00000000" w:rsidR="00000000" w:rsidRPr="00000000">
        <w:rPr>
          <w:rtl w:val="0"/>
        </w:rPr>
        <w:t xml:space="preserve">Paraguay</w:t>
      </w:r>
      <w:r w:rsidDel="00000000" w:rsidR="00000000" w:rsidRPr="00000000">
        <w:rPr>
          <w:rtl w:val="0"/>
        </w:rPr>
        <w:t xml:space="preserve"> performed much </w:t>
      </w:r>
      <w:r w:rsidDel="00000000" w:rsidR="00000000" w:rsidRPr="00000000">
        <w:rPr>
          <w:rtl w:val="0"/>
        </w:rPr>
        <w:t xml:space="preserve">weaker</w:t>
      </w:r>
      <w:r w:rsidDel="00000000" w:rsidR="00000000" w:rsidRPr="00000000">
        <w:rPr>
          <w:rtl w:val="0"/>
        </w:rPr>
        <w:t xml:space="preserve"> than before and compared to other countries, particularly Bolivia. We infer that during the  COVID-19 period, Paraguay focused on developing </w:t>
      </w:r>
      <w:r w:rsidDel="00000000" w:rsidR="00000000" w:rsidRPr="00000000">
        <w:rPr>
          <w:rtl w:val="0"/>
        </w:rPr>
        <w:t xml:space="preserve">lower complexity industries, in line with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Paraguay</w:t>
      </w:r>
      <w:r w:rsidDel="00000000" w:rsidR="00000000" w:rsidRPr="00000000">
        <w:rPr>
          <w:rtl w:val="0"/>
        </w:rPr>
        <w:t xml:space="preserve"> has increased its investment in the sectors identified earlier, leading to a strong boost from </w:t>
      </w:r>
      <w:r w:rsidDel="00000000" w:rsidR="00000000" w:rsidRPr="00000000">
        <w:rPr>
          <w:rtl w:val="0"/>
        </w:rPr>
        <w:t xml:space="preserve">Drilling</w:t>
      </w:r>
      <w:r w:rsidDel="00000000" w:rsidR="00000000" w:rsidRPr="00000000">
        <w:rPr>
          <w:rtl w:val="0"/>
        </w:rPr>
        <w:t xml:space="preserve"> and </w:t>
      </w:r>
      <w:r w:rsidDel="00000000" w:rsidR="00000000" w:rsidRPr="00000000">
        <w:rPr>
          <w:rtl w:val="0"/>
        </w:rPr>
        <w:t xml:space="preserve">Food and Preparations</w:t>
      </w:r>
      <w:r w:rsidDel="00000000" w:rsidR="00000000" w:rsidRPr="00000000">
        <w:rPr>
          <w:rtl w:val="0"/>
        </w:rPr>
        <w:t xml:space="preserve"> industries, leaving some room for strategic improvement. It did invest in the industries which contributed the most to its advancements, such as </w:t>
      </w:r>
      <w:r w:rsidDel="00000000" w:rsidR="00000000" w:rsidRPr="00000000">
        <w:rPr>
          <w:rtl w:val="0"/>
        </w:rPr>
        <w:t xml:space="preserve">Drilling</w:t>
      </w:r>
      <w:r w:rsidDel="00000000" w:rsidR="00000000" w:rsidRPr="00000000">
        <w:rPr>
          <w:rtl w:val="0"/>
        </w:rPr>
        <w:t xml:space="preserve"> and </w:t>
      </w:r>
      <w:r w:rsidDel="00000000" w:rsidR="00000000" w:rsidRPr="00000000">
        <w:rPr>
          <w:rtl w:val="0"/>
        </w:rPr>
        <w:t xml:space="preserve">Food and Preparations</w:t>
      </w:r>
      <w:r w:rsidDel="00000000" w:rsidR="00000000" w:rsidRPr="00000000">
        <w:rPr>
          <w:rtl w:val="0"/>
        </w:rPr>
        <w:t xml:space="preserve"> industries. The ECI suggests that greater growth could have been achieved through </w:t>
      </w:r>
      <w:r w:rsidDel="00000000" w:rsidR="00000000" w:rsidRPr="00000000">
        <w:rPr>
          <w:rtl w:val="0"/>
        </w:rPr>
        <w:t xml:space="preserve">Raw Manufacturing</w:t>
      </w:r>
      <w:r w:rsidDel="00000000" w:rsidR="00000000" w:rsidRPr="00000000">
        <w:rPr>
          <w:rtl w:val="0"/>
        </w:rPr>
        <w:t xml:space="preserve">, followed by </w:t>
      </w:r>
      <w:r w:rsidDel="00000000" w:rsidR="00000000" w:rsidRPr="00000000">
        <w:rPr>
          <w:rtl w:val="0"/>
        </w:rPr>
        <w:t xml:space="preserve">Daily Instruments</w:t>
      </w:r>
      <w:r w:rsidDel="00000000" w:rsidR="00000000" w:rsidRPr="00000000">
        <w:rPr>
          <w:rtl w:val="0"/>
        </w:rPr>
        <w:t xml:space="preserve"> and </w:t>
      </w:r>
      <w:r w:rsidDel="00000000" w:rsidR="00000000" w:rsidRPr="00000000">
        <w:rPr>
          <w:rtl w:val="0"/>
        </w:rPr>
        <w:t xml:space="preserve">Precious Stones</w:t>
      </w:r>
      <w:r w:rsidDel="00000000" w:rsidR="00000000" w:rsidRPr="00000000">
        <w:rPr>
          <w:rtl w:val="0"/>
        </w:rPr>
        <w:t xml:space="preserve">. The surprising growth also decreased the adjusted R-squared value to -1.5% in 2023 from,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Paraguay</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post-pandemic recovery</w:t>
      </w:r>
      <w:r w:rsidDel="00000000" w:rsidR="00000000" w:rsidRPr="00000000">
        <w:rPr>
          <w:rtl w:val="0"/>
        </w:rPr>
        <w:t xml:space="preserve">. </w:t>
      </w:r>
    </w:p>
    <w:p w:rsidR="00000000" w:rsidDel="00000000" w:rsidP="00000000" w:rsidRDefault="00000000" w:rsidRPr="00000000" w14:paraId="0000012D">
      <w:pPr>
        <w:pageBreakBefore w:val="0"/>
        <w:jc w:val="both"/>
        <w:rPr/>
      </w:pPr>
      <w:r w:rsidDel="00000000" w:rsidR="00000000" w:rsidRPr="00000000">
        <w:rPr>
          <w:rtl w:val="0"/>
        </w:rPr>
      </w:r>
    </w:p>
    <w:p w:rsidR="00000000" w:rsidDel="00000000" w:rsidP="00000000" w:rsidRDefault="00000000" w:rsidRPr="00000000" w14:paraId="0000012E">
      <w:pPr>
        <w:pageBreakBefore w:val="0"/>
        <w:jc w:val="both"/>
        <w:rPr/>
      </w:pPr>
      <w:r w:rsidDel="00000000" w:rsidR="00000000" w:rsidRPr="00000000">
        <w:rPr>
          <w:rtl w:val="0"/>
        </w:rPr>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1">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3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33">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34">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5">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36">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7">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38">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9">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3A">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B">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3C">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D">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3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F">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40">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1">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42">
      <w:pPr>
        <w:pageBreakBefore w:val="0"/>
        <w:jc w:val="both"/>
        <w:rPr/>
      </w:pPr>
      <w:r w:rsidDel="00000000" w:rsidR="00000000" w:rsidRPr="00000000">
        <w:rPr>
          <w:rtl w:val="0"/>
        </w:rPr>
      </w:r>
    </w:p>
    <w:sectPr>
      <w:headerReference r:id="rId23" w:type="default"/>
      <w:footerReference r:id="rId24" w:type="default"/>
      <w:footerReference r:id="rId25" w:type="first"/>
      <w:footerReference r:id="rId26"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pStyle w:val="Heading2"/>
      <w:keepNext w:val="0"/>
      <w:keepLines w:val="0"/>
      <w:tabs>
        <w:tab w:val="center" w:leader="none" w:pos="4680"/>
        <w:tab w:val="right" w:leader="none" w:pos="9360"/>
      </w:tabs>
      <w:spacing w:after="0" w:before="0" w:line="288" w:lineRule="auto"/>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1xbq11bf89od" w:id="3"/>
    <w:bookmarkEnd w:id="3"/>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3" name="image3.png"/>
          <a:graphic>
            <a:graphicData uri="http://schemas.openxmlformats.org/drawingml/2006/picture">
              <pic:pic>
                <pic:nvPicPr>
                  <pic:cNvPr descr="horizontal line" id="0" name="image3.png"/>
                  <pic:cNvPicPr preferRelativeResize="0"/>
                </pic:nvPicPr>
                <pic:blipFill>
                  <a:blip r:embed="rId1"/>
                  <a:srcRect b="-35184" l="0" r="0" t="0"/>
                  <a:stretch>
                    <a:fillRect/>
                  </a:stretch>
                </pic:blipFill>
                <pic:spPr>
                  <a:xfrm>
                    <a:off x="0" y="0"/>
                    <a:ext cx="5731200" cy="1016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6.png"/><Relationship Id="rId21" Type="http://schemas.openxmlformats.org/officeDocument/2006/relationships/image" Target="media/image8.png"/><Relationship Id="rId24" Type="http://schemas.openxmlformats.org/officeDocument/2006/relationships/footer" Target="foot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footer" Target="footer1.xml"/><Relationship Id="rId25"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9.png"/><Relationship Id="rId8" Type="http://schemas.openxmlformats.org/officeDocument/2006/relationships/image" Target="media/image11.png"/><Relationship Id="rId11" Type="http://schemas.openxmlformats.org/officeDocument/2006/relationships/image" Target="media/image12.png"/><Relationship Id="rId10" Type="http://schemas.openxmlformats.org/officeDocument/2006/relationships/image" Target="media/image13.png"/><Relationship Id="rId13" Type="http://schemas.openxmlformats.org/officeDocument/2006/relationships/image" Target="media/image7.jpg"/><Relationship Id="rId12"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6.jpg"/><Relationship Id="rId16" Type="http://schemas.openxmlformats.org/officeDocument/2006/relationships/image" Target="media/image14.png"/><Relationship Id="rId19" Type="http://schemas.openxmlformats.org/officeDocument/2006/relationships/image" Target="media/image17.png"/><Relationship Id="rId1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