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Senegal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Senegal</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Senegal went through during the period from 2019 to 2022. Specifically, we dive into the topic through a macroeconomic overview of Senegal from the perspective of Gross Domestic Product (GDP) and Economic Complexity Index (ECI), which reflect countries’ production capability and production structure, respectively. We find that during the period of our interest, Senegal demonstrated a moderate level of economic growth with an average annual GDP growth rate of 4.40% between 2019 and 2022, with a similar economic complexity compared to other developing African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positive progress during the period, we believe, can be partially explained through the analysis of the economic and product complexity structure of Senegal on the industry group level, as well as the </w:t>
      </w:r>
      <w:r w:rsidDel="00000000" w:rsidR="00000000" w:rsidRPr="00000000">
        <w:rPr>
          <w:rtl w:val="0"/>
        </w:rPr>
        <w:t xml:space="preserve">improved</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Senegal </w:t>
      </w:r>
      <w:r w:rsidDel="00000000" w:rsidR="00000000" w:rsidRPr="00000000">
        <w:rPr>
          <w:rtl w:val="0"/>
        </w:rPr>
        <w:t xml:space="preserve">progressed</w:t>
      </w:r>
      <w:r w:rsidDel="00000000" w:rsidR="00000000" w:rsidRPr="00000000">
        <w:rPr>
          <w:rtl w:val="0"/>
        </w:rPr>
        <w:t xml:space="preserve">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Senegal could further its gains by prioritizing Precious Stones, Energy Drilling and Mining, and Machinery and Construction in 2022. We further note that Senegal has a heavily mismatched development strategy that indicates a low level (compared to other emerging countries) of structural optimality on the complexity level, having an adjusted R-square of around</w:t>
      </w:r>
      <w:r w:rsidDel="00000000" w:rsidR="00000000" w:rsidRPr="00000000">
        <w:rPr>
          <w:rtl w:val="0"/>
        </w:rPr>
        <w:t xml:space="preserve"> 6.5%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weak positive correlation exists between GDP growth and the structural optimality index of an economy as we define and calculate, Senegal indeed has a</w:t>
      </w:r>
      <w:r w:rsidDel="00000000" w:rsidR="00000000" w:rsidRPr="00000000">
        <w:rPr>
          <w:rtl w:val="0"/>
        </w:rPr>
        <w:t xml:space="preserve"> suboptimal</w:t>
      </w:r>
      <w:r w:rsidDel="00000000" w:rsidR="00000000" w:rsidRPr="00000000">
        <w:rPr>
          <w:rtl w:val="0"/>
        </w:rPr>
        <w:t xml:space="preserve"> growth experience as compared with emerging African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2022 showed a significant improvement in Senegal's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Senegal went through during the period from 2019 to 2022, including the COVID-pandemic. Specifically, we dive into the topic through a macroeconomic overview of Senegal from the perspective of Gross Domestic Product (GDP) and Economic Complexity Index (ECI), which reflect countries’ production capability and production structure, respectively. We then analyze the industrial framework and changes of Senegal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Senegal,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jc w:val="both"/>
        <w:rPr/>
      </w:pPr>
      <w:r w:rsidDel="00000000" w:rsidR="00000000" w:rsidRPr="00000000">
        <w:rPr>
          <w:rtl w:val="0"/>
        </w:rPr>
        <w:t xml:space="preserve">Figure 1a illustrates the time-series GDP results for Senegal and three of its peer countries (Nigeria, Ethiopia and Burkina Faso) from 2019 to 2022. Similar to the other countries,  Senegal’s GDP remained relatively flat; however, its growth was not as consistent as that of Ethiopia. Senegal’s average annual GDP growth rate (4.40%) puts it lower than Ethiopia (7.45%) but higher than Burkina Faso (4.15%) and Nigeria (0.30%).</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center"/>
        <w:rPr>
          <w:i w:val="1"/>
          <w:iCs w:val="1"/>
          <w:color w:val="444499"/>
          <w:sz w:val="20"/>
          <w:szCs w:val="20"/>
        </w:rPr>
      </w:pPr>
      <w:r w:rsidDel="00000000" w:rsidR="00000000" w:rsidRPr="00000000">
        <w:rPr/>
        <w:drawing>
          <wp:inline distB="114300" distT="114300" distL="114300" distR="114300">
            <wp:extent cx="3386138" cy="2536791"/>
            <wp:effectExtent b="0" l="0" r="0" t="0"/>
            <wp:docPr id="7" name="image12.png"/>
            <a:graphic>
              <a:graphicData uri="http://schemas.openxmlformats.org/drawingml/2006/picture">
                <pic:pic>
                  <pic:nvPicPr>
                    <pic:cNvPr id="0" name="image12.png"/>
                    <pic:cNvPicPr preferRelativeResize="0"/>
                  </pic:nvPicPr>
                  <pic:blipFill>
                    <a:blip r:embed="rId8"/>
                    <a:srcRect b="55" l="0" r="0" t="55"/>
                    <a:stretch>
                      <a:fillRect/>
                    </a:stretch>
                  </pic:blipFill>
                  <pic:spPr>
                    <a:xfrm>
                      <a:off x="0" y="0"/>
                      <a:ext cx="3386138" cy="253679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Figure</w:t>
      </w:r>
      <w:r w:rsidDel="00000000" w:rsidR="00000000" w:rsidRPr="00000000">
        <w:rPr>
          <w:sz w:val="22"/>
          <w:szCs w:val="22"/>
          <w:rtl w:val="0"/>
        </w:rPr>
        <w:t xml:space="preserve"> 1. GDP Comparison Among Peer Countries (2019-2022)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Senegal exhibits a relatively large increase in production capability from 2019 to 2022. Senegal is in a moderate position in ECI terms, as its ECI change of 188.59% is greater than that of Nigeria (55.39%) but less than that of both Burkina Faso (204.08%) and Ethiopia (204.55%). Senegal exhibits a large increase in production capability in 2020 to levels not seen prior, with extensive microeconomic stimulus packages delivered by the UN being one of the reasons.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jc w:val="center"/>
        <w:rPr>
          <w:sz w:val="22"/>
          <w:szCs w:val="22"/>
        </w:rPr>
      </w:pPr>
      <w:r w:rsidDel="00000000" w:rsidR="00000000" w:rsidRPr="00000000">
        <w:rPr>
          <w:rFonts w:ascii="Calibri" w:cs="Calibri" w:eastAsia="Calibri" w:hAnsi="Calibri"/>
        </w:rPr>
        <w:drawing>
          <wp:inline distB="114300" distT="114300" distL="114300" distR="114300">
            <wp:extent cx="3233738" cy="2422617"/>
            <wp:effectExtent b="0" l="0" r="0" t="0"/>
            <wp:docPr id="2" name="image7.png"/>
            <a:graphic>
              <a:graphicData uri="http://schemas.openxmlformats.org/drawingml/2006/picture">
                <pic:pic>
                  <pic:nvPicPr>
                    <pic:cNvPr id="0" name="image7.png"/>
                    <pic:cNvPicPr preferRelativeResize="0"/>
                  </pic:nvPicPr>
                  <pic:blipFill>
                    <a:blip r:embed="rId9"/>
                    <a:srcRect b="55" l="0" r="0" t="55"/>
                    <a:stretch>
                      <a:fillRect/>
                    </a:stretch>
                  </pic:blipFill>
                  <pic:spPr>
                    <a:xfrm>
                      <a:off x="0" y="0"/>
                      <a:ext cx="3233738" cy="2422617"/>
                    </a:xfrm>
                    <a:prstGeom prst="rect"/>
                    <a:ln/>
                  </pic:spPr>
                </pic:pic>
              </a:graphicData>
            </a:graphic>
          </wp:inline>
        </w:drawing>
      </w:r>
      <w:r w:rsidDel="00000000" w:rsidR="00000000" w:rsidRPr="00000000">
        <w:rPr>
          <w:rtl w:val="0"/>
        </w:rPr>
        <w:t xml:space="preserve">   </w:t>
      </w:r>
      <w:r w:rsidDel="00000000" w:rsidR="00000000" w:rsidRPr="00000000">
        <w:rPr>
          <w:sz w:val="22"/>
          <w:szCs w:val="22"/>
          <w:rtl w:val="0"/>
        </w:rPr>
        <w:t xml:space="preserve">  </w:t>
      </w:r>
    </w:p>
    <w:p w:rsidR="00000000" w:rsidDel="00000000" w:rsidP="00000000" w:rsidRDefault="00000000" w:rsidRPr="00000000" w14:paraId="00000029">
      <w:pPr>
        <w:jc w:val="center"/>
        <w:rPr/>
      </w:pP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Figure 3 offers a further comparison of GDP Growth and ECI over the time span from 2019 to 2022 for Senegal. The GDP growth is accompanied by an increase in ECI. The results show that the economic growth experienced by Senegal during the period from 2019 to 2022 is consistent with the predictions by ECI and that Senegal made strong progress towards effectively developing a competitive product space that helps to accumulate complicated knowledge and technology. For the period 2019 to 2022, the ECI followed GDP trends, which can be interpreted as advancements in production. In order to provide a more concrete answer to why this has happened, we will dive into an analysis of Senegal’s production structure and its product space designs in the next few sections.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462338" cy="2593877"/>
            <wp:effectExtent b="0" l="0" r="0" t="0"/>
            <wp:docPr id="11" name="image6.png"/>
            <a:graphic>
              <a:graphicData uri="http://schemas.openxmlformats.org/drawingml/2006/picture">
                <pic:pic>
                  <pic:nvPicPr>
                    <pic:cNvPr id="0" name="image6.png"/>
                    <pic:cNvPicPr preferRelativeResize="0"/>
                  </pic:nvPicPr>
                  <pic:blipFill>
                    <a:blip r:embed="rId10"/>
                    <a:srcRect b="55" l="0" r="0" t="55"/>
                    <a:stretch>
                      <a:fillRect/>
                    </a:stretch>
                  </pic:blipFill>
                  <pic:spPr>
                    <a:xfrm>
                      <a:off x="0" y="0"/>
                      <a:ext cx="3462338" cy="259387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rFonts w:ascii="Times" w:cs="Times" w:eastAsia="Times" w:hAnsi="Times"/>
          <w:b w:val="1"/>
          <w:bCs w:val="1"/>
          <w:sz w:val="28"/>
          <w:szCs w:val="28"/>
        </w:rPr>
      </w:pPr>
      <w:r w:rsidDel="00000000" w:rsidR="00000000" w:rsidRPr="00000000">
        <w:rPr>
          <w:sz w:val="22"/>
          <w:szCs w:val="22"/>
          <w:rtl w:val="0"/>
        </w:rPr>
        <w:t xml:space="preserve">Figures 3. GDP Growth and ECI for Senegal (2019-2022)</w:t>
      </w:r>
      <w:r w:rsidDel="00000000" w:rsidR="00000000" w:rsidRPr="00000000">
        <w:rPr>
          <w:rtl w:val="0"/>
        </w:rPr>
      </w:r>
    </w:p>
    <w:p w:rsidR="00000000" w:rsidDel="00000000" w:rsidP="00000000" w:rsidRDefault="00000000" w:rsidRPr="00000000" w14:paraId="00000030">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jc w:val="both"/>
        <w:rPr/>
      </w:pPr>
      <w:r w:rsidDel="00000000" w:rsidR="00000000" w:rsidRPr="00000000">
        <w:rPr>
          <w:rtl w:val="0"/>
        </w:rPr>
        <w:t xml:space="preserve">Based on the aforementioned product categorization, we aim to capture Senegal's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Senegal and the 18 product groups in 2022, where a positive RID indicates a shortening of the distance (i.e., advancement of the industry), and a negative RID indicates the reverse. It is notable that the number of industries with positive RID is low in 2022.</w:t>
      </w:r>
    </w:p>
    <w:p w:rsidR="00000000" w:rsidDel="00000000" w:rsidP="00000000" w:rsidRDefault="00000000" w:rsidRPr="00000000" w14:paraId="0000008E">
      <w:pPr>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-0.067577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-0.082348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–0.137916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-0.046450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-0.073962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-0.161922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-0.072033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-0.143070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-0.024110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-0.117340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-0.082348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-0.065028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-0.023561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-0.011255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-0.088074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-0.084253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-0.058870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-0.063421</w:t>
            </w:r>
          </w:p>
        </w:tc>
      </w:tr>
    </w:tbl>
    <w:p w:rsidR="00000000" w:rsidDel="00000000" w:rsidP="00000000" w:rsidRDefault="00000000" w:rsidRPr="00000000" w14:paraId="000000B5">
      <w:pPr>
        <w:jc w:val="center"/>
        <w:rPr/>
      </w:pPr>
      <w:r w:rsidDel="00000000" w:rsidR="00000000" w:rsidRPr="00000000">
        <w:rPr>
          <w:sz w:val="22"/>
          <w:szCs w:val="22"/>
          <w:rtl w:val="0"/>
        </w:rPr>
        <w:t xml:space="preserve">Table 3. Realized Industry Development (RID) of Senegal</w:t>
      </w:r>
      <w:r w:rsidDel="00000000" w:rsidR="00000000" w:rsidRPr="00000000">
        <w:rPr>
          <w:rtl w:val="0"/>
        </w:rPr>
      </w:r>
    </w:p>
    <w:p w:rsidR="00000000" w:rsidDel="00000000" w:rsidP="00000000" w:rsidRDefault="00000000" w:rsidRPr="00000000" w14:paraId="000000B6">
      <w:pPr>
        <w:pageBreakBefore w:val="0"/>
        <w:jc w:val="both"/>
        <w:rPr>
          <w:b w:val="1"/>
          <w:bCs w:val="1"/>
        </w:rPr>
      </w:pPr>
      <w:r w:rsidDel="00000000" w:rsidR="00000000" w:rsidRPr="00000000">
        <w:rPr>
          <w:rtl w:val="0"/>
        </w:rPr>
      </w:r>
    </w:p>
    <w:p w:rsidR="00000000" w:rsidDel="00000000" w:rsidP="00000000" w:rsidRDefault="00000000" w:rsidRPr="00000000" w14:paraId="000000B7">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8">
      <w:pPr>
        <w:jc w:val="both"/>
        <w:rPr/>
      </w:pPr>
      <w:r w:rsidDel="00000000" w:rsidR="00000000" w:rsidRPr="00000000">
        <w:rPr>
          <w:rtl w:val="0"/>
        </w:rPr>
        <w:t xml:space="preserve">Table 4a below summarize how the production strategy adopted by Senegal compares with selected leading economies in the world across different years, as measured in RID. Leading economies such as France, USA, and United Arab Emirates gave a considerable level of attention to more advanced product groups such as Machinery and Construction, Wood Products, and Chemical Manufacturing in 2022.</w:t>
      </w:r>
    </w:p>
    <w:p w:rsidR="00000000" w:rsidDel="00000000" w:rsidP="00000000" w:rsidRDefault="00000000" w:rsidRPr="00000000" w14:paraId="000000B9">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A">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B">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C">
            <w:pPr>
              <w:jc w:val="both"/>
              <w:rPr/>
            </w:pPr>
            <w:r w:rsidDel="00000000" w:rsidR="00000000" w:rsidRPr="00000000">
              <w:rPr>
                <w:rtl w:val="0"/>
              </w:rPr>
              <w:t xml:space="preserve">USA</w:t>
            </w:r>
          </w:p>
        </w:tc>
        <w:tc>
          <w:tcPr>
            <w:vAlign w:val="center"/>
          </w:tcPr>
          <w:p w:rsidR="00000000" w:rsidDel="00000000" w:rsidP="00000000" w:rsidRDefault="00000000" w:rsidRPr="00000000" w14:paraId="000000BD">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1">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B">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F">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D0">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D1">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D3">
      <w:pPr>
        <w:jc w:val="center"/>
        <w:rPr>
          <w:sz w:val="22"/>
          <w:szCs w:val="22"/>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Table 4b further examines Senegal’s development strategy against those of emerging economies on a global scale. Reasonably, emerging economies such as China and Singapore have devoted the majority of their efforts to intermediate industry groups, showing moderate shifts in strategies over the course of four years.</w:t>
      </w:r>
    </w:p>
    <w:p w:rsidR="00000000" w:rsidDel="00000000" w:rsidP="00000000" w:rsidRDefault="00000000" w:rsidRPr="00000000" w14:paraId="000000D5">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6">
            <w:pPr>
              <w:jc w:val="both"/>
              <w:rPr/>
            </w:pPr>
            <w:r w:rsidDel="00000000" w:rsidR="00000000" w:rsidRPr="00000000">
              <w:rPr>
                <w:rtl w:val="0"/>
              </w:rPr>
              <w:t xml:space="preserve">Ranking</w:t>
            </w:r>
          </w:p>
        </w:tc>
        <w:tc>
          <w:tcPr/>
          <w:p w:rsidR="00000000" w:rsidDel="00000000" w:rsidP="00000000" w:rsidRDefault="00000000" w:rsidRPr="00000000" w14:paraId="000000D7">
            <w:pPr>
              <w:jc w:val="both"/>
              <w:rPr/>
            </w:pPr>
            <w:r w:rsidDel="00000000" w:rsidR="00000000" w:rsidRPr="00000000">
              <w:rPr>
                <w:rtl w:val="0"/>
              </w:rPr>
              <w:t xml:space="preserve">China</w:t>
            </w:r>
          </w:p>
        </w:tc>
        <w:tc>
          <w:tcPr/>
          <w:p w:rsidR="00000000" w:rsidDel="00000000" w:rsidP="00000000" w:rsidRDefault="00000000" w:rsidRPr="00000000" w14:paraId="000000D8">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9">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A">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D">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0">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3">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4">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E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6">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7">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8">
      <w:pPr>
        <w:jc w:val="center"/>
        <w:rPr>
          <w:b w:val="1"/>
          <w:bCs w:val="1"/>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9">
      <w:pPr>
        <w:pageBreakBefore w:val="0"/>
        <w:jc w:val="center"/>
        <w:rPr>
          <w:sz w:val="22"/>
          <w:szCs w:val="22"/>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rtl w:val="0"/>
        </w:rPr>
      </w:r>
    </w:p>
    <w:p w:rsidR="00000000" w:rsidDel="00000000" w:rsidP="00000000" w:rsidRDefault="00000000" w:rsidRPr="00000000" w14:paraId="000000E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F">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F1">
      <w:pPr>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F2">
      <w:pPr>
        <w:jc w:val="both"/>
        <w:rPr/>
      </w:pPr>
      <w:r w:rsidDel="00000000" w:rsidR="00000000" w:rsidRPr="00000000">
        <w:rPr>
          <w:rFonts w:ascii="Times" w:cs="Times" w:eastAsia="Times" w:hAnsi="Times"/>
          <w:b w:val="1"/>
          <w:bCs w:val="1"/>
          <w:sz w:val="28"/>
          <w:szCs w:val="28"/>
        </w:rPr>
        <w:drawing>
          <wp:inline distB="114300" distT="114300" distL="114300" distR="114300">
            <wp:extent cx="5731200" cy="2489200"/>
            <wp:effectExtent b="0" l="0" r="0" t="0"/>
            <wp:docPr id="4" name="image13.png"/>
            <a:graphic>
              <a:graphicData uri="http://schemas.openxmlformats.org/drawingml/2006/picture">
                <pic:pic>
                  <pic:nvPicPr>
                    <pic:cNvPr id="0" name="image13.png"/>
                    <pic:cNvPicPr preferRelativeResize="0"/>
                  </pic:nvPicPr>
                  <pic:blipFill>
                    <a:blip r:embed="rId11"/>
                    <a:srcRect b="0" l="512" r="512"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We define the ranking of opportunity gain for a country c, as the Suggested Development Vector (SDV) of c. Table 5 summarizes how the SDV of Senegal compares with a selected group of comparable and leading economies in the world, with the industry groups ranked in decreasing order of significance.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Chemical Manufacturing and Machinery and Construction It can be concluded that Senegal shares the characteristics of developing countries, with a balanced economic structure that leans towards more complex industries. </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drawing>
          <wp:inline distB="114300" distT="114300" distL="114300" distR="114300">
            <wp:extent cx="5731200" cy="2273300"/>
            <wp:effectExtent b="0" l="0" r="0" t="0"/>
            <wp:docPr id="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FB">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C">
      <w:pPr>
        <w:pageBreakBefore w:val="0"/>
        <w:jc w:val="center"/>
        <w:rPr>
          <w:sz w:val="22"/>
          <w:szCs w:val="22"/>
        </w:rPr>
      </w:pPr>
      <w:r w:rsidDel="00000000" w:rsidR="00000000" w:rsidRPr="00000000">
        <w:rPr>
          <w:rtl w:val="0"/>
        </w:rPr>
      </w:r>
    </w:p>
    <w:p w:rsidR="00000000" w:rsidDel="00000000" w:rsidP="00000000" w:rsidRDefault="00000000" w:rsidRPr="00000000" w14:paraId="000000FD">
      <w:pPr>
        <w:pageBreakBefore w:val="0"/>
        <w:jc w:val="center"/>
        <w:rPr/>
      </w:pPr>
      <w:r w:rsidDel="00000000" w:rsidR="00000000" w:rsidRPr="00000000">
        <w:rPr>
          <w:rtl w:val="0"/>
        </w:rPr>
      </w:r>
    </w:p>
    <w:p w:rsidR="00000000" w:rsidDel="00000000" w:rsidP="00000000" w:rsidRDefault="00000000" w:rsidRPr="00000000" w14:paraId="000000F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00">
      <w:pPr>
        <w:pageBreakBefore w:val="0"/>
        <w:jc w:val="both"/>
        <w:rPr/>
      </w:pPr>
      <w:r w:rsidDel="00000000" w:rsidR="00000000" w:rsidRPr="00000000">
        <w:rPr>
          <w:rtl w:val="0"/>
        </w:rPr>
      </w:r>
    </w:p>
    <w:p w:rsidR="00000000" w:rsidDel="00000000" w:rsidP="00000000" w:rsidRDefault="00000000" w:rsidRPr="00000000" w14:paraId="0000010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jc w:val="center"/>
        <w:rPr/>
      </w:pPr>
      <w:r w:rsidDel="00000000" w:rsidR="00000000" w:rsidRPr="00000000">
        <w:rPr>
          <w:rtl w:val="0"/>
        </w:rPr>
      </w:r>
    </w:p>
    <w:p w:rsidR="00000000" w:rsidDel="00000000" w:rsidP="00000000" w:rsidRDefault="00000000" w:rsidRPr="00000000" w14:paraId="0000010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04">
      <w:pPr>
        <w:pageBreakBefore w:val="0"/>
        <w:jc w:val="both"/>
        <w:rPr/>
      </w:pPr>
      <w:r w:rsidDel="00000000" w:rsidR="00000000" w:rsidRPr="00000000">
        <w:rPr>
          <w:rtl w:val="0"/>
        </w:rPr>
        <w:t xml:space="preserve"> </w:t>
      </w:r>
    </w:p>
    <w:p w:rsidR="00000000" w:rsidDel="00000000" w:rsidP="00000000" w:rsidRDefault="00000000" w:rsidRPr="00000000" w14:paraId="0000010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6">
      <w:pPr>
        <w:pageBreakBefore w:val="0"/>
        <w:jc w:val="both"/>
        <w:rPr/>
      </w:pPr>
      <w:r w:rsidDel="00000000" w:rsidR="00000000" w:rsidRPr="00000000">
        <w:rPr>
          <w:rtl w:val="0"/>
        </w:rPr>
        <w:t xml:space="preserve"> </w:t>
      </w:r>
    </w:p>
    <w:p w:rsidR="00000000" w:rsidDel="00000000" w:rsidP="00000000" w:rsidRDefault="00000000" w:rsidRPr="00000000" w14:paraId="0000010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C">
      <w:pPr>
        <w:pageBreakBefore w:val="0"/>
        <w:rPr/>
      </w:pPr>
      <w:r w:rsidDel="00000000" w:rsidR="00000000" w:rsidRPr="00000000">
        <w:rPr>
          <w:rtl w:val="0"/>
        </w:rPr>
        <w:t xml:space="preserve"> </w:t>
      </w:r>
    </w:p>
    <w:p w:rsidR="00000000" w:rsidDel="00000000" w:rsidP="00000000" w:rsidRDefault="00000000" w:rsidRPr="00000000" w14:paraId="0000010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10">
      <w:pPr>
        <w:jc w:val="both"/>
        <w:rPr>
          <w:b w:val="1"/>
          <w:bCs w:val="1"/>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111">
      <w:pPr>
        <w:pageBreakBefore w:val="0"/>
        <w:jc w:val="both"/>
        <w:rPr>
          <w:b w:val="1"/>
          <w:bCs w:val="1"/>
        </w:rPr>
      </w:pPr>
      <w:r w:rsidDel="00000000" w:rsidR="00000000" w:rsidRPr="00000000">
        <w:rPr>
          <w:rtl w:val="0"/>
        </w:rPr>
      </w:r>
    </w:p>
    <w:p w:rsidR="00000000" w:rsidDel="00000000" w:rsidP="00000000" w:rsidRDefault="00000000" w:rsidRPr="00000000" w14:paraId="00000112">
      <w:pPr>
        <w:pageBreakBefore w:val="0"/>
        <w:jc w:val="both"/>
        <w:rPr>
          <w:b w:val="1"/>
          <w:bCs w:val="1"/>
        </w:rPr>
      </w:pPr>
      <w:r w:rsidDel="00000000" w:rsidR="00000000" w:rsidRPr="00000000">
        <w:rPr>
          <w:rtl w:val="0"/>
        </w:rPr>
      </w:r>
    </w:p>
    <w:p w:rsidR="00000000" w:rsidDel="00000000" w:rsidP="00000000" w:rsidRDefault="00000000" w:rsidRPr="00000000" w14:paraId="00000113">
      <w:pPr>
        <w:pageBreakBefore w:val="0"/>
        <w:jc w:val="both"/>
        <w:rPr>
          <w:b w:val="1"/>
          <w:bCs w:val="1"/>
        </w:rPr>
      </w:pPr>
      <w:r w:rsidDel="00000000" w:rsidR="00000000" w:rsidRPr="00000000">
        <w:rPr>
          <w:rtl w:val="0"/>
        </w:rPr>
      </w:r>
    </w:p>
    <w:p w:rsidR="00000000" w:rsidDel="00000000" w:rsidP="00000000" w:rsidRDefault="00000000" w:rsidRPr="00000000" w14:paraId="00000114">
      <w:pPr>
        <w:pageBreakBefore w:val="0"/>
        <w:jc w:val="both"/>
        <w:rPr>
          <w:b w:val="1"/>
          <w:bCs w:val="1"/>
        </w:rPr>
      </w:pPr>
      <w:r w:rsidDel="00000000" w:rsidR="00000000" w:rsidRPr="00000000">
        <w:rPr>
          <w:rtl w:val="0"/>
        </w:rPr>
      </w:r>
    </w:p>
    <w:p w:rsidR="00000000" w:rsidDel="00000000" w:rsidP="00000000" w:rsidRDefault="00000000" w:rsidRPr="00000000" w14:paraId="00000115">
      <w:pPr>
        <w:pageBreakBefore w:val="0"/>
        <w:jc w:val="both"/>
        <w:rPr>
          <w:b w:val="1"/>
          <w:bCs w:val="1"/>
        </w:rPr>
      </w:pPr>
      <w:r w:rsidDel="00000000" w:rsidR="00000000" w:rsidRPr="00000000">
        <w:rPr>
          <w:rtl w:val="0"/>
        </w:rPr>
      </w:r>
    </w:p>
    <w:p w:rsidR="00000000" w:rsidDel="00000000" w:rsidP="00000000" w:rsidRDefault="00000000" w:rsidRPr="00000000" w14:paraId="00000116">
      <w:pPr>
        <w:pageBreakBefore w:val="0"/>
        <w:jc w:val="both"/>
        <w:rPr>
          <w:b w:val="1"/>
          <w:bCs w:val="1"/>
        </w:rPr>
      </w:pPr>
      <w:r w:rsidDel="00000000" w:rsidR="00000000" w:rsidRPr="00000000">
        <w:rPr>
          <w:rtl w:val="0"/>
        </w:rPr>
      </w:r>
    </w:p>
    <w:p w:rsidR="00000000" w:rsidDel="00000000" w:rsidP="00000000" w:rsidRDefault="00000000" w:rsidRPr="00000000" w14:paraId="00000117">
      <w:pPr>
        <w:pageBreakBefore w:val="0"/>
        <w:jc w:val="both"/>
        <w:rPr>
          <w:b w:val="1"/>
          <w:bCs w:val="1"/>
        </w:rPr>
      </w:pPr>
      <w:r w:rsidDel="00000000" w:rsidR="00000000" w:rsidRPr="00000000">
        <w:rPr>
          <w:rtl w:val="0"/>
        </w:rPr>
      </w:r>
    </w:p>
    <w:p w:rsidR="00000000" w:rsidDel="00000000" w:rsidP="00000000" w:rsidRDefault="00000000" w:rsidRPr="00000000" w14:paraId="00000118">
      <w:pPr>
        <w:pageBreakBefore w:val="0"/>
        <w:jc w:val="both"/>
        <w:rPr>
          <w:b w:val="1"/>
          <w:bCs w:val="1"/>
        </w:rPr>
      </w:pPr>
      <w:r w:rsidDel="00000000" w:rsidR="00000000" w:rsidRPr="00000000">
        <w:rPr>
          <w:rtl w:val="0"/>
        </w:rPr>
      </w:r>
    </w:p>
    <w:p w:rsidR="00000000" w:rsidDel="00000000" w:rsidP="00000000" w:rsidRDefault="00000000" w:rsidRPr="00000000" w14:paraId="00000119">
      <w:pPr>
        <w:pageBreakBefore w:val="0"/>
        <w:jc w:val="both"/>
        <w:rPr>
          <w:b w:val="1"/>
          <w:bCs w:val="1"/>
        </w:rPr>
      </w:pPr>
      <w:r w:rsidDel="00000000" w:rsidR="00000000" w:rsidRPr="00000000">
        <w:rPr>
          <w:rtl w:val="0"/>
        </w:rPr>
      </w:r>
    </w:p>
    <w:p w:rsidR="00000000" w:rsidDel="00000000" w:rsidP="00000000" w:rsidRDefault="00000000" w:rsidRPr="00000000" w14:paraId="0000011A">
      <w:pPr>
        <w:pageBreakBefore w:val="0"/>
        <w:jc w:val="both"/>
        <w:rPr>
          <w:b w:val="1"/>
          <w:bCs w:val="1"/>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rtl w:val="0"/>
        </w:rPr>
      </w:r>
    </w:p>
    <w:p w:rsidR="00000000" w:rsidDel="00000000" w:rsidP="00000000" w:rsidRDefault="00000000" w:rsidRPr="00000000" w14:paraId="0000011C">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1D">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E">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45">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46">
      <w:pPr>
        <w:pageBreakBefore w:val="0"/>
        <w:jc w:val="center"/>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Figure 4 shows an economic panel for Senegal in 2022. We can see that for different percentages of heuristic total export growth, the ECIs of Senegal have slightly different industry distributions though are relatively consistent.</w:t>
      </w:r>
    </w:p>
    <w:p w:rsidR="00000000" w:rsidDel="00000000" w:rsidP="00000000" w:rsidRDefault="00000000" w:rsidRPr="00000000" w14:paraId="00000148">
      <w:pPr>
        <w:jc w:val="both"/>
        <w:rPr/>
      </w:pPr>
      <w:r w:rsidDel="00000000" w:rsidR="00000000" w:rsidRPr="00000000">
        <w:rPr>
          <w:rtl w:val="0"/>
        </w:rPr>
        <w:t xml:space="preserve"> </w:t>
      </w:r>
    </w:p>
    <w:p w:rsidR="00000000" w:rsidDel="00000000" w:rsidP="00000000" w:rsidRDefault="00000000" w:rsidRPr="00000000" w14:paraId="00000149">
      <w:pPr>
        <w:jc w:val="both"/>
        <w:rPr/>
      </w:pPr>
      <w:r w:rsidDel="00000000" w:rsidR="00000000" w:rsidRPr="00000000">
        <w:rPr>
          <w:rtl w:val="0"/>
        </w:rPr>
        <w:t xml:space="preserve">For 2022, Precious Stones is the primary industry for all the percentages of heuristic total export growth. This suggests that with any increase in investment, all resources should be directed to Precious Stones. A more detailed numerical representation of the portfolio is shown in Table 8. The increased ECI row of the table suggests that any increases in 5%, 10%, 15%, and 20% yield the same increase in ECI, which means that Senegal should focus on 15% and 20%. Thus, for optimal development, it should invest only in Precious Stones. </w:t>
      </w:r>
    </w:p>
    <w:p w:rsidR="00000000" w:rsidDel="00000000" w:rsidP="00000000" w:rsidRDefault="00000000" w:rsidRPr="00000000" w14:paraId="0000014A">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28702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sz w:val="22"/>
          <w:szCs w:val="22"/>
          <w:rtl w:val="0"/>
        </w:rPr>
        <w:t xml:space="preserve">Figure 4. Greedy-Based ECI Improvement Results of Senegal with Different Budgets (2022)</w:t>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4F">
            <w:pPr>
              <w:jc w:val="center"/>
              <w:rPr>
                <w:sz w:val="20"/>
                <w:szCs w:val="20"/>
              </w:rPr>
            </w:pPr>
            <w:r w:rsidDel="00000000" w:rsidR="00000000" w:rsidRPr="00000000">
              <w:rPr>
                <w:b w:val="1"/>
                <w:bCs w:val="1"/>
                <w:sz w:val="20"/>
                <w:szCs w:val="20"/>
                <w:rtl w:val="0"/>
              </w:rPr>
              <w:t xml:space="preserve">Senegal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5">
            <w:pPr>
              <w:jc w:val="center"/>
              <w:rPr>
                <w:sz w:val="20"/>
                <w:szCs w:val="20"/>
              </w:rPr>
            </w:pPr>
            <w:r w:rsidDel="00000000" w:rsidR="00000000" w:rsidRPr="00000000">
              <w:rPr>
                <w:b w:val="1"/>
                <w:bCs w:val="1"/>
                <w:sz w:val="20"/>
                <w:szCs w:val="20"/>
                <w:rtl w:val="0"/>
              </w:rPr>
              <w:t xml:space="preserve">0.760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A">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C">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D">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1.09E+07</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2.18E+07</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1">
            <w:pPr>
              <w:widowControl w:val="0"/>
              <w:jc w:val="center"/>
              <w:rPr>
                <w:sz w:val="18"/>
                <w:szCs w:val="18"/>
              </w:rPr>
            </w:pPr>
            <w:r w:rsidDel="00000000" w:rsidR="00000000" w:rsidRPr="00000000">
              <w:rPr>
                <w:sz w:val="20"/>
                <w:szCs w:val="20"/>
                <w:rtl w:val="0"/>
              </w:rPr>
              <w:t xml:space="preserve">3.27E+07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2">
            <w:pPr>
              <w:widowControl w:val="0"/>
              <w:jc w:val="center"/>
              <w:rPr>
                <w:sz w:val="18"/>
                <w:szCs w:val="18"/>
              </w:rPr>
            </w:pPr>
            <w:r w:rsidDel="00000000" w:rsidR="00000000" w:rsidRPr="00000000">
              <w:rPr>
                <w:sz w:val="20"/>
                <w:szCs w:val="20"/>
                <w:rtl w:val="0"/>
              </w:rPr>
              <w:t xml:space="preserve">4.36E+07</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3.16E+08</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6.32E+08</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6">
            <w:pPr>
              <w:widowControl w:val="0"/>
              <w:jc w:val="center"/>
              <w:rPr>
                <w:sz w:val="18"/>
                <w:szCs w:val="18"/>
              </w:rPr>
            </w:pPr>
            <w:r w:rsidDel="00000000" w:rsidR="00000000" w:rsidRPr="00000000">
              <w:rPr>
                <w:sz w:val="20"/>
                <w:szCs w:val="20"/>
                <w:rtl w:val="0"/>
              </w:rPr>
              <w:t xml:space="preserve">9.48E+08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7">
            <w:pPr>
              <w:widowControl w:val="0"/>
              <w:jc w:val="center"/>
              <w:rPr>
                <w:sz w:val="18"/>
                <w:szCs w:val="18"/>
              </w:rPr>
            </w:pPr>
            <w:r w:rsidDel="00000000" w:rsidR="00000000" w:rsidRPr="00000000">
              <w:rPr>
                <w:sz w:val="20"/>
                <w:szCs w:val="20"/>
                <w:rtl w:val="0"/>
              </w:rPr>
              <w:t xml:space="preserve">1.26E+09</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68">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9">
            <w:pPr>
              <w:widowControl w:val="0"/>
              <w:jc w:val="center"/>
              <w:rPr>
                <w:b w:val="1"/>
                <w:bCs w:val="1"/>
                <w:sz w:val="20"/>
                <w:szCs w:val="20"/>
              </w:rPr>
            </w:pPr>
            <w:r w:rsidDel="00000000" w:rsidR="00000000" w:rsidRPr="00000000">
              <w:rPr>
                <w:b w:val="1"/>
                <w:bCs w:val="1"/>
                <w:sz w:val="20"/>
                <w:szCs w:val="20"/>
                <w:rtl w:val="0"/>
              </w:rPr>
              <w:t xml:space="preserve">0.761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A">
            <w:pPr>
              <w:widowControl w:val="0"/>
              <w:jc w:val="center"/>
              <w:rPr>
                <w:b w:val="1"/>
                <w:bCs w:val="1"/>
                <w:sz w:val="20"/>
                <w:szCs w:val="20"/>
              </w:rPr>
            </w:pPr>
            <w:r w:rsidDel="00000000" w:rsidR="00000000" w:rsidRPr="00000000">
              <w:rPr>
                <w:b w:val="1"/>
                <w:bCs w:val="1"/>
                <w:sz w:val="20"/>
                <w:szCs w:val="20"/>
                <w:rtl w:val="0"/>
              </w:rPr>
              <w:t xml:space="preserve">0.761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B">
            <w:pPr>
              <w:widowControl w:val="0"/>
              <w:jc w:val="center"/>
              <w:rPr>
                <w:b w:val="1"/>
                <w:bCs w:val="1"/>
                <w:sz w:val="20"/>
                <w:szCs w:val="20"/>
              </w:rPr>
            </w:pPr>
            <w:r w:rsidDel="00000000" w:rsidR="00000000" w:rsidRPr="00000000">
              <w:rPr>
                <w:b w:val="1"/>
                <w:bCs w:val="1"/>
                <w:sz w:val="20"/>
                <w:szCs w:val="20"/>
                <w:rtl w:val="0"/>
              </w:rPr>
              <w:t xml:space="preserve">0.761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C">
            <w:pPr>
              <w:widowControl w:val="0"/>
              <w:jc w:val="center"/>
              <w:rPr>
                <w:b w:val="1"/>
                <w:bCs w:val="1"/>
                <w:sz w:val="20"/>
                <w:szCs w:val="20"/>
              </w:rPr>
            </w:pPr>
            <w:r w:rsidDel="00000000" w:rsidR="00000000" w:rsidRPr="00000000">
              <w:rPr>
                <w:b w:val="1"/>
                <w:bCs w:val="1"/>
                <w:sz w:val="20"/>
                <w:szCs w:val="20"/>
                <w:rtl w:val="0"/>
              </w:rPr>
              <w:t xml:space="preserve">0.761</w:t>
            </w:r>
          </w:p>
        </w:tc>
      </w:tr>
    </w:tbl>
    <w:p w:rsidR="00000000" w:rsidDel="00000000" w:rsidP="00000000" w:rsidRDefault="00000000" w:rsidRPr="00000000" w14:paraId="0000016D">
      <w:pPr>
        <w:jc w:val="center"/>
        <w:rPr>
          <w:sz w:val="22"/>
          <w:szCs w:val="22"/>
        </w:rPr>
      </w:pPr>
      <w:r w:rsidDel="00000000" w:rsidR="00000000" w:rsidRPr="00000000">
        <w:rPr>
          <w:sz w:val="22"/>
          <w:szCs w:val="22"/>
          <w:rtl w:val="0"/>
        </w:rPr>
        <w:t xml:space="preserve">Table 8. Portfolio of Senegal (2022)</w:t>
      </w:r>
    </w:p>
    <w:p w:rsidR="00000000" w:rsidDel="00000000" w:rsidP="00000000" w:rsidRDefault="00000000" w:rsidRPr="00000000" w14:paraId="0000016E">
      <w:pPr>
        <w:jc w:val="center"/>
        <w:rPr>
          <w:sz w:val="22"/>
          <w:szCs w:val="22"/>
        </w:rPr>
      </w:pPr>
      <w:r w:rsidDel="00000000" w:rsidR="00000000" w:rsidRPr="00000000">
        <w:rPr>
          <w:rtl w:val="0"/>
        </w:rPr>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pageBreakBefore w:val="0"/>
        <w:rPr>
          <w:sz w:val="22"/>
          <w:szCs w:val="22"/>
        </w:rPr>
      </w:pPr>
      <w:r w:rsidDel="00000000" w:rsidR="00000000" w:rsidRPr="00000000">
        <w:rPr>
          <w:rtl w:val="0"/>
        </w:rPr>
      </w:r>
    </w:p>
    <w:p w:rsidR="00000000" w:rsidDel="00000000" w:rsidP="00000000" w:rsidRDefault="00000000" w:rsidRPr="00000000" w14:paraId="00000172">
      <w:pPr>
        <w:jc w:val="center"/>
        <w:rPr>
          <w:sz w:val="22"/>
          <w:szCs w:val="22"/>
        </w:rPr>
      </w:pPr>
      <w:r w:rsidDel="00000000" w:rsidR="00000000" w:rsidRPr="00000000">
        <w:rPr>
          <w:rtl w:val="0"/>
        </w:rPr>
      </w:r>
    </w:p>
    <w:p w:rsidR="00000000" w:rsidDel="00000000" w:rsidP="00000000" w:rsidRDefault="00000000" w:rsidRPr="00000000" w14:paraId="00000173">
      <w:pPr>
        <w:jc w:val="left"/>
        <w:rPr>
          <w:sz w:val="22"/>
          <w:szCs w:val="22"/>
        </w:rPr>
      </w:pPr>
      <w:r w:rsidDel="00000000" w:rsidR="00000000" w:rsidRPr="00000000">
        <w:rPr>
          <w:rtl w:val="0"/>
        </w:rPr>
      </w:r>
    </w:p>
    <w:p w:rsidR="00000000" w:rsidDel="00000000" w:rsidP="00000000" w:rsidRDefault="00000000" w:rsidRPr="00000000" w14:paraId="00000174">
      <w:pPr>
        <w:jc w:val="left"/>
        <w:rPr>
          <w:sz w:val="22"/>
          <w:szCs w:val="22"/>
        </w:rPr>
      </w:pPr>
      <w:r w:rsidDel="00000000" w:rsidR="00000000" w:rsidRPr="00000000">
        <w:rPr>
          <w:rtl w:val="0"/>
        </w:rPr>
      </w:r>
    </w:p>
    <w:p w:rsidR="00000000" w:rsidDel="00000000" w:rsidP="00000000" w:rsidRDefault="00000000" w:rsidRPr="00000000" w14:paraId="00000175">
      <w:pPr>
        <w:jc w:val="center"/>
        <w:rPr>
          <w:sz w:val="22"/>
          <w:szCs w:val="22"/>
        </w:rPr>
      </w:pPr>
      <w:r w:rsidDel="00000000" w:rsidR="00000000" w:rsidRPr="00000000">
        <w:rPr>
          <w:rtl w:val="0"/>
        </w:rPr>
      </w:r>
    </w:p>
    <w:p w:rsidR="00000000" w:rsidDel="00000000" w:rsidP="00000000" w:rsidRDefault="00000000" w:rsidRPr="00000000" w14:paraId="00000176">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177">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78">
      <w:pPr>
        <w:spacing w:line="276" w:lineRule="auto"/>
        <w:jc w:val="both"/>
        <w:rPr/>
      </w:pPr>
      <w:r w:rsidDel="00000000" w:rsidR="00000000" w:rsidRPr="00000000">
        <w:rPr>
          <w:rtl w:val="0"/>
        </w:rPr>
        <w:t xml:space="preserve">In the following section, our broad aim is to understand how sensitive Senegal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79">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7A">
      <w:pPr>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7B">
      <w:pPr>
        <w:jc w:val="both"/>
        <w:rPr>
          <w:b w:val="1"/>
          <w:bCs w:val="1"/>
        </w:rPr>
      </w:pPr>
      <w:r w:rsidDel="00000000" w:rsidR="00000000" w:rsidRPr="00000000">
        <w:rPr>
          <w:b w:val="1"/>
          <w:bCs w:val="1"/>
        </w:rPr>
        <w:drawing>
          <wp:inline distB="114300" distT="114300" distL="114300" distR="114300">
            <wp:extent cx="5310188" cy="2519630"/>
            <wp:effectExtent b="0" l="0" r="0" t="0"/>
            <wp:docPr id="8" name="image2.jpg"/>
            <a:graphic>
              <a:graphicData uri="http://schemas.openxmlformats.org/drawingml/2006/picture">
                <pic:pic>
                  <pic:nvPicPr>
                    <pic:cNvPr id="0" name="image2.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7D">
      <w:pPr>
        <w:spacing w:after="240" w:before="240" w:line="276" w:lineRule="auto"/>
        <w:jc w:val="both"/>
        <w:rPr/>
      </w:pPr>
      <w:r w:rsidDel="00000000" w:rsidR="00000000" w:rsidRPr="00000000">
        <w:rPr>
          <w:rtl w:val="0"/>
        </w:rPr>
      </w:r>
    </w:p>
    <w:p w:rsidR="00000000" w:rsidDel="00000000" w:rsidP="00000000" w:rsidRDefault="00000000" w:rsidRPr="00000000" w14:paraId="0000017E">
      <w:pPr>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0">
      <w:pPr>
        <w:pageBreakBefore w:val="0"/>
        <w:jc w:val="both"/>
        <w:rPr>
          <w:b w:val="1"/>
          <w:bCs w:val="1"/>
        </w:rPr>
      </w:pPr>
      <w:r w:rsidDel="00000000" w:rsidR="00000000" w:rsidRPr="00000000">
        <w:rPr>
          <w:b w:val="1"/>
          <w:bCs w:val="1"/>
          <w:rtl w:val="0"/>
        </w:rPr>
        <w:t xml:space="preserve">4.4 Sensitivity Analysis Results and Interpretation</w:t>
      </w:r>
    </w:p>
    <w:p w:rsidR="00000000" w:rsidDel="00000000" w:rsidP="00000000" w:rsidRDefault="00000000" w:rsidRPr="00000000" w14:paraId="00000181">
      <w:pPr>
        <w:pageBreakBefore w:val="0"/>
        <w:jc w:val="both"/>
        <w:rPr/>
      </w:pPr>
      <w:r w:rsidDel="00000000" w:rsidR="00000000" w:rsidRPr="00000000">
        <w:rPr>
          <w:rtl w:val="0"/>
        </w:rPr>
        <w:t xml:space="preserve">We examine Senegal's ECI Decremental and Incremental Sensitivity Charts for 2022. An increase in Textile will lead to the highest change in ECI. The moderate and high sensitivity effects of manipulating the Precious Stones and Textile categories are inconsistent with the previous analysis. For the negative shock cases, Weapons is the most important, followed by Machinery and Construction and again Precious Stones. The rest of the industries do not appear to have the same level of sensitivity. This suggests that in economic downturns, Senegal should invest in Precious Stones to avoid additional decreases in ECI.</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drawing>
          <wp:inline distB="114300" distT="114300" distL="114300" distR="114300">
            <wp:extent cx="5731200" cy="40894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Senegal (2022)</w:t>
      </w:r>
    </w:p>
    <w:p w:rsidR="00000000" w:rsidDel="00000000" w:rsidP="00000000" w:rsidRDefault="00000000" w:rsidRPr="00000000" w14:paraId="00000185">
      <w:pPr>
        <w:jc w:val="center"/>
        <w:rPr>
          <w:sz w:val="22"/>
          <w:szCs w:val="22"/>
        </w:rPr>
      </w:pPr>
      <w:r w:rsidDel="00000000" w:rsidR="00000000" w:rsidRPr="00000000">
        <w:rPr>
          <w:sz w:val="22"/>
          <w:szCs w:val="22"/>
        </w:rPr>
        <w:drawing>
          <wp:inline distB="114300" distT="114300" distL="114300" distR="114300">
            <wp:extent cx="5731200" cy="4089400"/>
            <wp:effectExtent b="0" l="0" r="0" t="0"/>
            <wp:docPr id="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pPr>
      <w:r w:rsidDel="00000000" w:rsidR="00000000" w:rsidRPr="00000000">
        <w:rPr>
          <w:sz w:val="22"/>
          <w:szCs w:val="22"/>
          <w:rtl w:val="0"/>
        </w:rPr>
        <w:t xml:space="preserve">Figure 6b. Incremental ECI Sensitivity for Senegal (2022)</w:t>
      </w: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jc w:val="both"/>
        <w:rPr>
          <w:b w:val="1"/>
          <w:bCs w:val="1"/>
        </w:rPr>
      </w:pPr>
      <w:r w:rsidDel="00000000" w:rsidR="00000000" w:rsidRPr="00000000">
        <w:rPr>
          <w:rtl w:val="0"/>
        </w:rPr>
      </w:r>
    </w:p>
    <w:p w:rsidR="00000000" w:rsidDel="00000000" w:rsidP="00000000" w:rsidRDefault="00000000" w:rsidRPr="00000000" w14:paraId="0000019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A2">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A5">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A6">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8">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9">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A">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B">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C">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D">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AE">
      <w:pPr>
        <w:pageBreakBefore w:val="0"/>
        <w:jc w:val="left"/>
        <w:rPr/>
      </w:pPr>
      <w:r w:rsidDel="00000000" w:rsidR="00000000" w:rsidRPr="00000000">
        <w:rPr>
          <w:rtl w:val="0"/>
        </w:rPr>
      </w:r>
    </w:p>
    <w:p w:rsidR="00000000" w:rsidDel="00000000" w:rsidP="00000000" w:rsidRDefault="00000000" w:rsidRPr="00000000" w14:paraId="000001AF">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B0">
      <w:pPr>
        <w:pageBreakBefore w:val="0"/>
        <w:jc w:val="both"/>
        <w:rPr/>
      </w:pPr>
      <w:r w:rsidDel="00000000" w:rsidR="00000000" w:rsidRPr="00000000">
        <w:rPr>
          <w:rtl w:val="0"/>
        </w:rPr>
      </w:r>
    </w:p>
    <w:p w:rsidR="00000000" w:rsidDel="00000000" w:rsidP="00000000" w:rsidRDefault="00000000" w:rsidRPr="00000000" w14:paraId="000001B1">
      <w:pPr>
        <w:pageBreakBefore w:val="0"/>
        <w:jc w:val="both"/>
        <w:rPr>
          <w:b w:val="1"/>
          <w:bCs w:val="1"/>
        </w:rPr>
      </w:pPr>
      <w:r w:rsidDel="00000000" w:rsidR="00000000" w:rsidRPr="00000000">
        <w:rPr>
          <w:b w:val="1"/>
          <w:bCs w:val="1"/>
          <w:rtl w:val="0"/>
        </w:rPr>
        <w:t xml:space="preserve">5.2 SOI of Senegal and Its Implications</w:t>
      </w:r>
    </w:p>
    <w:p w:rsidR="00000000" w:rsidDel="00000000" w:rsidP="00000000" w:rsidRDefault="00000000" w:rsidRPr="00000000" w14:paraId="000001B2">
      <w:pPr>
        <w:pageBreakBefore w:val="0"/>
        <w:jc w:val="both"/>
        <w:rPr/>
      </w:pPr>
      <w:r w:rsidDel="00000000" w:rsidR="00000000" w:rsidRPr="00000000">
        <w:rPr>
          <w:rtl w:val="0"/>
        </w:rPr>
        <w:t xml:space="preserve">During the first examined period, Senegal, for instance, had a low level of structural optimality as compared with its developed peers. As the regression in Figure 10 suggests (the red curve represents export increase and the blue curve stands for opportunity gain of the corresponding industry), Senegal demonstrates a low level of correlation with the suggested developmental path, having an adjusted R-square of around 6.5%. </w:t>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t xml:space="preserve">Senegal ranks above the median (52/152) among all countries in terms of SOI and has made a moderate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22%, which is consistent with the regression result in Figure 4b. Specifically, Senegal's slow economic progress from 2019-2022 can be at least partially explained by a development strategy that demonstrates a considerable but not perfect level of matches with our suggested developmental path. In specific, Senegal invested heavily in the Textile, High-complexity products, Services and Utilities industry, while it should have focused more on industry groups such as Precious Stones and Energy Drilling and Mining.</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drawing>
          <wp:inline distB="114300" distT="114300" distL="114300" distR="114300">
            <wp:extent cx="5731200" cy="2298700"/>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sz w:val="22"/>
          <w:szCs w:val="22"/>
        </w:rPr>
      </w:pPr>
      <w:r w:rsidDel="00000000" w:rsidR="00000000" w:rsidRPr="00000000">
        <w:rPr>
          <w:sz w:val="22"/>
          <w:szCs w:val="22"/>
          <w:rtl w:val="0"/>
        </w:rPr>
        <w:t xml:space="preserve">Figure 10. SOI of Senegal (2019-2022)</w:t>
      </w:r>
    </w:p>
    <w:p w:rsidR="00000000" w:rsidDel="00000000" w:rsidP="00000000" w:rsidRDefault="00000000" w:rsidRPr="00000000" w14:paraId="000001B8">
      <w:pPr>
        <w:jc w:val="center"/>
        <w:rPr>
          <w:sz w:val="22"/>
          <w:szCs w:val="22"/>
        </w:rPr>
      </w:pPr>
      <w:r w:rsidDel="00000000" w:rsidR="00000000" w:rsidRPr="00000000">
        <w:rPr>
          <w:rtl w:val="0"/>
        </w:rPr>
      </w:r>
    </w:p>
    <w:p w:rsidR="00000000" w:rsidDel="00000000" w:rsidP="00000000" w:rsidRDefault="00000000" w:rsidRPr="00000000" w14:paraId="000001B9">
      <w:pPr>
        <w:jc w:val="center"/>
        <w:rPr>
          <w:sz w:val="22"/>
          <w:szCs w:val="22"/>
        </w:rPr>
      </w:pPr>
      <w:r w:rsidDel="00000000" w:rsidR="00000000" w:rsidRPr="00000000">
        <w:rPr>
          <w:rtl w:val="0"/>
        </w:rPr>
      </w:r>
    </w:p>
    <w:p w:rsidR="00000000" w:rsidDel="00000000" w:rsidP="00000000" w:rsidRDefault="00000000" w:rsidRPr="00000000" w14:paraId="000001BA">
      <w:pPr>
        <w:pageBreakBefore w:val="0"/>
        <w:jc w:val="both"/>
        <w:rPr>
          <w:b w:val="1"/>
          <w:bCs w:val="1"/>
        </w:rPr>
      </w:pPr>
      <w:r w:rsidDel="00000000" w:rsidR="00000000" w:rsidRPr="00000000">
        <w:rPr>
          <w:rtl w:val="0"/>
        </w:rPr>
      </w:r>
    </w:p>
    <w:p w:rsidR="00000000" w:rsidDel="00000000" w:rsidP="00000000" w:rsidRDefault="00000000" w:rsidRPr="00000000" w14:paraId="000001BB">
      <w:pPr>
        <w:pageBreakBefore w:val="0"/>
        <w:jc w:val="both"/>
        <w:rPr>
          <w:b w:val="1"/>
          <w:bCs w:val="1"/>
        </w:rPr>
      </w:pPr>
      <w:r w:rsidDel="00000000" w:rsidR="00000000" w:rsidRPr="00000000">
        <w:rPr>
          <w:rtl w:val="0"/>
        </w:rPr>
      </w:r>
    </w:p>
    <w:p w:rsidR="00000000" w:rsidDel="00000000" w:rsidP="00000000" w:rsidRDefault="00000000" w:rsidRPr="00000000" w14:paraId="000001B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In conclusion, Senegal has demonstrated a moderate level of economic growth in terms of annual GDP increase during the period from 2019 to 2022, concurrent with an increase in economic complexity as compared with other emerging African developing economies. </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t xml:space="preserve">We believe that the mixed progress during this period can be partially explained through the analysis of the economic and product complexity structure of Senegal on the industry group level. The product classification system we adopt allows us to measure the realized industry development for various industry groups and to observe that Senegal regressed in developing most of its industries during the period. Despite exceeding Burkina Faso and Nigeria in its average annual GDP, Senegal’s average annual GDP is much lower than that of Ethiopia, which indicates that there is further potential to target specific industries.</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t xml:space="preserve">Based on our analysis of the opportunity gain and sensitivity analysis of major industry groups for 2019-2022, Senegal can further its gains by prioritizing Precious Stones and Energy Drilling and Mining. We further note that Senegal has a heavily mismatched development strategy that indicates a low level (compared to other developed countries) of structural optimality on the complexity level, having an adjusted R-square of around 6.5%. Since a low correlation exists between five-year GDP growth and the structural optimality index of an economy as we define and calculate, Senegal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We infer that during the  COVID-19 period, Senegal focused on maintaining higher complexity industries despite a lower demand for these industries given the global economic downturn. With the revised focus, Senegal has further potential to advance its economic growth to maintain its position among other countries to continue its ongoing economic expansion.</w:t>
      </w:r>
    </w:p>
    <w:p w:rsidR="00000000" w:rsidDel="00000000" w:rsidP="00000000" w:rsidRDefault="00000000" w:rsidRPr="00000000" w14:paraId="000001C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r>
    </w:p>
    <w:p w:rsidR="00000000" w:rsidDel="00000000" w:rsidP="00000000" w:rsidRDefault="00000000" w:rsidRPr="00000000" w14:paraId="000001C8">
      <w:pPr>
        <w:pageBreakBefore w:val="0"/>
        <w:jc w:val="both"/>
        <w:rPr/>
      </w:pPr>
      <w:r w:rsidDel="00000000" w:rsidR="00000000" w:rsidRPr="00000000">
        <w:rPr>
          <w:rtl w:val="0"/>
        </w:rPr>
      </w:r>
    </w:p>
    <w:p w:rsidR="00000000" w:rsidDel="00000000" w:rsidP="00000000" w:rsidRDefault="00000000" w:rsidRPr="00000000" w14:paraId="000001C9">
      <w:pPr>
        <w:pageBreakBefore w:val="0"/>
        <w:jc w:val="both"/>
        <w:rPr/>
      </w:pPr>
      <w:r w:rsidDel="00000000" w:rsidR="00000000" w:rsidRPr="00000000">
        <w:rPr>
          <w:rtl w:val="0"/>
        </w:rPr>
      </w:r>
    </w:p>
    <w:p w:rsidR="00000000" w:rsidDel="00000000" w:rsidP="00000000" w:rsidRDefault="00000000" w:rsidRPr="00000000" w14:paraId="000001CA">
      <w:pPr>
        <w:pageBreakBefore w:val="0"/>
        <w:jc w:val="both"/>
        <w:rPr/>
      </w:pPr>
      <w:r w:rsidDel="00000000" w:rsidR="00000000" w:rsidRPr="00000000">
        <w:rPr>
          <w:rtl w:val="0"/>
        </w:rPr>
      </w:r>
    </w:p>
    <w:p w:rsidR="00000000" w:rsidDel="00000000" w:rsidP="00000000" w:rsidRDefault="00000000" w:rsidRPr="00000000" w14:paraId="000001CB">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C">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E">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C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0">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D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2">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D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4">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D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6">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D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8">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D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A">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D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C">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DD">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eader" Target="header1.xml"/><Relationship Id="rId21" Type="http://schemas.openxmlformats.org/officeDocument/2006/relationships/image" Target="media/image10.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5.jp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2.jpg"/><Relationship Id="rId16" Type="http://schemas.openxmlformats.org/officeDocument/2006/relationships/image" Target="media/image8.png"/><Relationship Id="rId19" Type="http://schemas.openxmlformats.org/officeDocument/2006/relationships/image" Target="media/image1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