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440" w:top="1440" w:left="1440" w:right="1440" w:header="720" w:footer="720"/>
          <w:pgNumType w:start="1"/>
        </w:sectPr>
      </w:pPr>
      <w:bookmarkStart w:colFirst="0" w:colLast="0" w:name="_plj028bsrb6"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288" w:lineRule="auto"/>
        <w:rPr>
          <w:b w:val="0"/>
          <w:bCs w:val="0"/>
          <w:i w:val="1"/>
          <w:iCs w:val="1"/>
          <w:color w:val="444499"/>
          <w:sz w:val="20"/>
          <w:szCs w:val="20"/>
        </w:rPr>
      </w:pPr>
      <w:bookmarkStart w:colFirst="0" w:colLast="0" w:name="_z6ne0og04bp5" w:id="1"/>
      <w:bookmarkEnd w:id="1"/>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6"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8" name="image12.png"/>
            <a:graphic>
              <a:graphicData uri="http://schemas.openxmlformats.org/drawingml/2006/picture">
                <pic:pic>
                  <pic:nvPicPr>
                    <pic:cNvPr id="0" name="image1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4">
      <w:pPr>
        <w:pStyle w:val="Title"/>
        <w:spacing w:before="320" w:lineRule="auto"/>
        <w:rPr>
          <w:rFonts w:ascii="PT Sans Narrow" w:cs="PT Sans Narrow" w:eastAsia="PT Sans Narrow" w:hAnsi="PT Sans Narrow"/>
          <w:b w:val="1"/>
          <w:bCs w:val="1"/>
          <w:color w:val="666666"/>
          <w:sz w:val="60"/>
          <w:szCs w:val="60"/>
        </w:rPr>
      </w:pPr>
      <w:bookmarkStart w:colFirst="0" w:colLast="0" w:name="_2gazcsgmxkub" w:id="2"/>
      <w:bookmarkEnd w:id="2"/>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5">
      <w:pPr>
        <w:pStyle w:val="Title"/>
        <w:spacing w:before="320" w:lineRule="auto"/>
        <w:rPr>
          <w:rFonts w:ascii="PT Sans Narrow" w:cs="PT Sans Narrow" w:eastAsia="PT Sans Narrow" w:hAnsi="PT Sans Narrow"/>
          <w:b w:val="1"/>
          <w:bCs w:val="1"/>
          <w:sz w:val="60"/>
          <w:szCs w:val="60"/>
        </w:rPr>
      </w:pPr>
      <w:bookmarkStart w:colFirst="0" w:colLast="0" w:name="_q5cok54tx0k8" w:id="3"/>
      <w:bookmarkEnd w:id="3"/>
      <w:r w:rsidDel="00000000" w:rsidR="00000000" w:rsidRPr="00000000">
        <w:rPr>
          <w:rFonts w:ascii="PT Sans Narrow" w:cs="PT Sans Narrow" w:eastAsia="PT Sans Narrow" w:hAnsi="PT Sans Narrow"/>
          <w:b w:val="1"/>
          <w:bCs w:val="1"/>
          <w:sz w:val="60"/>
          <w:szCs w:val="60"/>
          <w:rtl w:val="0"/>
        </w:rPr>
        <w:t xml:space="preserve">Spain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8">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9">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Spain</w:t>
      </w: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this report, we aim to uncover the economic path </w:t>
      </w:r>
      <w:r w:rsidDel="00000000" w:rsidR="00000000" w:rsidRPr="00000000">
        <w:rPr>
          <w:rtl w:val="0"/>
        </w:rPr>
        <w:t xml:space="preserve">Spain</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Spain</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Spain</w:t>
      </w:r>
      <w:r w:rsidDel="00000000" w:rsidR="00000000" w:rsidRPr="00000000">
        <w:rPr>
          <w:rtl w:val="0"/>
        </w:rPr>
        <w:t xml:space="preserve"> demonstrated a </w:t>
      </w:r>
      <w:r w:rsidDel="00000000" w:rsidR="00000000" w:rsidRPr="00000000">
        <w:rPr>
          <w:rtl w:val="0"/>
        </w:rPr>
        <w:t xml:space="preserve">moderate</w:t>
      </w:r>
      <w:r w:rsidDel="00000000" w:rsidR="00000000" w:rsidRPr="00000000">
        <w:rPr>
          <w:rtl w:val="0"/>
        </w:rPr>
        <w:t xml:space="preserve"> level of economic growth with an average annual GDP growth rate of 1.68% between 2019 and 2022,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Spain</w:t>
      </w:r>
      <w:r w:rsidDel="00000000" w:rsidR="00000000" w:rsidRPr="00000000">
        <w:rPr>
          <w:rtl w:val="0"/>
        </w:rPr>
        <w:t xml:space="preserve"> on the industry group level, as well as the improved macro and microeconomic strategies in a recovering economic environment from the pandemic. The product classification system we adopt allows us to measure the realized industry development for various industry groups and to observe that </w:t>
      </w:r>
      <w:r w:rsidDel="00000000" w:rsidR="00000000" w:rsidRPr="00000000">
        <w:rPr>
          <w:rtl w:val="0"/>
        </w:rPr>
        <w:t xml:space="preserve">Spain</w:t>
      </w:r>
      <w:r w:rsidDel="00000000" w:rsidR="00000000" w:rsidRPr="00000000">
        <w:rPr>
          <w:rtl w:val="0"/>
        </w:rPr>
        <w:t xml:space="preserve"> remained constant or regressed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Spain</w:t>
      </w:r>
      <w:r w:rsidDel="00000000" w:rsidR="00000000" w:rsidRPr="00000000">
        <w:rPr>
          <w:rtl w:val="0"/>
        </w:rPr>
        <w:t xml:space="preserve"> could further its gains by prioritizing Machinery and Construction, Wood Products, and Textiles in 2018. Three years later, in 2021, its focus should shift to the Precious Stones and Raw Manufacturing industries, which are also one of the more developed industries at the time. We further note that </w:t>
      </w:r>
      <w:r w:rsidDel="00000000" w:rsidR="00000000" w:rsidRPr="00000000">
        <w:rPr>
          <w:rtl w:val="0"/>
        </w:rPr>
        <w:t xml:space="preserve">Spain</w:t>
      </w:r>
      <w:r w:rsidDel="00000000" w:rsidR="00000000" w:rsidRPr="00000000">
        <w:rPr>
          <w:rtl w:val="0"/>
        </w:rPr>
        <w:t xml:space="preserve"> has a heavily mismatched development strategy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0.004% </w:t>
      </w:r>
      <w:r w:rsidDel="00000000" w:rsidR="00000000" w:rsidRPr="00000000">
        <w:rPr>
          <w:rtl w:val="0"/>
        </w:rPr>
        <w:t xml:space="preserve">in 2018 and a much higher score of 0.499 in 2021, demonstrating </w:t>
      </w:r>
      <w:r w:rsidDel="00000000" w:rsidR="00000000" w:rsidRPr="00000000">
        <w:rPr>
          <w:rtl w:val="0"/>
        </w:rPr>
        <w:t xml:space="preserve">shift and improvement</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Spain</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between 2019 and 2022 showed a significant improvement in </w:t>
      </w:r>
      <w:r w:rsidDel="00000000" w:rsidR="00000000" w:rsidRPr="00000000">
        <w:rPr>
          <w:rtl w:val="0"/>
        </w:rPr>
        <w:t xml:space="preserve">Spain</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w:t>
      </w:r>
      <w:r w:rsidDel="00000000" w:rsidR="00000000" w:rsidRPr="00000000">
        <w:rPr>
          <w:rtl w:val="0"/>
        </w:rPr>
        <w:t xml:space="preserve">Spain</w:t>
      </w:r>
      <w:r w:rsidDel="00000000" w:rsidR="00000000" w:rsidRPr="00000000">
        <w:rPr>
          <w:rtl w:val="0"/>
        </w:rPr>
        <w:t xml:space="preserve"> went through during the period from 2019 to 2022, before and after the COVID pandemic, compared to its performance from 2013 to 2018, before and after Spain’s reform from the European sovereign debt crisis. Specifically, we dive into the topic through a macroeconomic overview of </w:t>
      </w:r>
      <w:r w:rsidDel="00000000" w:rsidR="00000000" w:rsidRPr="00000000">
        <w:rPr>
          <w:rtl w:val="0"/>
        </w:rPr>
        <w:t xml:space="preserve">Spain</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Spain</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Spain</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jc w:val="both"/>
        <w:rPr/>
      </w:pPr>
      <w:r w:rsidDel="00000000" w:rsidR="00000000" w:rsidRPr="00000000">
        <w:rPr>
          <w:rtl w:val="0"/>
        </w:rPr>
        <w:t xml:space="preserve">Figure 1 illustrates the time-series GDP results for </w:t>
      </w:r>
      <w:r w:rsidDel="00000000" w:rsidR="00000000" w:rsidRPr="00000000">
        <w:rPr>
          <w:rtl w:val="0"/>
        </w:rPr>
        <w:t xml:space="preserve">Spain</w:t>
      </w:r>
      <w:r w:rsidDel="00000000" w:rsidR="00000000" w:rsidRPr="00000000">
        <w:rPr>
          <w:rtl w:val="0"/>
        </w:rPr>
        <w:t xml:space="preserve"> and three of its peer countries (Germany, Italy, and Austria) from 2020 to 2022. Similar to the other countries, </w:t>
      </w:r>
      <w:r w:rsidDel="00000000" w:rsidR="00000000" w:rsidRPr="00000000">
        <w:rPr>
          <w:rtl w:val="0"/>
        </w:rPr>
        <w:t xml:space="preserve">Spain </w:t>
      </w:r>
      <w:r w:rsidDel="00000000" w:rsidR="00000000" w:rsidRPr="00000000">
        <w:rPr>
          <w:rtl w:val="0"/>
        </w:rPr>
        <w:t xml:space="preserve">displayed an eventual upward trend over the period; however, its growth was more consistent than both Germany and Italy’s growth. </w:t>
      </w:r>
      <w:r w:rsidDel="00000000" w:rsidR="00000000" w:rsidRPr="00000000">
        <w:rPr>
          <w:rtl w:val="0"/>
        </w:rPr>
        <w:t xml:space="preserve">Spain</w:t>
      </w:r>
      <w:r w:rsidDel="00000000" w:rsidR="00000000" w:rsidRPr="00000000">
        <w:rPr>
          <w:rtl w:val="0"/>
        </w:rPr>
        <w:t xml:space="preserve">’s average annual GDP growth rate (1.68%) is in the lower end, as it is less than Spain, Italy, and Austria with growth rates of 3.21%, 2.1%, and 2.82%, respectively.</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Similar to the other countries, </w:t>
      </w:r>
      <w:r w:rsidDel="00000000" w:rsidR="00000000" w:rsidRPr="00000000">
        <w:rPr>
          <w:rtl w:val="0"/>
        </w:rPr>
        <w:t xml:space="preserve">Spain</w:t>
      </w:r>
      <w:r w:rsidDel="00000000" w:rsidR="00000000" w:rsidRPr="00000000">
        <w:rPr>
          <w:rtl w:val="0"/>
        </w:rPr>
        <w:t xml:space="preserve"> displayed a drop in GDP during 2019 and 2020 because of the pandemic, with all GDPs rebounding in 2021. Over these three years, </w:t>
      </w:r>
      <w:r w:rsidDel="00000000" w:rsidR="00000000" w:rsidRPr="00000000">
        <w:rPr>
          <w:rtl w:val="0"/>
        </w:rPr>
        <w:t xml:space="preserve">Spain</w:t>
      </w:r>
      <w:r w:rsidDel="00000000" w:rsidR="00000000" w:rsidRPr="00000000">
        <w:rPr>
          <w:rtl w:val="0"/>
        </w:rPr>
        <w:t xml:space="preserve">’s average annual GDP growth rate (0.75%) is on par with the growth rates of its peer countries. It is notable that the GDP levels in </w:t>
      </w:r>
      <w:r w:rsidDel="00000000" w:rsidR="00000000" w:rsidRPr="00000000">
        <w:rPr>
          <w:rtl w:val="0"/>
        </w:rPr>
        <w:t xml:space="preserve">Spain</w:t>
      </w:r>
      <w:r w:rsidDel="00000000" w:rsidR="00000000" w:rsidRPr="00000000">
        <w:rPr>
          <w:rtl w:val="0"/>
        </w:rPr>
        <w:t xml:space="preserve"> and Austria almost evened out after 2018.</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4614863" cy="3457314"/>
            <wp:effectExtent b="0" l="0" r="0" t="0"/>
            <wp:docPr id="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614863" cy="345731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 1. GDP Comparison Among Peer Countries (2010-2022)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 As shown, </w:t>
      </w:r>
      <w:r w:rsidDel="00000000" w:rsidR="00000000" w:rsidRPr="00000000">
        <w:rPr>
          <w:rtl w:val="0"/>
        </w:rPr>
        <w:t xml:space="preserve">Spain</w:t>
      </w:r>
      <w:r w:rsidDel="00000000" w:rsidR="00000000" w:rsidRPr="00000000">
        <w:rPr>
          <w:rtl w:val="0"/>
        </w:rPr>
        <w:t xml:space="preserve"> exhibits a</w:t>
      </w:r>
      <w:r w:rsidDel="00000000" w:rsidR="00000000" w:rsidRPr="00000000">
        <w:rPr>
          <w:rtl w:val="0"/>
        </w:rPr>
        <w:t xml:space="preserve"> </w:t>
      </w:r>
      <w:r w:rsidDel="00000000" w:rsidR="00000000" w:rsidRPr="00000000">
        <w:rPr>
          <w:rtl w:val="0"/>
        </w:rPr>
        <w:t xml:space="preserve">small increase in production capability from 2013 to 2022. </w:t>
      </w:r>
      <w:r w:rsidDel="00000000" w:rsidR="00000000" w:rsidRPr="00000000">
        <w:rPr>
          <w:rtl w:val="0"/>
        </w:rPr>
        <w:t xml:space="preserve">Spain</w:t>
      </w:r>
      <w:r w:rsidDel="00000000" w:rsidR="00000000" w:rsidRPr="00000000">
        <w:rPr>
          <w:rtl w:val="0"/>
        </w:rPr>
        <w:t xml:space="preserve"> is in a poor position in ECI terms, as its ECI change of -201.59% is less than both</w:t>
      </w:r>
      <w:r w:rsidDel="00000000" w:rsidR="00000000" w:rsidRPr="00000000">
        <w:rPr>
          <w:rtl w:val="0"/>
        </w:rPr>
        <w:t xml:space="preserve"> </w:t>
      </w:r>
      <w:r w:rsidDel="00000000" w:rsidR="00000000" w:rsidRPr="00000000">
        <w:rPr>
          <w:rtl w:val="0"/>
        </w:rPr>
        <w:t xml:space="preserve">Germany (-176.26%) and</w:t>
      </w:r>
      <w:r w:rsidDel="00000000" w:rsidR="00000000" w:rsidRPr="00000000">
        <w:rPr>
          <w:rtl w:val="0"/>
        </w:rPr>
        <w:t xml:space="preserve"> </w:t>
      </w:r>
      <w:r w:rsidDel="00000000" w:rsidR="00000000" w:rsidRPr="00000000">
        <w:rPr>
          <w:rtl w:val="0"/>
        </w:rPr>
        <w:t xml:space="preserve">Italy (-163.05%).</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Spain</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extensive microeconomic stimulus packages]</w:t>
      </w:r>
      <w:r w:rsidDel="00000000" w:rsidR="00000000" w:rsidRPr="00000000">
        <w:rPr>
          <w:rtl w:val="0"/>
        </w:rPr>
        <w:t xml:space="preserve"> being one of the reasons. </w:t>
      </w:r>
    </w:p>
    <w:p w:rsidR="00000000" w:rsidDel="00000000" w:rsidP="00000000" w:rsidRDefault="00000000" w:rsidRPr="00000000" w14:paraId="00000028">
      <w:pPr>
        <w:jc w:val="center"/>
        <w:rPr/>
      </w:pPr>
      <w:r w:rsidDel="00000000" w:rsidR="00000000" w:rsidRPr="00000000">
        <w:rPr>
          <w:rtl w:val="0"/>
        </w:rPr>
        <w:t xml:space="preserve">   </w:t>
      </w:r>
      <w:r w:rsidDel="00000000" w:rsidR="00000000" w:rsidRPr="00000000">
        <w:rPr/>
        <w:drawing>
          <wp:inline distB="114300" distT="114300" distL="114300" distR="114300">
            <wp:extent cx="5237325" cy="3930507"/>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237325" cy="393050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Figure 3 offers a further comparison of GDP Growth and ECI over the time span from 2013 to 2021 for </w:t>
      </w:r>
      <w:r w:rsidDel="00000000" w:rsidR="00000000" w:rsidRPr="00000000">
        <w:rPr>
          <w:rtl w:val="0"/>
        </w:rPr>
        <w:t xml:space="preserve">Spain</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2022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Spain</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Spain</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Spain</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5129161" cy="3833813"/>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29161"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Spain</w:t>
      </w:r>
      <w:r w:rsidDel="00000000" w:rsidR="00000000" w:rsidRPr="00000000">
        <w:rPr>
          <w:sz w:val="22"/>
          <w:szCs w:val="22"/>
          <w:rtl w:val="0"/>
        </w:rPr>
        <w:t xml:space="preserve"> (right: 2019-2021)</w:t>
      </w: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rtl w:val="0"/>
        </w:rPr>
      </w:r>
    </w:p>
    <w:p w:rsidR="00000000" w:rsidDel="00000000" w:rsidP="00000000" w:rsidRDefault="00000000" w:rsidRPr="00000000" w14:paraId="00000030">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2">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4">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7">
      <w:pPr>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8">
            <w:pPr>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9">
            <w:pPr>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8">
            <w:pPr>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4">
            <w:pPr>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E">
      <w:pPr>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9">
            <w:pPr>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A">
            <w:pPr>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B">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D">
            <w:pPr>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F">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jc w:val="center"/>
              <w:rPr/>
            </w:pPr>
            <w:r w:rsidDel="00000000" w:rsidR="00000000" w:rsidRPr="00000000">
              <w:rPr>
                <w:rtl w:val="0"/>
              </w:rPr>
            </w:r>
          </w:p>
        </w:tc>
        <w:tc>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A">
            <w:pPr>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B">
            <w:pPr>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C">
            <w:pPr>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D">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F">
            <w:pPr>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0">
            <w:pPr>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1">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4">
            <w:pPr>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6">
      <w:pPr>
        <w:jc w:val="center"/>
        <w:rPr>
          <w:sz w:val="22"/>
          <w:szCs w:val="22"/>
        </w:rPr>
      </w:pPr>
      <w:r w:rsidDel="00000000" w:rsidR="00000000" w:rsidRPr="00000000">
        <w:rPr>
          <w:rtl w:val="0"/>
        </w:rPr>
      </w:r>
    </w:p>
    <w:p w:rsidR="00000000" w:rsidDel="00000000" w:rsidP="00000000" w:rsidRDefault="00000000" w:rsidRPr="00000000" w14:paraId="00000087">
      <w:pPr>
        <w:jc w:val="both"/>
        <w:rPr>
          <w:b w:val="1"/>
          <w:bCs w:val="1"/>
        </w:rPr>
      </w:pP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9">
      <w:pPr>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Spain'</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Spain</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decreased from 2018 to 2022.</w:t>
      </w:r>
    </w:p>
    <w:p w:rsidR="00000000" w:rsidDel="00000000" w:rsidP="00000000" w:rsidRDefault="00000000" w:rsidRPr="00000000" w14:paraId="0000008A">
      <w:pPr>
        <w:jc w:val="center"/>
        <w:rPr>
          <w:b w:val="1"/>
          <w:bCs w:val="1"/>
        </w:rPr>
      </w:pPr>
      <w:r w:rsidDel="00000000" w:rsidR="00000000" w:rsidRPr="00000000">
        <w:rPr>
          <w:rtl w:val="0"/>
        </w:rPr>
      </w:r>
    </w:p>
    <w:p w:rsidR="00000000" w:rsidDel="00000000" w:rsidP="00000000" w:rsidRDefault="00000000" w:rsidRPr="00000000" w14:paraId="0000008B">
      <w:pPr>
        <w:jc w:val="center"/>
        <w:rPr>
          <w:b w:val="1"/>
          <w:bCs w:val="1"/>
        </w:rPr>
      </w:pPr>
      <w:r w:rsidDel="00000000" w:rsidR="00000000" w:rsidRPr="00000000">
        <w:rPr>
          <w:b w:val="1"/>
          <w:bCs w:val="1"/>
        </w:rPr>
        <w:drawing>
          <wp:inline distB="114300" distT="114300" distL="114300" distR="114300">
            <wp:extent cx="2718222" cy="3186113"/>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18222"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b w:val="1"/>
          <w:bCs w:val="1"/>
        </w:rPr>
      </w:pPr>
      <w:r w:rsidDel="00000000" w:rsidR="00000000" w:rsidRPr="00000000">
        <w:rPr>
          <w:rtl w:val="0"/>
        </w:rPr>
        <w:t xml:space="preserve">Table 3. Realized Industry Development (RID) of Spain</w:t>
      </w:r>
      <w:r w:rsidDel="00000000" w:rsidR="00000000" w:rsidRPr="00000000">
        <w:br w:type="page"/>
      </w: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E">
      <w:pPr>
        <w:jc w:val="both"/>
        <w:rPr>
          <w:sz w:val="22"/>
          <w:szCs w:val="22"/>
        </w:rPr>
      </w:pPr>
      <w:r w:rsidDel="00000000" w:rsidR="00000000" w:rsidRPr="00000000">
        <w:rPr>
          <w:rtl w:val="0"/>
        </w:rPr>
        <w:t xml:space="preserve">Table 4a below summarizes how the production strategy adopted by Paraguay compares with selected leading economies in the world across different years, as measured in RID. Leading economies such as Bolivia, Peru, and Uruguay gave a considerable level of attention to more advanced product groups. </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114300" distT="114300" distL="114300" distR="114300">
            <wp:extent cx="5731200" cy="2984500"/>
            <wp:effectExtent b="0" l="0" r="0" t="0"/>
            <wp:docPr id="8" name="image18.png"/>
            <a:graphic>
              <a:graphicData uri="http://schemas.openxmlformats.org/drawingml/2006/picture">
                <pic:pic>
                  <pic:nvPicPr>
                    <pic:cNvPr id="0" name="image18.png"/>
                    <pic:cNvPicPr preferRelativeResize="0"/>
                  </pic:nvPicPr>
                  <pic:blipFill>
                    <a:blip r:embed="rId12"/>
                    <a:srcRect b="4118" l="0" r="0" t="3824"/>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center"/>
        <w:rPr>
          <w:b w:val="1"/>
          <w:bCs w:val="1"/>
        </w:rPr>
      </w:pPr>
      <w:r w:rsidDel="00000000" w:rsidR="00000000" w:rsidRPr="00000000">
        <w:rPr>
          <w:rtl w:val="0"/>
        </w:rPr>
      </w:r>
    </w:p>
    <w:p w:rsidR="00000000" w:rsidDel="00000000" w:rsidP="00000000" w:rsidRDefault="00000000" w:rsidRPr="00000000" w14:paraId="00000093">
      <w:pPr>
        <w:jc w:val="center"/>
        <w:rPr>
          <w:sz w:val="22"/>
          <w:szCs w:val="22"/>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8">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9">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9B">
      <w:pPr>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w:t>
      </w:r>
      <w:r w:rsidDel="00000000" w:rsidR="00000000" w:rsidRPr="00000000">
        <w:rPr>
          <w:rtl w:val="0"/>
        </w:rPr>
        <w:t xml:space="preserve">decrement</w:t>
      </w:r>
      <w:r w:rsidDel="00000000" w:rsidR="00000000" w:rsidRPr="00000000">
        <w:rPr>
          <w:rtl w:val="0"/>
        </w:rPr>
        <w:t xml:space="preserve">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sz w:val="22"/>
          <w:szCs w:val="22"/>
        </w:rPr>
      </w:pPr>
      <w:r w:rsidDel="00000000" w:rsidR="00000000" w:rsidRPr="00000000">
        <w:rPr>
          <w:sz w:val="22"/>
          <w:szCs w:val="22"/>
          <w:rtl w:val="0"/>
        </w:rPr>
        <w:t xml:space="preserve">Table 5. Opportunity Gain Ranking on a Comparable Scale (2022)</w:t>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We define the ranking of opportunity gain for a country c, as the Suggested Development Vector (SDV) of c. Table 5 summarizes how the SDV of Paraguay compares with a selected group of comparable and leading economies in the world, with the industry groups ranked in decreasing order of significance. </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Chemicals and Mining industries. It can be concluded that Paraguay shares the characteristics of developing countries, with a balanced economic structure that leans towards developing-level industries.</w:t>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both"/>
        <w:rPr>
          <w:sz w:val="22"/>
          <w:szCs w:val="22"/>
        </w:rPr>
      </w:pPr>
      <w:r w:rsidDel="00000000" w:rsidR="00000000" w:rsidRPr="00000000">
        <w:rPr/>
        <w:drawing>
          <wp:inline distB="114300" distT="114300" distL="114300" distR="114300">
            <wp:extent cx="5731200" cy="2273300"/>
            <wp:effectExtent b="0" l="0" r="0" t="0"/>
            <wp:docPr id="4"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6">
      <w:pPr>
        <w:jc w:val="center"/>
        <w:rPr>
          <w:sz w:val="22"/>
          <w:szCs w:val="22"/>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center"/>
        <w:rPr>
          <w:i w:val="1"/>
          <w:iCs w:val="1"/>
          <w:color w:val="444499"/>
          <w:sz w:val="20"/>
          <w:szCs w:val="20"/>
        </w:rPr>
      </w:pPr>
      <w:r w:rsidDel="00000000" w:rsidR="00000000" w:rsidRPr="00000000">
        <w:rPr/>
        <w:drawing>
          <wp:inline distB="114300" distT="114300" distL="114300" distR="114300">
            <wp:extent cx="2528888" cy="1141284"/>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AE">
      <w:pPr>
        <w:jc w:val="both"/>
        <w:rPr/>
      </w:pPr>
      <w:r w:rsidDel="00000000" w:rsidR="00000000" w:rsidRPr="00000000">
        <w:rPr>
          <w:rtl w:val="0"/>
        </w:rPr>
        <w:t xml:space="preserve"> </w:t>
      </w:r>
    </w:p>
    <w:p w:rsidR="00000000" w:rsidDel="00000000" w:rsidP="00000000" w:rsidRDefault="00000000" w:rsidRPr="00000000" w14:paraId="000000AF">
      <w:pPr>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0">
      <w:pPr>
        <w:jc w:val="both"/>
        <w:rPr/>
      </w:pPr>
      <w:r w:rsidDel="00000000" w:rsidR="00000000" w:rsidRPr="00000000">
        <w:rPr>
          <w:rtl w:val="0"/>
        </w:rPr>
        <w:t xml:space="preserve"> </w:t>
      </w:r>
    </w:p>
    <w:p w:rsidR="00000000" w:rsidDel="00000000" w:rsidP="00000000" w:rsidRDefault="00000000" w:rsidRPr="00000000" w14:paraId="000000B1">
      <w:pPr>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2">
      <w:pPr>
        <w:jc w:val="center"/>
        <w:rPr>
          <w:i w:val="1"/>
          <w:iCs w:val="1"/>
          <w:color w:val="444499"/>
          <w:sz w:val="20"/>
          <w:szCs w:val="20"/>
        </w:rPr>
      </w:pPr>
      <w:r w:rsidDel="00000000" w:rsidR="00000000" w:rsidRPr="00000000">
        <w:rPr/>
        <w:drawing>
          <wp:inline distB="114300" distT="114300" distL="114300" distR="114300">
            <wp:extent cx="2138363" cy="71863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BA">
      <w:pPr>
        <w:jc w:val="both"/>
        <w:rPr>
          <w:rFonts w:ascii="Times" w:cs="Times" w:eastAsia="Times" w:hAnsi="Times"/>
          <w:b w:val="1"/>
          <w:bCs w:val="1"/>
          <w:sz w:val="28"/>
          <w:szCs w:val="28"/>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b w:val="1"/>
          <w:bCs w:val="1"/>
        </w:rPr>
      </w:pP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rtl w:val="0"/>
        </w:rPr>
      </w:r>
    </w:p>
    <w:p w:rsidR="00000000" w:rsidDel="00000000" w:rsidP="00000000" w:rsidRDefault="00000000" w:rsidRPr="00000000" w14:paraId="000000B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0">
      <w:pPr>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1">
      <w:pPr>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8">
      <w:pPr>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Figures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Spain</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Spain</w:t>
      </w:r>
      <w:r w:rsidDel="00000000" w:rsidR="00000000" w:rsidRPr="00000000">
        <w:rPr>
          <w:rtl w:val="0"/>
        </w:rPr>
        <w:t xml:space="preserve"> actually have different increments.</w:t>
      </w:r>
    </w:p>
    <w:p w:rsidR="00000000" w:rsidDel="00000000" w:rsidP="00000000" w:rsidRDefault="00000000" w:rsidRPr="00000000" w14:paraId="000000EB">
      <w:pPr>
        <w:jc w:val="both"/>
        <w:rPr/>
      </w:pPr>
      <w:r w:rsidDel="00000000" w:rsidR="00000000" w:rsidRPr="00000000">
        <w:rPr>
          <w:rtl w:val="0"/>
        </w:rPr>
        <w:t xml:space="preserve"> </w:t>
      </w:r>
    </w:p>
    <w:p w:rsidR="00000000" w:rsidDel="00000000" w:rsidP="00000000" w:rsidRDefault="00000000" w:rsidRPr="00000000" w14:paraId="000000EC">
      <w:pPr>
        <w:jc w:val="both"/>
        <w:rPr/>
      </w:pPr>
      <w:r w:rsidDel="00000000" w:rsidR="00000000" w:rsidRPr="00000000">
        <w:rPr>
          <w:rtl w:val="0"/>
        </w:rPr>
        <w:t xml:space="preserve">For 2022, in the case of 5 percent export growth, Wood Products is one of the main components. With a budget of 10 percent export growth, Precious Stones and Textile account for most of the portfolio. A more detailed numerical representation of the portfolio is shown in Figure 4. </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center"/>
        <w:rPr/>
      </w:pPr>
      <w:r w:rsidDel="00000000" w:rsidR="00000000" w:rsidRPr="00000000">
        <w:rPr/>
        <w:drawing>
          <wp:inline distB="114300" distT="114300" distL="114300" distR="114300">
            <wp:extent cx="6132498" cy="1976438"/>
            <wp:effectExtent b="0" l="0" r="0" t="0"/>
            <wp:docPr id="3" name="image16.png"/>
            <a:graphic>
              <a:graphicData uri="http://schemas.openxmlformats.org/drawingml/2006/picture">
                <pic:pic>
                  <pic:nvPicPr>
                    <pic:cNvPr id="0" name="image16.png"/>
                    <pic:cNvPicPr preferRelativeResize="0"/>
                  </pic:nvPicPr>
                  <pic:blipFill>
                    <a:blip r:embed="rId17"/>
                    <a:srcRect b="21595" l="0" r="0" t="14286"/>
                    <a:stretch>
                      <a:fillRect/>
                    </a:stretch>
                  </pic:blipFill>
                  <pic:spPr>
                    <a:xfrm>
                      <a:off x="0" y="0"/>
                      <a:ext cx="6132498"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Spain</w:t>
      </w:r>
      <w:r w:rsidDel="00000000" w:rsidR="00000000" w:rsidRPr="00000000">
        <w:rPr>
          <w:sz w:val="22"/>
          <w:szCs w:val="22"/>
          <w:rtl w:val="0"/>
        </w:rPr>
        <w:t xml:space="preserve"> with Different Budgets (2022)</w:t>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drawing>
          <wp:inline distB="114300" distT="114300" distL="114300" distR="114300">
            <wp:extent cx="5731200" cy="22987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Spain</w:t>
      </w:r>
      <w:r w:rsidDel="00000000" w:rsidR="00000000" w:rsidRPr="00000000">
        <w:rPr>
          <w:sz w:val="22"/>
          <w:szCs w:val="22"/>
          <w:rtl w:val="0"/>
        </w:rPr>
        <w:t xml:space="preserve"> (2022)</w:t>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6">
      <w:pPr>
        <w:spacing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Spain</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0F7">
      <w:pPr>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8">
      <w:pPr>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9">
      <w:pPr>
        <w:jc w:val="both"/>
        <w:rPr>
          <w:b w:val="1"/>
          <w:bCs w:val="1"/>
        </w:rPr>
      </w:pPr>
      <w:r w:rsidDel="00000000" w:rsidR="00000000" w:rsidRPr="00000000">
        <w:rPr>
          <w:b w:val="1"/>
          <w:bCs w:val="1"/>
        </w:rPr>
        <w:drawing>
          <wp:inline distB="114300" distT="114300" distL="114300" distR="114300">
            <wp:extent cx="5310188" cy="2519630"/>
            <wp:effectExtent b="0" l="0" r="0" t="0"/>
            <wp:docPr id="10" name="image1.jpg"/>
            <a:graphic>
              <a:graphicData uri="http://schemas.openxmlformats.org/drawingml/2006/picture">
                <pic:pic>
                  <pic:nvPicPr>
                    <pic:cNvPr id="0" name="image1.jpg"/>
                    <pic:cNvPicPr preferRelativeResize="0"/>
                  </pic:nvPicPr>
                  <pic:blipFill>
                    <a:blip r:embed="rId19"/>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B">
      <w:pPr>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0FC">
      <w:pPr>
        <w:spacing w:after="240" w:before="240" w:line="276" w:lineRule="auto"/>
        <w:rPr>
          <w:b w:val="1"/>
          <w:bCs w:val="1"/>
        </w:rPr>
      </w:pPr>
      <w:r w:rsidDel="00000000" w:rsidR="00000000" w:rsidRPr="00000000">
        <w:rPr>
          <w:rtl w:val="0"/>
        </w:rPr>
      </w:r>
    </w:p>
    <w:p w:rsidR="00000000" w:rsidDel="00000000" w:rsidP="00000000" w:rsidRDefault="00000000" w:rsidRPr="00000000" w14:paraId="000000FD">
      <w:pPr>
        <w:spacing w:after="240" w:before="240" w:line="276" w:lineRule="auto"/>
        <w:rPr/>
      </w:pPr>
      <w:r w:rsidDel="00000000" w:rsidR="00000000" w:rsidRPr="00000000">
        <w:rPr>
          <w:b w:val="1"/>
          <w:bCs w:val="1"/>
          <w:rtl w:val="0"/>
        </w:rPr>
        <w:t xml:space="preserve">4.3 Sensitivity Analysis Results and Interpretation</w:t>
        <w:br w:type="textWrapping"/>
      </w:r>
      <w:r w:rsidDel="00000000" w:rsidR="00000000" w:rsidRPr="00000000">
        <w:rPr>
          <w:rtl w:val="0"/>
        </w:rPr>
        <w:t xml:space="preserve">We examine </w:t>
      </w:r>
      <w:r w:rsidDel="00000000" w:rsidR="00000000" w:rsidRPr="00000000">
        <w:rPr>
          <w:rtl w:val="0"/>
        </w:rPr>
        <w:t xml:space="preserve">Spain</w:t>
      </w:r>
      <w:r w:rsidDel="00000000" w:rsidR="00000000" w:rsidRPr="00000000">
        <w:rPr>
          <w:rtl w:val="0"/>
        </w:rPr>
        <w:t xml:space="preserve">'s ECI Decremental and Incremental Sensitivity Charts for 2021. An increase in the Weapons industry will lead to the highest change in ECI, followed by Raw Manufacturing and Energy Drilling and Mining. The strong sensitivity effect of manipulating the Weapons category remains consistent with previous years. For the negative shock cases, Wood Products becomes most impactful. The rest of the industries do not appear to have the same level of sensitivity.</w:t>
      </w:r>
    </w:p>
    <w:p w:rsidR="00000000" w:rsidDel="00000000" w:rsidP="00000000" w:rsidRDefault="00000000" w:rsidRPr="00000000" w14:paraId="000000FE">
      <w:pPr>
        <w:jc w:val="center"/>
        <w:rPr/>
      </w:pPr>
      <w:r w:rsidDel="00000000" w:rsidR="00000000" w:rsidRPr="00000000">
        <w:rPr/>
        <w:drawing>
          <wp:inline distB="114300" distT="114300" distL="114300" distR="114300">
            <wp:extent cx="4995863" cy="3560174"/>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995863" cy="356017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(2022)</w:t>
      </w:r>
    </w:p>
    <w:p w:rsidR="00000000" w:rsidDel="00000000" w:rsidP="00000000" w:rsidRDefault="00000000" w:rsidRPr="00000000" w14:paraId="00000100">
      <w:pPr>
        <w:jc w:val="center"/>
        <w:rPr>
          <w:sz w:val="22"/>
          <w:szCs w:val="22"/>
        </w:rPr>
      </w:pPr>
      <w:r w:rsidDel="00000000" w:rsidR="00000000" w:rsidRPr="00000000">
        <w:rPr>
          <w:rtl w:val="0"/>
        </w:rPr>
      </w:r>
    </w:p>
    <w:p w:rsidR="00000000" w:rsidDel="00000000" w:rsidP="00000000" w:rsidRDefault="00000000" w:rsidRPr="00000000" w14:paraId="00000101">
      <w:pPr>
        <w:jc w:val="center"/>
        <w:rPr>
          <w:sz w:val="22"/>
          <w:szCs w:val="22"/>
        </w:rPr>
      </w:pPr>
      <w:r w:rsidDel="00000000" w:rsidR="00000000" w:rsidRPr="00000000">
        <w:rPr>
          <w:rtl w:val="0"/>
        </w:rPr>
      </w:r>
    </w:p>
    <w:p w:rsidR="00000000" w:rsidDel="00000000" w:rsidP="00000000" w:rsidRDefault="00000000" w:rsidRPr="00000000" w14:paraId="00000102">
      <w:pPr>
        <w:jc w:val="center"/>
        <w:rPr>
          <w:sz w:val="22"/>
          <w:szCs w:val="22"/>
        </w:rPr>
      </w:pPr>
      <w:r w:rsidDel="00000000" w:rsidR="00000000" w:rsidRPr="00000000">
        <w:rPr>
          <w:sz w:val="22"/>
          <w:szCs w:val="22"/>
        </w:rPr>
        <w:drawing>
          <wp:inline distB="114300" distT="114300" distL="114300" distR="114300">
            <wp:extent cx="5072429" cy="3614738"/>
            <wp:effectExtent b="0" l="0" r="0" t="0"/>
            <wp:docPr id="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072429"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8">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jc w:val="both"/>
        <w:rPr>
          <w:b w:val="1"/>
          <w:bCs w:val="1"/>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jc w:val="both"/>
        <w:rPr/>
      </w:pPr>
      <w:r w:rsidDel="00000000" w:rsidR="00000000" w:rsidRPr="00000000">
        <w:rPr>
          <w:rtl w:val="0"/>
        </w:rPr>
        <w:t xml:space="preserve">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0.75%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0.001%</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tcMar>
              <w:top w:w="-44.64" w:type="dxa"/>
              <w:left w:w="-44.64" w:type="dxa"/>
              <w:bottom w:w="-44.64" w:type="dxa"/>
              <w:right w:w="-44.64" w:type="dxa"/>
            </w:tcMar>
            <w:vAlign w:val="center"/>
          </w:tcPr>
          <w:p w:rsidR="00000000" w:rsidDel="00000000" w:rsidP="00000000" w:rsidRDefault="00000000" w:rsidRPr="00000000" w14:paraId="0000010F">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111">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tcMar>
              <w:top w:w="-44.64" w:type="dxa"/>
              <w:left w:w="-44.64" w:type="dxa"/>
              <w:bottom w:w="-44.64" w:type="dxa"/>
              <w:right w:w="-44.64" w:type="dxa"/>
            </w:tcMar>
            <w:vAlign w:val="center"/>
          </w:tcPr>
          <w:p w:rsidR="00000000" w:rsidDel="00000000" w:rsidP="00000000" w:rsidRDefault="00000000" w:rsidRPr="00000000" w14:paraId="00000112">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0.0012</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113">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0.001</w:t>
            </w:r>
          </w:p>
        </w:tc>
        <w:tc>
          <w:tcPr>
            <w:tcMar>
              <w:top w:w="-44.64" w:type="dxa"/>
              <w:left w:w="-44.64" w:type="dxa"/>
              <w:bottom w:w="-44.64" w:type="dxa"/>
              <w:right w:w="-44.64" w:type="dxa"/>
            </w:tcMar>
            <w:vAlign w:val="center"/>
          </w:tcPr>
          <w:p w:rsidR="00000000" w:rsidDel="00000000" w:rsidP="00000000" w:rsidRDefault="00000000" w:rsidRPr="00000000" w14:paraId="00000114">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0.975</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115">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-0.499</w:t>
            </w:r>
          </w:p>
        </w:tc>
        <w:tc>
          <w:tcPr>
            <w:tcMar>
              <w:top w:w="-44.64" w:type="dxa"/>
              <w:left w:w="-44.64" w:type="dxa"/>
              <w:bottom w:w="-44.64" w:type="dxa"/>
              <w:right w:w="-44.64" w:type="dxa"/>
            </w:tcMar>
            <w:vAlign w:val="center"/>
          </w:tcPr>
          <w:p w:rsidR="00000000" w:rsidDel="00000000" w:rsidP="00000000" w:rsidRDefault="00000000" w:rsidRPr="00000000" w14:paraId="00000116">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jc w:val="center"/>
        <w:rPr>
          <w:sz w:val="22"/>
          <w:szCs w:val="22"/>
        </w:rPr>
      </w:pPr>
      <w:r w:rsidDel="00000000" w:rsidR="00000000" w:rsidRPr="00000000">
        <w:rPr>
          <w:rtl w:val="0"/>
        </w:rPr>
      </w:r>
    </w:p>
    <w:p w:rsidR="00000000" w:rsidDel="00000000" w:rsidP="00000000" w:rsidRDefault="00000000" w:rsidRPr="00000000" w14:paraId="00000119">
      <w:pPr>
        <w:jc w:val="center"/>
        <w:rPr>
          <w:sz w:val="22"/>
          <w:szCs w:val="22"/>
        </w:rPr>
      </w:pPr>
      <w:r w:rsidDel="00000000" w:rsidR="00000000" w:rsidRPr="00000000">
        <w:rPr>
          <w:sz w:val="22"/>
          <w:szCs w:val="22"/>
        </w:rPr>
        <w:drawing>
          <wp:inline distB="114300" distT="114300" distL="114300" distR="114300">
            <wp:extent cx="4554351" cy="3033713"/>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554351"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Spain</w:t>
      </w:r>
      <w:r w:rsidDel="00000000" w:rsidR="00000000" w:rsidRPr="00000000">
        <w:rPr>
          <w:b w:val="1"/>
          <w:bCs w:val="1"/>
          <w:rtl w:val="0"/>
        </w:rPr>
        <w:t xml:space="preserve"> and Its Implications</w:t>
      </w:r>
    </w:p>
    <w:p w:rsidR="00000000" w:rsidDel="00000000" w:rsidP="00000000" w:rsidRDefault="00000000" w:rsidRPr="00000000" w14:paraId="0000011D">
      <w:pPr>
        <w:jc w:val="both"/>
        <w:rPr/>
      </w:pPr>
      <w:r w:rsidDel="00000000" w:rsidR="00000000" w:rsidRPr="00000000">
        <w:rPr>
          <w:rtl w:val="0"/>
        </w:rPr>
        <w:t xml:space="preserve">During the first examined period, </w:t>
      </w:r>
      <w:r w:rsidDel="00000000" w:rsidR="00000000" w:rsidRPr="00000000">
        <w:rPr>
          <w:rtl w:val="0"/>
        </w:rPr>
        <w:t xml:space="preserve">Spain</w:t>
      </w:r>
      <w:r w:rsidDel="00000000" w:rsidR="00000000" w:rsidRPr="00000000">
        <w:rPr>
          <w:rtl w:val="0"/>
        </w:rPr>
        <w:t xml:space="preserve">, for instance, has a low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Spain</w:t>
      </w:r>
      <w:r w:rsidDel="00000000" w:rsidR="00000000" w:rsidRPr="00000000">
        <w:rPr>
          <w:rtl w:val="0"/>
        </w:rPr>
        <w:t xml:space="preserve"> demonstrates a low level of correlation with the suggested developmental path, having an adjusted R-square of around 0.001. </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Spain</w:t>
      </w:r>
      <w:r w:rsidDel="00000000" w:rsidR="00000000" w:rsidRPr="00000000">
        <w:rPr>
          <w:rtl w:val="0"/>
        </w:rPr>
        <w:t xml:space="preserve"> ranks in the bottom quartile among all countries in terms of SOI and has made a slow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0.75%, which is consistent with the regression result in Figure 4b. This is in direct contrast to emerging economies such as Germany, where there is a high SOI of around 5.6% and corresponding GDP growth of 1.75% from 2013 to 2018, making it one of the fastest developing economies during the period. </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sz w:val="22"/>
          <w:szCs w:val="22"/>
        </w:rPr>
      </w:pPr>
      <w:r w:rsidDel="00000000" w:rsidR="00000000" w:rsidRPr="00000000">
        <w:rPr>
          <w:rtl w:val="0"/>
        </w:rPr>
        <w:t xml:space="preserve">Specifically, </w:t>
      </w:r>
      <w:r w:rsidDel="00000000" w:rsidR="00000000" w:rsidRPr="00000000">
        <w:rPr>
          <w:rtl w:val="0"/>
        </w:rPr>
        <w:t xml:space="preserve">Spain</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Specifically, </w:t>
      </w:r>
      <w:r w:rsidDel="00000000" w:rsidR="00000000" w:rsidRPr="00000000">
        <w:rPr>
          <w:rtl w:val="0"/>
        </w:rPr>
        <w:t xml:space="preserve">Spain</w:t>
      </w:r>
      <w:r w:rsidDel="00000000" w:rsidR="00000000" w:rsidRPr="00000000">
        <w:rPr>
          <w:rtl w:val="0"/>
        </w:rPr>
        <w:t xml:space="preserve"> invested heavily in the Raw Manufacturing industry, while it should have focused more on industry groups such as Metals and Textiles.</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drawing>
          <wp:inline distB="114300" distT="114300" distL="114300" distR="114300">
            <wp:extent cx="4910138" cy="1965686"/>
            <wp:effectExtent b="0" l="0" r="0" t="0"/>
            <wp:docPr id="1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910138" cy="196568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Spain</w:t>
      </w:r>
      <w:r w:rsidDel="00000000" w:rsidR="00000000" w:rsidRPr="00000000">
        <w:rPr>
          <w:sz w:val="22"/>
          <w:szCs w:val="22"/>
          <w:rtl w:val="0"/>
        </w:rPr>
        <w:t xml:space="preserve"> (2019-2022)</w:t>
      </w:r>
    </w:p>
    <w:p w:rsidR="00000000" w:rsidDel="00000000" w:rsidP="00000000" w:rsidRDefault="00000000" w:rsidRPr="00000000" w14:paraId="00000125">
      <w:pPr>
        <w:jc w:val="center"/>
        <w:rPr>
          <w:sz w:val="22"/>
          <w:szCs w:val="22"/>
        </w:rPr>
      </w:pPr>
      <w:r w:rsidDel="00000000" w:rsidR="00000000" w:rsidRPr="00000000">
        <w:rPr>
          <w:rtl w:val="0"/>
        </w:rPr>
      </w:r>
    </w:p>
    <w:p w:rsidR="00000000" w:rsidDel="00000000" w:rsidP="00000000" w:rsidRDefault="00000000" w:rsidRPr="00000000" w14:paraId="00000126">
      <w:pPr>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7">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In conclusion, </w:t>
      </w:r>
      <w:r w:rsidDel="00000000" w:rsidR="00000000" w:rsidRPr="00000000">
        <w:rPr>
          <w:rtl w:val="0"/>
        </w:rPr>
        <w:t xml:space="preserve">Spain</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increased alongside a small boost in ECI, is not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We believe that the mixed progress during the first period can be partially explained through the analysis of the economic and product complexity structure of </w:t>
      </w:r>
      <w:r w:rsidDel="00000000" w:rsidR="00000000" w:rsidRPr="00000000">
        <w:rPr>
          <w:rtl w:val="0"/>
        </w:rPr>
        <w:t xml:space="preserve">Spain</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Spain</w:t>
      </w:r>
      <w:r w:rsidDel="00000000" w:rsidR="00000000" w:rsidRPr="00000000">
        <w:rPr>
          <w:rtl w:val="0"/>
        </w:rPr>
        <w:t xml:space="preserve"> regressed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Spain</w:t>
      </w:r>
      <w:r w:rsidDel="00000000" w:rsidR="00000000" w:rsidRPr="00000000">
        <w:rPr>
          <w:rtl w:val="0"/>
        </w:rPr>
        <w:t xml:space="preserve"> can further its gains by prioritizing Energy Drilling and Mining, and Weapons. We further note that </w:t>
      </w:r>
      <w:r w:rsidDel="00000000" w:rsidR="00000000" w:rsidRPr="00000000">
        <w:rPr>
          <w:rtl w:val="0"/>
        </w:rPr>
        <w:t xml:space="preserve">Spain</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0.001%. Since a low correlation exists between five-year GDP growth and the structural optimality index of an economy as we define and calculate, </w:t>
      </w:r>
      <w:r w:rsidDel="00000000" w:rsidR="00000000" w:rsidRPr="00000000">
        <w:rPr>
          <w:rtl w:val="0"/>
        </w:rPr>
        <w:t xml:space="preserve">Spain</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During the second examined period from 2019 to 2021, </w:t>
      </w:r>
      <w:r w:rsidDel="00000000" w:rsidR="00000000" w:rsidRPr="00000000">
        <w:rPr>
          <w:rtl w:val="0"/>
        </w:rPr>
        <w:t xml:space="preserve">Spain</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Spain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Spain</w:t>
      </w:r>
      <w:r w:rsidDel="00000000" w:rsidR="00000000" w:rsidRPr="00000000">
        <w:rPr>
          <w:rtl w:val="0"/>
        </w:rPr>
        <w:t xml:space="preserve"> has increased its investment in the sectors identified earlier, leading to a strong boost from Textiles and Clothing/Accessories industries, leaving some room for strategic improvement. It did invest in the industries which contributed the most to its advancements, such as the Energy Drilling and Mining industry. The ECI suggests that greater growth could have been achieved through Precious Stones, followed by Clothing and Textiles. With the revised focus, </w:t>
      </w:r>
      <w:r w:rsidDel="00000000" w:rsidR="00000000" w:rsidRPr="00000000">
        <w:rPr>
          <w:rtl w:val="0"/>
        </w:rPr>
        <w:t xml:space="preserve">Spain</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5">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6">
      <w:pPr>
        <w:jc w:val="both"/>
        <w:rPr>
          <w:b w:val="1"/>
          <w:bCs w:val="1"/>
          <w:sz w:val="28"/>
          <w:szCs w:val="28"/>
        </w:rPr>
      </w:pPr>
      <w:r w:rsidDel="00000000" w:rsidR="00000000" w:rsidRPr="00000000">
        <w:rPr>
          <w:rtl w:val="0"/>
        </w:rPr>
      </w:r>
    </w:p>
    <w:p w:rsidR="00000000" w:rsidDel="00000000" w:rsidP="00000000" w:rsidRDefault="00000000" w:rsidRPr="00000000" w14:paraId="00000137">
      <w:pPr>
        <w:jc w:val="both"/>
        <w:rPr>
          <w:highlight w:val="white"/>
        </w:rPr>
      </w:pPr>
      <w:r w:rsidDel="00000000" w:rsidR="00000000" w:rsidRPr="00000000">
        <w:rPr>
          <w:highlight w:val="white"/>
          <w:rtl w:val="0"/>
        </w:rPr>
        <w:t xml:space="preserve">Hausmann, R., Hidalgo, C., Bustos, S., Coscia, M., Chung, S., Jimenez, J., Simoes, A. and Yıldırım, M. (2007). </w:t>
      </w:r>
      <w:r w:rsidDel="00000000" w:rsidR="00000000" w:rsidRPr="00000000">
        <w:rPr>
          <w:i w:val="1"/>
          <w:iCs w:val="1"/>
          <w:highlight w:val="white"/>
          <w:rtl w:val="0"/>
        </w:rPr>
        <w:t xml:space="preserve">The Atlas of Economic Complexity</w:t>
      </w:r>
      <w:r w:rsidDel="00000000" w:rsidR="00000000" w:rsidRPr="00000000">
        <w:rPr>
          <w:highlight w:val="white"/>
          <w:rtl w:val="0"/>
        </w:rPr>
        <w:t xml:space="preserve">. [online] Atlas.cid.harvard.edu. Available at: http://atlas.cid.harvard.edu/.</w:t>
      </w:r>
    </w:p>
    <w:p w:rsidR="00000000" w:rsidDel="00000000" w:rsidP="00000000" w:rsidRDefault="00000000" w:rsidRPr="00000000" w14:paraId="00000138">
      <w:pPr>
        <w:jc w:val="both"/>
        <w:rPr>
          <w:highlight w:val="white"/>
        </w:rPr>
      </w:pPr>
      <w:r w:rsidDel="00000000" w:rsidR="00000000" w:rsidRPr="00000000">
        <w:rPr>
          <w:rtl w:val="0"/>
        </w:rPr>
      </w:r>
    </w:p>
    <w:p w:rsidR="00000000" w:rsidDel="00000000" w:rsidP="00000000" w:rsidRDefault="00000000" w:rsidRPr="00000000" w14:paraId="00000139">
      <w:pPr>
        <w:jc w:val="both"/>
        <w:rPr>
          <w:highlight w:val="white"/>
        </w:rPr>
      </w:pPr>
      <w:r w:rsidDel="00000000" w:rsidR="00000000" w:rsidRPr="00000000">
        <w:rPr>
          <w:highlight w:val="white"/>
          <w:rtl w:val="0"/>
        </w:rPr>
        <w:t xml:space="preserve">Balassa, B., “The Purchasing Power Parity Doctrine - A Reapprais- al,” </w:t>
      </w:r>
      <w:r w:rsidDel="00000000" w:rsidR="00000000" w:rsidRPr="00000000">
        <w:rPr>
          <w:i w:val="1"/>
          <w:iCs w:val="1"/>
          <w:highlight w:val="white"/>
          <w:rtl w:val="0"/>
        </w:rPr>
        <w:t xml:space="preserve">Journal of Political Economy </w:t>
      </w:r>
      <w:r w:rsidDel="00000000" w:rsidR="00000000" w:rsidRPr="00000000">
        <w:rPr>
          <w:b w:val="1"/>
          <w:bCs w:val="1"/>
          <w:highlight w:val="white"/>
          <w:rtl w:val="0"/>
        </w:rPr>
        <w:t xml:space="preserve">72</w:t>
      </w:r>
      <w:r w:rsidDel="00000000" w:rsidR="00000000" w:rsidRPr="00000000">
        <w:rPr>
          <w:highlight w:val="white"/>
          <w:rtl w:val="0"/>
        </w:rPr>
        <w:t xml:space="preserve">, 584-596 (1964). </w:t>
      </w:r>
    </w:p>
    <w:p w:rsidR="00000000" w:rsidDel="00000000" w:rsidP="00000000" w:rsidRDefault="00000000" w:rsidRPr="00000000" w14:paraId="0000013A">
      <w:pPr>
        <w:jc w:val="both"/>
        <w:rPr>
          <w:highlight w:val="white"/>
        </w:rPr>
      </w:pPr>
      <w:r w:rsidDel="00000000" w:rsidR="00000000" w:rsidRPr="00000000">
        <w:rPr>
          <w:rtl w:val="0"/>
        </w:rPr>
      </w:r>
    </w:p>
    <w:p w:rsidR="00000000" w:rsidDel="00000000" w:rsidP="00000000" w:rsidRDefault="00000000" w:rsidRPr="00000000" w14:paraId="0000013B">
      <w:pPr>
        <w:jc w:val="both"/>
        <w:rPr>
          <w:highlight w:val="white"/>
        </w:rPr>
      </w:pPr>
      <w:r w:rsidDel="00000000" w:rsidR="00000000" w:rsidRPr="00000000">
        <w:rPr>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C">
      <w:pPr>
        <w:jc w:val="both"/>
        <w:rPr>
          <w:highlight w:val="white"/>
        </w:rPr>
      </w:pPr>
      <w:r w:rsidDel="00000000" w:rsidR="00000000" w:rsidRPr="00000000">
        <w:rPr>
          <w:rtl w:val="0"/>
        </w:rPr>
      </w:r>
    </w:p>
    <w:p w:rsidR="00000000" w:rsidDel="00000000" w:rsidP="00000000" w:rsidRDefault="00000000" w:rsidRPr="00000000" w14:paraId="0000013D">
      <w:pPr>
        <w:jc w:val="both"/>
        <w:rPr>
          <w:highlight w:val="white"/>
        </w:rPr>
      </w:pPr>
      <w:r w:rsidDel="00000000" w:rsidR="00000000" w:rsidRPr="00000000">
        <w:rPr>
          <w:highlight w:val="white"/>
          <w:rtl w:val="0"/>
        </w:rPr>
        <w:t xml:space="preserve">United Nations Commodity Trade Statistics Database (http://comtrade.un.org/db/), accessed in August 2019. </w:t>
      </w:r>
    </w:p>
    <w:p w:rsidR="00000000" w:rsidDel="00000000" w:rsidP="00000000" w:rsidRDefault="00000000" w:rsidRPr="00000000" w14:paraId="0000013E">
      <w:pPr>
        <w:jc w:val="both"/>
        <w:rPr>
          <w:highlight w:val="white"/>
        </w:rPr>
      </w:pPr>
      <w:r w:rsidDel="00000000" w:rsidR="00000000" w:rsidRPr="00000000">
        <w:rPr>
          <w:rtl w:val="0"/>
        </w:rPr>
      </w:r>
    </w:p>
    <w:p w:rsidR="00000000" w:rsidDel="00000000" w:rsidP="00000000" w:rsidRDefault="00000000" w:rsidRPr="00000000" w14:paraId="0000013F">
      <w:pPr>
        <w:jc w:val="both"/>
        <w:rPr>
          <w:highlight w:val="white"/>
        </w:rPr>
      </w:pPr>
      <w:r w:rsidDel="00000000" w:rsidR="00000000" w:rsidRPr="00000000">
        <w:rPr>
          <w:highlight w:val="white"/>
          <w:rtl w:val="0"/>
        </w:rPr>
        <w:t xml:space="preserve">The World Economic Forum, “The global competitiveness report,” (various years). </w:t>
      </w:r>
    </w:p>
    <w:p w:rsidR="00000000" w:rsidDel="00000000" w:rsidP="00000000" w:rsidRDefault="00000000" w:rsidRPr="00000000" w14:paraId="00000140">
      <w:pPr>
        <w:jc w:val="both"/>
        <w:rPr>
          <w:highlight w:val="white"/>
        </w:rPr>
      </w:pPr>
      <w:r w:rsidDel="00000000" w:rsidR="00000000" w:rsidRPr="00000000">
        <w:rPr>
          <w:rtl w:val="0"/>
        </w:rPr>
      </w:r>
    </w:p>
    <w:p w:rsidR="00000000" w:rsidDel="00000000" w:rsidP="00000000" w:rsidRDefault="00000000" w:rsidRPr="00000000" w14:paraId="00000141">
      <w:pPr>
        <w:jc w:val="both"/>
        <w:rPr>
          <w:highlight w:val="white"/>
        </w:rPr>
      </w:pPr>
      <w:r w:rsidDel="00000000" w:rsidR="00000000" w:rsidRPr="00000000">
        <w:rPr>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2">
      <w:pPr>
        <w:jc w:val="both"/>
        <w:rPr>
          <w:highlight w:val="white"/>
        </w:rPr>
      </w:pPr>
      <w:r w:rsidDel="00000000" w:rsidR="00000000" w:rsidRPr="00000000">
        <w:rPr>
          <w:rtl w:val="0"/>
        </w:rPr>
      </w:r>
    </w:p>
    <w:p w:rsidR="00000000" w:rsidDel="00000000" w:rsidP="00000000" w:rsidRDefault="00000000" w:rsidRPr="00000000" w14:paraId="00000143">
      <w:pPr>
        <w:jc w:val="both"/>
        <w:rPr>
          <w:highlight w:val="white"/>
        </w:rPr>
      </w:pPr>
      <w:r w:rsidDel="00000000" w:rsidR="00000000" w:rsidRPr="00000000">
        <w:rPr>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4">
      <w:pPr>
        <w:jc w:val="both"/>
        <w:rPr>
          <w:highlight w:val="white"/>
        </w:rPr>
      </w:pPr>
      <w:r w:rsidDel="00000000" w:rsidR="00000000" w:rsidRPr="00000000">
        <w:rPr>
          <w:rtl w:val="0"/>
        </w:rPr>
      </w:r>
    </w:p>
    <w:p w:rsidR="00000000" w:rsidDel="00000000" w:rsidP="00000000" w:rsidRDefault="00000000" w:rsidRPr="00000000" w14:paraId="00000145">
      <w:pPr>
        <w:jc w:val="both"/>
        <w:rPr>
          <w:highlight w:val="white"/>
        </w:rPr>
      </w:pPr>
      <w:r w:rsidDel="00000000" w:rsidR="00000000" w:rsidRPr="00000000">
        <w:rPr>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6">
      <w:pPr>
        <w:jc w:val="both"/>
        <w:rPr/>
      </w:pPr>
      <w:r w:rsidDel="00000000" w:rsidR="00000000" w:rsidRPr="00000000">
        <w:rPr>
          <w:rtl w:val="0"/>
        </w:rPr>
      </w:r>
    </w:p>
    <w:sectPr>
      <w:headerReference r:id="rId24" w:type="default"/>
      <w:footerReference r:id="rId25" w:type="default"/>
      <w:footerReference r:id="rId26" w:type="first"/>
      <w:footerReference r:id="rId27" w:type="even"/>
      <w:type w:val="nextPage"/>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8">
    <w:pP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149">
    <w:pP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tabs>
        <w:tab w:val="center" w:leader="none" w:pos="4680"/>
        <w:tab w:val="right" w:leader="none" w:pos="9360"/>
      </w:tabs>
      <w:jc w:val="center"/>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tabs>
        <w:tab w:val="center" w:leader="none" w:pos="4680"/>
        <w:tab w:val="right" w:leader="none" w:pos="9360"/>
      </w:tabs>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tabs>
        <w:tab w:val="center" w:leader="none" w:pos="4680"/>
        <w:tab w:val="right" w:leader="none" w:pos="9360"/>
      </w:tabs>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4.png"/><Relationship Id="rId21" Type="http://schemas.openxmlformats.org/officeDocument/2006/relationships/image" Target="media/image17.png"/><Relationship Id="rId24" Type="http://schemas.openxmlformats.org/officeDocument/2006/relationships/header" Target="header1.xm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footer" Target="footer3.xml"/><Relationship Id="rId25"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15.png"/><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18.png"/><Relationship Id="rId15" Type="http://schemas.openxmlformats.org/officeDocument/2006/relationships/image" Target="media/image3.png"/><Relationship Id="rId14" Type="http://schemas.openxmlformats.org/officeDocument/2006/relationships/image" Target="media/image6.jpg"/><Relationship Id="rId17" Type="http://schemas.openxmlformats.org/officeDocument/2006/relationships/image" Target="media/image16.png"/><Relationship Id="rId16" Type="http://schemas.openxmlformats.org/officeDocument/2006/relationships/image" Target="media/image2.png"/><Relationship Id="rId19" Type="http://schemas.openxmlformats.org/officeDocument/2006/relationships/image" Target="media/image1.jp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