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Australia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Australia</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Australia</w:t>
      </w:r>
      <w:r w:rsidDel="00000000" w:rsidR="00000000" w:rsidRPr="00000000">
        <w:rPr>
          <w:rtl w:val="0"/>
        </w:rPr>
        <w:t xml:space="preserve"> went through during the period from 2019 to 2022, including the impacts of the COVID-19 pandemic. Specifically, we dive into the topic through a macroeconomic overview of </w:t>
      </w:r>
      <w:r w:rsidDel="00000000" w:rsidR="00000000" w:rsidRPr="00000000">
        <w:rPr>
          <w:rtl w:val="0"/>
        </w:rPr>
        <w:t xml:space="preserve">Australia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Australia</w:t>
      </w:r>
      <w:r w:rsidDel="00000000" w:rsidR="00000000" w:rsidRPr="00000000">
        <w:rPr>
          <w:rtl w:val="0"/>
        </w:rPr>
        <w:t xml:space="preserve"> demonstrated a moderate level of economic growth with an average annual GDP growth rate of 5.15% between 2019 and 2022, with an increased economic complexity compared to other major developed</w:t>
      </w:r>
      <w:r w:rsidDel="00000000" w:rsidR="00000000" w:rsidRPr="00000000">
        <w:rPr>
          <w:rtl w:val="0"/>
        </w:rPr>
        <w:t xml:space="preserve"> </w:t>
      </w:r>
      <w:r w:rsidDel="00000000" w:rsidR="00000000" w:rsidRPr="00000000">
        <w:rPr>
          <w:rtl w:val="0"/>
        </w:rPr>
        <w:t xml:space="preserve">economies.</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Australia</w:t>
      </w:r>
      <w:r w:rsidDel="00000000" w:rsidR="00000000" w:rsidRPr="00000000">
        <w:rPr>
          <w:rtl w:val="0"/>
        </w:rPr>
        <w:t xml:space="preserve"> on the industry group level, as well as the improved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Australia</w:t>
      </w:r>
      <w:r w:rsidDel="00000000" w:rsidR="00000000" w:rsidRPr="00000000">
        <w:rPr>
          <w:rtl w:val="0"/>
        </w:rPr>
        <w:t xml:space="preserve"> regressed in developing most of its industries during the period while its developed counterparts and economies around the globe also adopted complex and progressive paths with variable degrees of success.</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Australia</w:t>
      </w:r>
      <w:r w:rsidDel="00000000" w:rsidR="00000000" w:rsidRPr="00000000">
        <w:rPr>
          <w:rtl w:val="0"/>
        </w:rPr>
        <w:t xml:space="preserve"> could further its gains by prioritizing Textiles</w:t>
      </w:r>
      <w:r w:rsidDel="00000000" w:rsidR="00000000" w:rsidRPr="00000000">
        <w:rPr>
          <w:rtl w:val="0"/>
        </w:rPr>
        <w:t xml:space="preserve">, Food and Preparations, and </w:t>
      </w:r>
      <w:r w:rsidDel="00000000" w:rsidR="00000000" w:rsidRPr="00000000">
        <w:rPr>
          <w:rtl w:val="0"/>
        </w:rPr>
        <w:t xml:space="preserve">Energy Drilling Mining in 2022. We further note that </w:t>
      </w:r>
      <w:r w:rsidDel="00000000" w:rsidR="00000000" w:rsidRPr="00000000">
        <w:rPr>
          <w:rtl w:val="0"/>
        </w:rPr>
        <w:t xml:space="preserve">Australia</w:t>
      </w:r>
      <w:r w:rsidDel="00000000" w:rsidR="00000000" w:rsidRPr="00000000">
        <w:rPr>
          <w:rtl w:val="0"/>
        </w:rPr>
        <w:t xml:space="preserve"> has a heavily mismatched development strategy that indicates a low</w:t>
      </w:r>
      <w:r w:rsidDel="00000000" w:rsidR="00000000" w:rsidRPr="00000000">
        <w:rPr>
          <w:rtl w:val="0"/>
        </w:rPr>
        <w:t xml:space="preserve"> </w:t>
      </w:r>
      <w:r w:rsidDel="00000000" w:rsidR="00000000" w:rsidRPr="00000000">
        <w:rPr>
          <w:rtl w:val="0"/>
        </w:rPr>
        <w:t xml:space="preserve">level (compared to other developed</w:t>
      </w:r>
      <w:r w:rsidDel="00000000" w:rsidR="00000000" w:rsidRPr="00000000">
        <w:rPr>
          <w:rtl w:val="0"/>
        </w:rPr>
        <w:t xml:space="preserve"> </w:t>
      </w:r>
      <w:r w:rsidDel="00000000" w:rsidR="00000000" w:rsidRPr="00000000">
        <w:rPr>
          <w:rtl w:val="0"/>
        </w:rPr>
        <w:t xml:space="preserve">countries) of structural optimality on the complexity level, having an adjusted R-square of around</w:t>
      </w:r>
      <w:r w:rsidDel="00000000" w:rsidR="00000000" w:rsidRPr="00000000">
        <w:rPr>
          <w:rtl w:val="0"/>
        </w:rPr>
        <w:t xml:space="preserve"> 4.5%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Australia</w:t>
      </w:r>
      <w:r w:rsidDel="00000000" w:rsidR="00000000" w:rsidRPr="00000000">
        <w:rPr>
          <w:rtl w:val="0"/>
        </w:rPr>
        <w:t xml:space="preserve"> indeed has a</w:t>
      </w:r>
      <w:r w:rsidDel="00000000" w:rsidR="00000000" w:rsidRPr="00000000">
        <w:rPr>
          <w:rtl w:val="0"/>
        </w:rPr>
        <w:t xml:space="preserve"> </w:t>
      </w:r>
      <w:r w:rsidDel="00000000" w:rsidR="00000000" w:rsidRPr="00000000">
        <w:rPr>
          <w:rtl w:val="0"/>
        </w:rPr>
        <w:t xml:space="preserve">suboptimal</w:t>
      </w:r>
      <w:r w:rsidDel="00000000" w:rsidR="00000000" w:rsidRPr="00000000">
        <w:rPr>
          <w:rtl w:val="0"/>
        </w:rPr>
        <w:t xml:space="preserve"> </w:t>
      </w:r>
      <w:r w:rsidDel="00000000" w:rsidR="00000000" w:rsidRPr="00000000">
        <w:rPr>
          <w:rtl w:val="0"/>
        </w:rPr>
        <w:t xml:space="preserve">growth experience as compared with fast-growing economies both on a regional scale and on a global scale and has the potential to further its economic gains through industrial structure optimization as suggested in the paper.  </w:t>
      </w: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2022 showed a significant improvement in </w:t>
      </w:r>
      <w:r w:rsidDel="00000000" w:rsidR="00000000" w:rsidRPr="00000000">
        <w:rPr>
          <w:rtl w:val="0"/>
        </w:rPr>
        <w:t xml:space="preserve">Australia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Australia</w:t>
      </w:r>
      <w:r w:rsidDel="00000000" w:rsidR="00000000" w:rsidRPr="00000000">
        <w:rPr>
          <w:rtl w:val="0"/>
        </w:rPr>
        <w:t xml:space="preserve"> went through during the period from 2019 to 2022, including the COVID-pandemic. Specifically, we dive into the topic through a macroeconomic overview of </w:t>
      </w:r>
      <w:r w:rsidDel="00000000" w:rsidR="00000000" w:rsidRPr="00000000">
        <w:rPr>
          <w:rtl w:val="0"/>
        </w:rPr>
        <w:t xml:space="preserve">Australia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Australia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Australia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illustrates the time-series GDP results for </w:t>
      </w:r>
      <w:r w:rsidDel="00000000" w:rsidR="00000000" w:rsidRPr="00000000">
        <w:rPr>
          <w:rtl w:val="0"/>
        </w:rPr>
        <w:t xml:space="preserve">Australia</w:t>
      </w:r>
      <w:r w:rsidDel="00000000" w:rsidR="00000000" w:rsidRPr="00000000">
        <w:rPr>
          <w:rtl w:val="0"/>
        </w:rPr>
        <w:t xml:space="preserve"> and three of its peer countries New Zealand, Canada, and Singapore from 2019 to 2022. Similar to the other countries, </w:t>
      </w:r>
      <w:r w:rsidDel="00000000" w:rsidR="00000000" w:rsidRPr="00000000">
        <w:rPr>
          <w:rtl w:val="0"/>
        </w:rPr>
        <w:t xml:space="preserve">Australia </w:t>
      </w:r>
      <w:r w:rsidDel="00000000" w:rsidR="00000000" w:rsidRPr="00000000">
        <w:rPr>
          <w:rtl w:val="0"/>
        </w:rPr>
        <w:t xml:space="preserve">displayed a general upward trend after stagnation in 2020 due to COVID-19; however, its growth was not as consistent as Canada and Singapore. </w:t>
      </w:r>
      <w:r w:rsidDel="00000000" w:rsidR="00000000" w:rsidRPr="00000000">
        <w:rPr>
          <w:rtl w:val="0"/>
        </w:rPr>
        <w:t xml:space="preserve">Australia</w:t>
      </w:r>
      <w:r w:rsidDel="00000000" w:rsidR="00000000" w:rsidRPr="00000000">
        <w:rPr>
          <w:rtl w:val="0"/>
        </w:rPr>
        <w:t xml:space="preserve">’s average annual GDP growth rate 5.15%</w:t>
      </w:r>
      <w:r w:rsidDel="00000000" w:rsidR="00000000" w:rsidRPr="00000000">
        <w:rPr>
          <w:rtl w:val="0"/>
        </w:rPr>
        <w:t xml:space="preserve">, which puts it lower than Canada's 5.76% and Singapore's 6.07% but higher than New Zealand's 4.17%. </w:t>
      </w:r>
    </w:p>
    <w:p w:rsidR="00000000" w:rsidDel="00000000" w:rsidP="00000000" w:rsidRDefault="00000000" w:rsidRPr="00000000" w14:paraId="0000001E">
      <w:pPr>
        <w:pageBreakBefore w:val="0"/>
        <w:jc w:val="center"/>
        <w:rPr>
          <w:i w:val="1"/>
          <w:iCs w:val="1"/>
          <w:color w:val="444499"/>
          <w:sz w:val="20"/>
          <w:szCs w:val="20"/>
        </w:rPr>
      </w:pPr>
      <w:r w:rsidDel="00000000" w:rsidR="00000000" w:rsidRPr="00000000">
        <w:rPr/>
        <w:drawing>
          <wp:inline distB="114300" distT="114300" distL="114300" distR="114300">
            <wp:extent cx="2954175" cy="2212865"/>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954175" cy="22128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jc w:val="center"/>
        <w:rPr>
          <w:sz w:val="22"/>
          <w:szCs w:val="22"/>
        </w:rPr>
      </w:pPr>
      <w:r w:rsidDel="00000000" w:rsidR="00000000" w:rsidRPr="00000000">
        <w:rPr>
          <w:sz w:val="22"/>
          <w:szCs w:val="22"/>
          <w:rtl w:val="0"/>
        </w:rPr>
        <w:t xml:space="preserve">Figures 1. GDP Comparison Among Peer Countries (2019-2022)</w:t>
      </w:r>
    </w:p>
    <w:p w:rsidR="00000000" w:rsidDel="00000000" w:rsidP="00000000" w:rsidRDefault="00000000" w:rsidRPr="00000000" w14:paraId="00000020">
      <w:pPr>
        <w:pageBreakBefore w:val="0"/>
        <w:jc w:val="left"/>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As shown, </w:t>
      </w:r>
      <w:r w:rsidDel="00000000" w:rsidR="00000000" w:rsidRPr="00000000">
        <w:rPr>
          <w:rtl w:val="0"/>
        </w:rPr>
        <w:t xml:space="preserve">Australia</w:t>
      </w:r>
      <w:r w:rsidDel="00000000" w:rsidR="00000000" w:rsidRPr="00000000">
        <w:rPr>
          <w:rtl w:val="0"/>
        </w:rPr>
        <w:t xml:space="preserve"> exhibits a</w:t>
      </w:r>
      <w:r w:rsidDel="00000000" w:rsidR="00000000" w:rsidRPr="00000000">
        <w:rPr>
          <w:rtl w:val="0"/>
        </w:rPr>
        <w:t xml:space="preserve"> </w:t>
      </w:r>
      <w:r w:rsidDel="00000000" w:rsidR="00000000" w:rsidRPr="00000000">
        <w:rPr>
          <w:rtl w:val="0"/>
        </w:rPr>
        <w:t xml:space="preserve">large increase in production capability from 2019 to 2022. </w:t>
      </w:r>
      <w:r w:rsidDel="00000000" w:rsidR="00000000" w:rsidRPr="00000000">
        <w:rPr>
          <w:rtl w:val="0"/>
        </w:rPr>
        <w:t xml:space="preserve">Australia</w:t>
      </w:r>
      <w:r w:rsidDel="00000000" w:rsidR="00000000" w:rsidRPr="00000000">
        <w:rPr>
          <w:rtl w:val="0"/>
        </w:rPr>
        <w:t xml:space="preserve"> is in a strong position in ECI terms, as its ECI change of 206% is greater than</w:t>
      </w:r>
      <w:r w:rsidDel="00000000" w:rsidR="00000000" w:rsidRPr="00000000">
        <w:rPr>
          <w:rtl w:val="0"/>
        </w:rPr>
        <w:t xml:space="preserve"> Canada’s 175%, New Zealand’s 166%, and Singapore’s -299%. Australia, New Zealand, Canada experienced a drastic jump between 2020-2021.</w:t>
      </w:r>
      <w:r w:rsidDel="00000000" w:rsidR="00000000" w:rsidRPr="00000000">
        <w:rPr>
          <w:rtl w:val="0"/>
        </w:rPr>
        <w:t xml:space="preserve"> </w:t>
      </w:r>
      <w:r w:rsidDel="00000000" w:rsidR="00000000" w:rsidRPr="00000000">
        <w:rPr>
          <w:rtl w:val="0"/>
        </w:rPr>
        <w:t xml:space="preserve">This increase in Australia may be explained by the government’s consistent support for industries impacted by COVID-19 and skills development in emerging industries.</w:t>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963700" cy="2220840"/>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963700" cy="22208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w:t>
      </w:r>
      <w:r w:rsidDel="00000000" w:rsidR="00000000" w:rsidRPr="00000000">
        <w:rPr>
          <w:sz w:val="22"/>
          <w:szCs w:val="22"/>
          <w:rtl w:val="0"/>
        </w:rPr>
        <w:t xml:space="preserve">    Figures 2. ECI Comparison Among Peer Countries (2019-2022)</w:t>
      </w:r>
      <w:r w:rsidDel="00000000" w:rsidR="00000000" w:rsidRPr="00000000">
        <w:rPr>
          <w:rtl w:val="0"/>
        </w:rPr>
        <w:t xml:space="preserve">                       </w:t>
      </w:r>
    </w:p>
    <w:p w:rsidR="00000000" w:rsidDel="00000000" w:rsidP="00000000" w:rsidRDefault="00000000" w:rsidRPr="00000000" w14:paraId="00000027">
      <w:pPr>
        <w:pageBreakBefore w:val="0"/>
        <w:jc w:val="left"/>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Figures 3 offer a further comparison of GDP Growth and ECI over the time span from 2019 to 2022 for </w:t>
      </w:r>
      <w:r w:rsidDel="00000000" w:rsidR="00000000" w:rsidRPr="00000000">
        <w:rPr>
          <w:rtl w:val="0"/>
        </w:rPr>
        <w:t xml:space="preserve">Australia</w:t>
      </w:r>
      <w:r w:rsidDel="00000000" w:rsidR="00000000" w:rsidRPr="00000000">
        <w:rPr>
          <w:rtl w:val="0"/>
        </w:rPr>
        <w:t xml:space="preserve">. T</w:t>
      </w:r>
      <w:r w:rsidDel="00000000" w:rsidR="00000000" w:rsidRPr="00000000">
        <w:rPr>
          <w:rtl w:val="0"/>
        </w:rPr>
        <w:t xml:space="preserve">he GDP growth is accompanied by a similar increase in ECI.</w:t>
      </w:r>
      <w:r w:rsidDel="00000000" w:rsidR="00000000" w:rsidRPr="00000000">
        <w:rPr>
          <w:rtl w:val="0"/>
        </w:rPr>
        <w:t xml:space="preserve"> The results show that the economic growth experienced by </w:t>
      </w:r>
      <w:r w:rsidDel="00000000" w:rsidR="00000000" w:rsidRPr="00000000">
        <w:rPr>
          <w:rtl w:val="0"/>
        </w:rPr>
        <w:t xml:space="preserve">Australia</w:t>
      </w:r>
      <w:r w:rsidDel="00000000" w:rsidR="00000000" w:rsidRPr="00000000">
        <w:rPr>
          <w:rtl w:val="0"/>
        </w:rPr>
        <w:t xml:space="preserve"> during the period from 2019 to 2022 is consistent with the predictions by ECI and that </w:t>
      </w:r>
      <w:r w:rsidDel="00000000" w:rsidR="00000000" w:rsidRPr="00000000">
        <w:rPr>
          <w:rtl w:val="0"/>
        </w:rPr>
        <w:t xml:space="preserve">Australia</w:t>
      </w:r>
      <w:r w:rsidDel="00000000" w:rsidR="00000000" w:rsidRPr="00000000">
        <w:rPr>
          <w:rtl w:val="0"/>
        </w:rPr>
        <w:t xml:space="preserve"> made strong progress towards effectively developing a competitive product space that helps to accumulate complicated knowledge and technology. In order to provide a more concrete answer to why this has happened, we will dive into an analysis of </w:t>
      </w:r>
      <w:r w:rsidDel="00000000" w:rsidR="00000000" w:rsidRPr="00000000">
        <w:rPr>
          <w:rtl w:val="0"/>
        </w:rPr>
        <w:t xml:space="preserve">Australia</w:t>
      </w:r>
      <w:r w:rsidDel="00000000" w:rsidR="00000000" w:rsidRPr="00000000">
        <w:rPr>
          <w:rtl w:val="0"/>
        </w:rPr>
        <w:t xml:space="preserve">’s production structure and its product space designs in the next few sections.</w:t>
      </w: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114300" distT="114300" distL="114300" distR="114300">
            <wp:extent cx="3057736" cy="2290763"/>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57736"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b w:val="0"/>
          <w:bCs w:val="0"/>
          <w:i w:val="1"/>
          <w:iCs w:val="1"/>
          <w:color w:val="444499"/>
          <w:sz w:val="20"/>
          <w:szCs w:val="20"/>
        </w:rPr>
      </w:pPr>
      <w:r w:rsidDel="00000000" w:rsidR="00000000" w:rsidRPr="00000000">
        <w:rPr>
          <w:sz w:val="22"/>
          <w:szCs w:val="22"/>
          <w:rtl w:val="0"/>
        </w:rPr>
        <w:t xml:space="preserve">Figures 3. GDP Growth and ECI for</w:t>
      </w:r>
      <w:r w:rsidDel="00000000" w:rsidR="00000000" w:rsidRPr="00000000">
        <w:rPr>
          <w:sz w:val="22"/>
          <w:szCs w:val="22"/>
          <w:rtl w:val="0"/>
        </w:rPr>
        <w:t xml:space="preserve"> Australia</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5">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6">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A">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2">
            <w:pPr>
              <w:pageBreakBefore w:val="0"/>
              <w:jc w:val="center"/>
              <w:rPr/>
            </w:pPr>
            <w:r w:rsidDel="00000000" w:rsidR="00000000" w:rsidRPr="00000000">
              <w:rPr>
                <w:rtl w:val="0"/>
              </w:rPr>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B">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C">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3">
      <w:pPr>
        <w:pageBreakBefore w:val="0"/>
        <w:jc w:val="both"/>
        <w:rPr>
          <w:b w:val="1"/>
          <w:bCs w:val="1"/>
        </w:rPr>
      </w:pPr>
      <w:r w:rsidDel="00000000" w:rsidR="00000000" w:rsidRPr="00000000">
        <w:rPr>
          <w:rtl w:val="0"/>
        </w:rPr>
      </w:r>
    </w:p>
    <w:p w:rsidR="00000000" w:rsidDel="00000000" w:rsidP="00000000" w:rsidRDefault="00000000" w:rsidRPr="00000000" w14:paraId="00000084">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5">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Australia'</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Australia</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w:t>
      </w:r>
    </w:p>
    <w:p w:rsidR="00000000" w:rsidDel="00000000" w:rsidP="00000000" w:rsidRDefault="00000000" w:rsidRPr="00000000" w14:paraId="00000086">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-0.06176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-0.0587</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-0.05527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-0.05483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-0.04838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-0.04675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-0.04669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-0.03713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-0.02839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-0.02437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-0.01499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-0.01317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-0.01309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Animal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-0.0087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-0.00759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-0.0011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0.007049</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0.008642</w:t>
            </w:r>
          </w:p>
        </w:tc>
      </w:tr>
    </w:tbl>
    <w:p w:rsidR="00000000" w:rsidDel="00000000" w:rsidP="00000000" w:rsidRDefault="00000000" w:rsidRPr="00000000" w14:paraId="000000AD">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Australia</w:t>
      </w:r>
      <w:r w:rsidDel="00000000" w:rsidR="00000000" w:rsidRPr="00000000">
        <w:rPr>
          <w:rtl w:val="0"/>
        </w:rPr>
      </w:r>
    </w:p>
    <w:p w:rsidR="00000000" w:rsidDel="00000000" w:rsidP="00000000" w:rsidRDefault="00000000" w:rsidRPr="00000000" w14:paraId="000000AE">
      <w:pPr>
        <w:pageBreakBefore w:val="0"/>
        <w:jc w:val="both"/>
        <w:rPr>
          <w:b w:val="1"/>
          <w:bCs w:val="1"/>
        </w:rPr>
      </w:pPr>
      <w:r w:rsidDel="00000000" w:rsidR="00000000" w:rsidRPr="00000000">
        <w:rPr>
          <w:rtl w:val="0"/>
        </w:rPr>
      </w:r>
    </w:p>
    <w:p w:rsidR="00000000" w:rsidDel="00000000" w:rsidP="00000000" w:rsidRDefault="00000000" w:rsidRPr="00000000" w14:paraId="000000AF">
      <w:pPr>
        <w:pageBreakBefore w:val="0"/>
        <w:jc w:val="both"/>
        <w:rPr>
          <w:b w:val="1"/>
          <w:bCs w:val="1"/>
        </w:rPr>
      </w:pPr>
      <w:r w:rsidDel="00000000" w:rsidR="00000000" w:rsidRPr="00000000">
        <w:rPr>
          <w:rtl w:val="0"/>
        </w:rPr>
      </w:r>
    </w:p>
    <w:p w:rsidR="00000000" w:rsidDel="00000000" w:rsidP="00000000" w:rsidRDefault="00000000" w:rsidRPr="00000000" w14:paraId="000000B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1">
      <w:pPr>
        <w:jc w:val="both"/>
        <w:rPr/>
      </w:pPr>
      <w:r w:rsidDel="00000000" w:rsidR="00000000" w:rsidRPr="00000000">
        <w:rPr>
          <w:rtl w:val="0"/>
        </w:rPr>
        <w:t xml:space="preserve">Table 4a below summarize how the production strategy adopted by Australia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2">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3">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4">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5">
            <w:pPr>
              <w:jc w:val="both"/>
              <w:rPr/>
            </w:pPr>
            <w:r w:rsidDel="00000000" w:rsidR="00000000" w:rsidRPr="00000000">
              <w:rPr>
                <w:rtl w:val="0"/>
              </w:rPr>
              <w:t xml:space="preserve">USA</w:t>
            </w:r>
          </w:p>
        </w:tc>
        <w:tc>
          <w:tcPr>
            <w:vAlign w:val="center"/>
          </w:tcPr>
          <w:p w:rsidR="00000000" w:rsidDel="00000000" w:rsidP="00000000" w:rsidRDefault="00000000" w:rsidRPr="00000000" w14:paraId="000000B6">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7">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8">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B9">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A">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BB">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E">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2">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4">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6">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CA">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CB">
      <w:pPr>
        <w:jc w:val="center"/>
        <w:rPr/>
      </w:pPr>
      <w:r w:rsidDel="00000000" w:rsidR="00000000" w:rsidRPr="00000000">
        <w:rPr>
          <w:sz w:val="22"/>
          <w:szCs w:val="22"/>
          <w:rtl w:val="0"/>
        </w:rPr>
        <w:t xml:space="preserve">Table 4a. RID Comparison across Leading Economies (2022)</w:t>
      </w:r>
      <w:r w:rsidDel="00000000" w:rsidR="00000000" w:rsidRPr="00000000">
        <w:rPr>
          <w:rtl w:val="0"/>
        </w:rPr>
      </w:r>
    </w:p>
    <w:p w:rsidR="00000000" w:rsidDel="00000000" w:rsidP="00000000" w:rsidRDefault="00000000" w:rsidRPr="00000000" w14:paraId="000000CC">
      <w:pPr>
        <w:jc w:val="center"/>
        <w:rPr>
          <w:sz w:val="22"/>
          <w:szCs w:val="22"/>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Table 4b further examines Australia’s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p>
    <w:p w:rsidR="00000000" w:rsidDel="00000000" w:rsidP="00000000" w:rsidRDefault="00000000" w:rsidRPr="00000000" w14:paraId="000000CE">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CF">
            <w:pPr>
              <w:jc w:val="both"/>
              <w:rPr/>
            </w:pPr>
            <w:r w:rsidDel="00000000" w:rsidR="00000000" w:rsidRPr="00000000">
              <w:rPr>
                <w:rtl w:val="0"/>
              </w:rPr>
              <w:t xml:space="preserve">Ranking</w:t>
            </w:r>
          </w:p>
        </w:tc>
        <w:tc>
          <w:tcPr/>
          <w:p w:rsidR="00000000" w:rsidDel="00000000" w:rsidP="00000000" w:rsidRDefault="00000000" w:rsidRPr="00000000" w14:paraId="000000D0">
            <w:pPr>
              <w:jc w:val="both"/>
              <w:rPr/>
            </w:pPr>
            <w:r w:rsidDel="00000000" w:rsidR="00000000" w:rsidRPr="00000000">
              <w:rPr>
                <w:rtl w:val="0"/>
              </w:rPr>
              <w:t xml:space="preserve">China</w:t>
            </w:r>
          </w:p>
        </w:tc>
        <w:tc>
          <w:tcPr/>
          <w:p w:rsidR="00000000" w:rsidDel="00000000" w:rsidP="00000000" w:rsidRDefault="00000000" w:rsidRPr="00000000" w14:paraId="000000D1">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2">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3">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4">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5">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7">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A">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DD">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E0">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1">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5">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6">
      <w:pPr>
        <w:pageBreakBefore w:val="0"/>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E7">
      <w:pPr>
        <w:jc w:val="both"/>
        <w:rPr/>
      </w:pPr>
      <w:r w:rsidDel="00000000" w:rsidR="00000000" w:rsidRPr="00000000">
        <w:rPr>
          <w:rFonts w:ascii="Times" w:cs="Times" w:eastAsia="Times" w:hAnsi="Times"/>
          <w:b w:val="1"/>
          <w:bCs w:val="1"/>
          <w:sz w:val="28"/>
          <w:szCs w:val="28"/>
        </w:rPr>
        <w:drawing>
          <wp:inline distB="114300" distT="114300" distL="114300" distR="114300">
            <wp:extent cx="5731200" cy="2374900"/>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0E9">
      <w:pPr>
        <w:pageBreakBefore w:val="0"/>
        <w:jc w:val="center"/>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We define the ranking of opportunity gain for a country c, as the Suggested Development Vector (SDV) of c. Table 5 summarize how the SDV of </w:t>
      </w:r>
      <w:r w:rsidDel="00000000" w:rsidR="00000000" w:rsidRPr="00000000">
        <w:rPr>
          <w:rtl w:val="0"/>
        </w:rPr>
        <w:t xml:space="preserve">Australia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EB">
      <w:pPr>
        <w:pageBreakBefore w:val="0"/>
        <w:jc w:val="both"/>
        <w:rPr/>
      </w:pP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Services and Utilities industries. It can be concluded that </w:t>
      </w:r>
      <w:r w:rsidDel="00000000" w:rsidR="00000000" w:rsidRPr="00000000">
        <w:rPr>
          <w:rtl w:val="0"/>
        </w:rPr>
        <w:t xml:space="preserve">Australia</w:t>
      </w:r>
      <w:r w:rsidDel="00000000" w:rsidR="00000000" w:rsidRPr="00000000">
        <w:rPr>
          <w:rtl w:val="0"/>
        </w:rPr>
        <w:t xml:space="preserve"> shares the characteristics of developing countries, with a balanced economic structure that leans towards more complex industries.</w:t>
      </w:r>
      <w:r w:rsidDel="00000000" w:rsidR="00000000" w:rsidRPr="00000000">
        <w:rPr>
          <w:rtl w:val="0"/>
        </w:rPr>
        <w:t xml:space="preserve"> Although it’s ECI has increased over the past four years, there remains significant room for improvement. </w:t>
      </w:r>
    </w:p>
    <w:p w:rsidR="00000000" w:rsidDel="00000000" w:rsidP="00000000" w:rsidRDefault="00000000" w:rsidRPr="00000000" w14:paraId="000000ED">
      <w:pPr>
        <w:jc w:val="both"/>
        <w:rPr/>
      </w:pPr>
      <w:r w:rsidDel="00000000" w:rsidR="00000000" w:rsidRPr="00000000">
        <w:rPr/>
        <w:drawing>
          <wp:inline distB="114300" distT="114300" distL="114300" distR="114300">
            <wp:extent cx="5731200" cy="2273300"/>
            <wp:effectExtent b="0" l="0" r="0" t="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0EF">
      <w:pPr>
        <w:pageBreakBefore w:val="0"/>
        <w:jc w:val="left"/>
        <w:rPr/>
      </w:pP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4">
      <w:pPr>
        <w:pageBreakBefore w:val="0"/>
        <w:jc w:val="both"/>
        <w:rPr/>
      </w:pPr>
      <w:r w:rsidDel="00000000" w:rsidR="00000000" w:rsidRPr="00000000">
        <w:rPr>
          <w:rtl w:val="0"/>
        </w:rPr>
      </w:r>
    </w:p>
    <w:p w:rsidR="00000000" w:rsidDel="00000000" w:rsidP="00000000" w:rsidRDefault="00000000" w:rsidRPr="00000000" w14:paraId="000000F5">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ageBreakBefore w:val="0"/>
        <w:jc w:val="center"/>
        <w:rPr/>
      </w:pPr>
      <w:r w:rsidDel="00000000" w:rsidR="00000000" w:rsidRPr="00000000">
        <w:rPr>
          <w:rtl w:val="0"/>
        </w:rPr>
      </w:r>
    </w:p>
    <w:p w:rsidR="00000000" w:rsidDel="00000000" w:rsidP="00000000" w:rsidRDefault="00000000" w:rsidRPr="00000000" w14:paraId="000000F7">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8">
      <w:pPr>
        <w:pageBreakBefore w:val="0"/>
        <w:jc w:val="both"/>
        <w:rPr/>
      </w:pPr>
      <w:r w:rsidDel="00000000" w:rsidR="00000000" w:rsidRPr="00000000">
        <w:rPr>
          <w:rtl w:val="0"/>
        </w:rPr>
        <w:t xml:space="preserve"> </w:t>
      </w:r>
    </w:p>
    <w:p w:rsidR="00000000" w:rsidDel="00000000" w:rsidP="00000000" w:rsidRDefault="00000000" w:rsidRPr="00000000" w14:paraId="000000F9">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FA">
      <w:pPr>
        <w:pageBreakBefore w:val="0"/>
        <w:jc w:val="both"/>
        <w:rPr/>
      </w:pPr>
      <w:r w:rsidDel="00000000" w:rsidR="00000000" w:rsidRPr="00000000">
        <w:rPr>
          <w:rtl w:val="0"/>
        </w:rPr>
        <w:t xml:space="preserve"> </w:t>
      </w:r>
    </w:p>
    <w:p w:rsidR="00000000" w:rsidDel="00000000" w:rsidP="00000000" w:rsidRDefault="00000000" w:rsidRPr="00000000" w14:paraId="000000FB">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FC">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0">
      <w:pPr>
        <w:pageBreakBefore w:val="0"/>
        <w:rPr/>
      </w:pPr>
      <w:r w:rsidDel="00000000" w:rsidR="00000000" w:rsidRPr="00000000">
        <w:rPr>
          <w:rtl w:val="0"/>
        </w:rPr>
        <w:t xml:space="preserve"> </w:t>
      </w:r>
    </w:p>
    <w:p w:rsidR="00000000" w:rsidDel="00000000" w:rsidP="00000000" w:rsidRDefault="00000000" w:rsidRPr="00000000" w14:paraId="00000101">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4">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5">
      <w:pPr>
        <w:pageBreakBefore w:val="0"/>
        <w:jc w:val="both"/>
        <w:rPr>
          <w:b w:val="1"/>
          <w:bCs w:val="1"/>
        </w:rPr>
      </w:pPr>
      <w:r w:rsidDel="00000000" w:rsidR="00000000" w:rsidRPr="00000000">
        <w:rPr>
          <w:rtl w:val="0"/>
        </w:rPr>
      </w:r>
    </w:p>
    <w:p w:rsidR="00000000" w:rsidDel="00000000" w:rsidP="00000000" w:rsidRDefault="00000000" w:rsidRPr="00000000" w14:paraId="00000106">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7">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08">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2F">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0">
      <w:pPr>
        <w:pageBreakBefore w:val="0"/>
        <w:jc w:val="center"/>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t xml:space="preserve">Figures 4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Australia</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Australia</w:t>
      </w:r>
      <w:r w:rsidDel="00000000" w:rsidR="00000000" w:rsidRPr="00000000">
        <w:rPr>
          <w:rtl w:val="0"/>
        </w:rPr>
        <w:t xml:space="preserve"> have slightly different </w:t>
      </w:r>
      <w:r w:rsidDel="00000000" w:rsidR="00000000" w:rsidRPr="00000000">
        <w:rPr>
          <w:rtl w:val="0"/>
        </w:rPr>
        <w:t xml:space="preserve">industry distributions though are relatively consistent.</w:t>
      </w:r>
    </w:p>
    <w:p w:rsidR="00000000" w:rsidDel="00000000" w:rsidP="00000000" w:rsidRDefault="00000000" w:rsidRPr="00000000" w14:paraId="00000132">
      <w:pPr>
        <w:pageBreakBefore w:val="0"/>
        <w:jc w:val="both"/>
        <w:rPr/>
      </w:pPr>
      <w:r w:rsidDel="00000000" w:rsidR="00000000" w:rsidRPr="00000000">
        <w:rPr>
          <w:rtl w:val="0"/>
        </w:rPr>
        <w:t xml:space="preserve"> </w:t>
      </w:r>
    </w:p>
    <w:p w:rsidR="00000000" w:rsidDel="00000000" w:rsidP="00000000" w:rsidRDefault="00000000" w:rsidRPr="00000000" w14:paraId="00000133">
      <w:pPr>
        <w:pageBreakBefore w:val="0"/>
        <w:jc w:val="both"/>
        <w:rPr/>
      </w:pPr>
      <w:r w:rsidDel="00000000" w:rsidR="00000000" w:rsidRPr="00000000">
        <w:rPr>
          <w:rtl w:val="0"/>
        </w:rPr>
        <w:t xml:space="preserve">For 2022, in the case of 5 percent export growth, Textiles is the primary industry with Food and Preparation as a secondary industry. With a budget of 10 percent export growth, Textiles dominates with small presence of High-complexity Products. For 15% and 20%, there is an even representation of Food and Preparations and Textiles with a small presence of High-complexity in the latter. This suggests that with any increase in investment, all resources should be directed to Textiles. A more detailed numerical representation of the portfolio is shown in Table 8a. </w:t>
      </w:r>
      <w:r w:rsidDel="00000000" w:rsidR="00000000" w:rsidRPr="00000000">
        <w:rPr>
          <w:rtl w:val="0"/>
        </w:rPr>
        <w:t xml:space="preserve">The increased ECI row of the table suggests that any increases in 10%, 15%, and 20% yield the same increase in ECI, which means that Australia should focus on 5% and 10%. Thus, for optimal development, it should invest firstly in Textile followed by Food and Preparation and High-complexity Products. </w:t>
      </w:r>
    </w:p>
    <w:p w:rsidR="00000000" w:rsidDel="00000000" w:rsidP="00000000" w:rsidRDefault="00000000" w:rsidRPr="00000000" w14:paraId="00000134">
      <w:pPr>
        <w:pageBreakBefore w:val="0"/>
        <w:jc w:val="both"/>
        <w:rPr/>
      </w:pPr>
      <w:r w:rsidDel="00000000" w:rsidR="00000000" w:rsidRPr="00000000">
        <w:rPr/>
        <w:drawing>
          <wp:inline distB="114300" distT="114300" distL="114300" distR="114300">
            <wp:extent cx="5734050" cy="2105025"/>
            <wp:effectExtent b="0" l="0" r="0" t="0"/>
            <wp:docPr id="3" name="image9.png"/>
            <a:graphic>
              <a:graphicData uri="http://schemas.openxmlformats.org/drawingml/2006/picture">
                <pic:pic>
                  <pic:nvPicPr>
                    <pic:cNvPr id="0" name="image9.png"/>
                    <pic:cNvPicPr preferRelativeResize="0"/>
                  </pic:nvPicPr>
                  <pic:blipFill>
                    <a:blip r:embed="rId15"/>
                    <a:srcRect b="26578" l="0" r="0" t="0"/>
                    <a:stretch>
                      <a:fillRect/>
                    </a:stretch>
                  </pic:blipFill>
                  <pic:spPr>
                    <a:xfrm>
                      <a:off x="0" y="0"/>
                      <a:ext cx="57340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drawing>
          <wp:inline distB="114300" distT="114300" distL="114300" distR="114300">
            <wp:extent cx="5731200" cy="21590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Australia</w:t>
      </w:r>
      <w:r w:rsidDel="00000000" w:rsidR="00000000" w:rsidRPr="00000000">
        <w:rPr>
          <w:sz w:val="22"/>
          <w:szCs w:val="22"/>
          <w:rtl w:val="0"/>
        </w:rPr>
        <w:t xml:space="preserve"> with Different Budgets (2022)</w:t>
      </w:r>
    </w:p>
    <w:p w:rsidR="00000000" w:rsidDel="00000000" w:rsidP="00000000" w:rsidRDefault="00000000" w:rsidRPr="00000000" w14:paraId="00000137">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38">
            <w:pPr>
              <w:jc w:val="center"/>
              <w:rPr>
                <w:sz w:val="20"/>
                <w:szCs w:val="20"/>
              </w:rPr>
            </w:pPr>
            <w:r w:rsidDel="00000000" w:rsidR="00000000" w:rsidRPr="00000000">
              <w:rPr>
                <w:b w:val="1"/>
                <w:bCs w:val="1"/>
                <w:sz w:val="20"/>
                <w:szCs w:val="20"/>
                <w:rtl w:val="0"/>
              </w:rPr>
              <w:t xml:space="preserve">Australia</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3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3E">
            <w:pPr>
              <w:jc w:val="center"/>
              <w:rPr>
                <w:sz w:val="20"/>
                <w:szCs w:val="20"/>
              </w:rPr>
            </w:pPr>
            <w:r w:rsidDel="00000000" w:rsidR="00000000" w:rsidRPr="00000000">
              <w:rPr>
                <w:b w:val="1"/>
                <w:bCs w:val="1"/>
                <w:sz w:val="20"/>
                <w:szCs w:val="20"/>
                <w:rtl w:val="0"/>
              </w:rPr>
              <w:t xml:space="preserve">1.308419468</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3">
            <w:pPr>
              <w:widowControl w:val="0"/>
              <w:spacing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4">
            <w:pPr>
              <w:widowControl w:val="0"/>
              <w:spacing w:line="276"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5">
            <w:pPr>
              <w:widowControl w:val="0"/>
              <w:spacing w:line="276"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6">
            <w:pPr>
              <w:widowControl w:val="0"/>
              <w:spacing w:line="276"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8">
            <w:pPr>
              <w:widowControl w:val="0"/>
              <w:spacing w:line="240" w:lineRule="auto"/>
              <w:jc w:val="center"/>
              <w:rPr>
                <w:sz w:val="20"/>
                <w:szCs w:val="20"/>
              </w:rPr>
            </w:pPr>
            <w:r w:rsidDel="00000000" w:rsidR="00000000" w:rsidRPr="00000000">
              <w:rPr>
                <w:sz w:val="20"/>
                <w:szCs w:val="20"/>
                <w:rtl w:val="0"/>
              </w:rPr>
              <w:t xml:space="preserve">1.06E+10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9">
            <w:pPr>
              <w:widowControl w:val="0"/>
              <w:spacing w:line="240" w:lineRule="auto"/>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A">
            <w:pPr>
              <w:widowControl w:val="0"/>
              <w:spacing w:line="240" w:lineRule="auto"/>
              <w:jc w:val="center"/>
              <w:rPr>
                <w:sz w:val="18"/>
                <w:szCs w:val="18"/>
              </w:rPr>
            </w:pPr>
            <w:r w:rsidDel="00000000" w:rsidR="00000000" w:rsidRPr="00000000">
              <w:rPr>
                <w:sz w:val="20"/>
                <w:szCs w:val="20"/>
                <w:rtl w:val="0"/>
              </w:rPr>
              <w:t xml:space="preserve">3.48E+10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B">
            <w:pPr>
              <w:widowControl w:val="0"/>
              <w:spacing w:line="240" w:lineRule="auto"/>
              <w:jc w:val="center"/>
              <w:rPr>
                <w:sz w:val="18"/>
                <w:szCs w:val="18"/>
              </w:rPr>
            </w:pPr>
            <w:r w:rsidDel="00000000" w:rsidR="00000000" w:rsidRPr="00000000">
              <w:rPr>
                <w:sz w:val="20"/>
                <w:szCs w:val="20"/>
                <w:rtl w:val="0"/>
              </w:rPr>
              <w:t xml:space="preserve">4.06E+10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40" w:lineRule="auto"/>
              <w:jc w:val="center"/>
              <w:rPr>
                <w:sz w:val="20"/>
                <w:szCs w:val="20"/>
              </w:rPr>
            </w:pPr>
            <w:r w:rsidDel="00000000" w:rsidR="00000000" w:rsidRPr="00000000">
              <w:rPr>
                <w:sz w:val="20"/>
                <w:szCs w:val="20"/>
                <w:rtl w:val="0"/>
              </w:rPr>
              <w:t xml:space="preserve">1.84E+10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4E">
            <w:pPr>
              <w:widowControl w:val="0"/>
              <w:spacing w:line="240" w:lineRule="auto"/>
              <w:jc w:val="center"/>
              <w:rPr>
                <w:sz w:val="20"/>
                <w:szCs w:val="20"/>
              </w:rPr>
            </w:pPr>
            <w:r w:rsidDel="00000000" w:rsidR="00000000" w:rsidRPr="00000000">
              <w:rPr>
                <w:sz w:val="20"/>
                <w:szCs w:val="20"/>
                <w:rtl w:val="0"/>
              </w:rPr>
              <w:t xml:space="preserve">5.74E+10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4F">
            <w:pPr>
              <w:widowControl w:val="0"/>
              <w:spacing w:line="240" w:lineRule="auto"/>
              <w:jc w:val="center"/>
              <w:rPr>
                <w:sz w:val="18"/>
                <w:szCs w:val="18"/>
              </w:rPr>
            </w:pPr>
            <w:r w:rsidDel="00000000" w:rsidR="00000000" w:rsidRPr="00000000">
              <w:rPr>
                <w:sz w:val="20"/>
                <w:szCs w:val="20"/>
                <w:rtl w:val="0"/>
              </w:rPr>
              <w:t xml:space="preserve">3.04E+10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0">
            <w:pPr>
              <w:widowControl w:val="0"/>
              <w:spacing w:line="240" w:lineRule="auto"/>
              <w:jc w:val="center"/>
              <w:rPr>
                <w:sz w:val="18"/>
                <w:szCs w:val="18"/>
              </w:rPr>
            </w:pPr>
            <w:r w:rsidDel="00000000" w:rsidR="00000000" w:rsidRPr="00000000">
              <w:rPr>
                <w:sz w:val="20"/>
                <w:szCs w:val="20"/>
                <w:rtl w:val="0"/>
              </w:rPr>
              <w:t xml:space="preserve">4.35E+10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2">
            <w:pPr>
              <w:widowControl w:val="0"/>
              <w:spacing w:line="240" w:lineRule="auto"/>
              <w:jc w:val="center"/>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3">
            <w:pPr>
              <w:widowControl w:val="0"/>
              <w:spacing w:line="240" w:lineRule="auto"/>
              <w:jc w:val="center"/>
              <w:rPr>
                <w:sz w:val="20"/>
                <w:szCs w:val="20"/>
              </w:rPr>
            </w:pPr>
            <w:r w:rsidDel="00000000" w:rsidR="00000000" w:rsidRPr="00000000">
              <w:rPr>
                <w:sz w:val="20"/>
                <w:szCs w:val="20"/>
                <w:rtl w:val="0"/>
              </w:rPr>
              <w:t xml:space="preserve">1.98E+09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20"/>
                <w:szCs w:val="20"/>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5">
            <w:pPr>
              <w:widowControl w:val="0"/>
              <w:spacing w:line="240" w:lineRule="auto"/>
              <w:jc w:val="center"/>
              <w:rPr>
                <w:sz w:val="18"/>
                <w:szCs w:val="18"/>
              </w:rPr>
            </w:pPr>
            <w:r w:rsidDel="00000000" w:rsidR="00000000" w:rsidRPr="00000000">
              <w:rPr>
                <w:sz w:val="20"/>
                <w:szCs w:val="20"/>
                <w:rtl w:val="0"/>
              </w:rPr>
              <w:t xml:space="preserve">2.90E+09</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6">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7">
            <w:pPr>
              <w:widowControl w:val="0"/>
              <w:spacing w:line="240" w:lineRule="auto"/>
              <w:jc w:val="center"/>
              <w:rPr>
                <w:b w:val="1"/>
                <w:bCs w:val="1"/>
                <w:sz w:val="20"/>
                <w:szCs w:val="20"/>
              </w:rPr>
            </w:pPr>
            <w:r w:rsidDel="00000000" w:rsidR="00000000" w:rsidRPr="00000000">
              <w:rPr>
                <w:b w:val="1"/>
                <w:bCs w:val="1"/>
                <w:sz w:val="20"/>
                <w:szCs w:val="20"/>
                <w:rtl w:val="0"/>
              </w:rPr>
              <w:t xml:space="preserve">1.362640025</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8">
            <w:pPr>
              <w:widowControl w:val="0"/>
              <w:spacing w:line="240" w:lineRule="auto"/>
              <w:jc w:val="center"/>
              <w:rPr>
                <w:b w:val="1"/>
                <w:bCs w:val="1"/>
                <w:sz w:val="20"/>
                <w:szCs w:val="20"/>
              </w:rPr>
            </w:pPr>
            <w:r w:rsidDel="00000000" w:rsidR="00000000" w:rsidRPr="00000000">
              <w:rPr>
                <w:b w:val="1"/>
                <w:bCs w:val="1"/>
                <w:sz w:val="20"/>
                <w:szCs w:val="20"/>
                <w:rtl w:val="0"/>
              </w:rPr>
              <w:t xml:space="preserve">1.374306893</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9">
            <w:pPr>
              <w:widowControl w:val="0"/>
              <w:spacing w:line="240" w:lineRule="auto"/>
              <w:jc w:val="center"/>
              <w:rPr>
                <w:b w:val="1"/>
                <w:bCs w:val="1"/>
                <w:sz w:val="20"/>
                <w:szCs w:val="20"/>
              </w:rPr>
            </w:pPr>
            <w:r w:rsidDel="00000000" w:rsidR="00000000" w:rsidRPr="00000000">
              <w:rPr>
                <w:b w:val="1"/>
                <w:bCs w:val="1"/>
                <w:sz w:val="20"/>
                <w:szCs w:val="20"/>
                <w:rtl w:val="0"/>
              </w:rPr>
              <w:t xml:space="preserve">1.374306893</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A">
            <w:pPr>
              <w:widowControl w:val="0"/>
              <w:spacing w:line="240" w:lineRule="auto"/>
              <w:jc w:val="center"/>
              <w:rPr>
                <w:b w:val="1"/>
                <w:bCs w:val="1"/>
                <w:sz w:val="20"/>
                <w:szCs w:val="20"/>
              </w:rPr>
            </w:pPr>
            <w:r w:rsidDel="00000000" w:rsidR="00000000" w:rsidRPr="00000000">
              <w:rPr>
                <w:b w:val="1"/>
                <w:bCs w:val="1"/>
                <w:sz w:val="20"/>
                <w:szCs w:val="20"/>
                <w:rtl w:val="0"/>
              </w:rPr>
              <w:t xml:space="preserve">1.374306893</w:t>
            </w:r>
          </w:p>
        </w:tc>
      </w:tr>
    </w:tbl>
    <w:p w:rsidR="00000000" w:rsidDel="00000000" w:rsidP="00000000" w:rsidRDefault="00000000" w:rsidRPr="00000000" w14:paraId="0000015B">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Australia</w:t>
      </w:r>
      <w:r w:rsidDel="00000000" w:rsidR="00000000" w:rsidRPr="00000000">
        <w:rPr>
          <w:sz w:val="22"/>
          <w:szCs w:val="22"/>
          <w:rtl w:val="0"/>
        </w:rPr>
        <w:t xml:space="preserve"> (2022)</w:t>
      </w:r>
    </w:p>
    <w:p w:rsidR="00000000" w:rsidDel="00000000" w:rsidP="00000000" w:rsidRDefault="00000000" w:rsidRPr="00000000" w14:paraId="0000015C">
      <w:pPr>
        <w:jc w:val="center"/>
        <w:rPr>
          <w:sz w:val="22"/>
          <w:szCs w:val="22"/>
        </w:rPr>
      </w:pPr>
      <w:r w:rsidDel="00000000" w:rsidR="00000000" w:rsidRPr="00000000">
        <w:rPr>
          <w:rtl w:val="0"/>
        </w:rPr>
      </w:r>
    </w:p>
    <w:p w:rsidR="00000000" w:rsidDel="00000000" w:rsidP="00000000" w:rsidRDefault="00000000" w:rsidRPr="00000000" w14:paraId="0000015D">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5E">
      <w:pPr>
        <w:pageBreakBefore w:val="0"/>
        <w:spacing w:after="0" w:before="0" w:line="276" w:lineRule="auto"/>
        <w:jc w:val="both"/>
        <w:rPr/>
      </w:pPr>
      <w:r w:rsidDel="00000000" w:rsidR="00000000" w:rsidRPr="00000000">
        <w:rPr>
          <w:rtl w:val="0"/>
        </w:rPr>
        <w:t xml:space="preserve">In the following section, our broad aim is to understand how sensitive </w:t>
      </w:r>
      <w:r w:rsidDel="00000000" w:rsidR="00000000" w:rsidRPr="00000000">
        <w:rPr>
          <w:rtl w:val="0"/>
        </w:rPr>
        <w:t xml:space="preserve">Australia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5F">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60">
      <w:pPr>
        <w:pageBreakBefore w:val="0"/>
        <w:spacing w:after="240" w:before="240" w:line="276" w:lineRule="auto"/>
        <w:jc w:val="both"/>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61">
      <w:pPr>
        <w:jc w:val="both"/>
        <w:rPr>
          <w:b w:val="1"/>
          <w:bCs w:val="1"/>
        </w:rPr>
      </w:pPr>
      <w:r w:rsidDel="00000000" w:rsidR="00000000" w:rsidRPr="00000000">
        <w:rPr>
          <w:b w:val="1"/>
          <w:bCs w:val="1"/>
        </w:rPr>
        <w:drawing>
          <wp:inline distB="114300" distT="114300" distL="114300" distR="114300">
            <wp:extent cx="5310188" cy="2519630"/>
            <wp:effectExtent b="0" l="0" r="0" t="0"/>
            <wp:docPr id="6" name="image3.jpg"/>
            <a:graphic>
              <a:graphicData uri="http://schemas.openxmlformats.org/drawingml/2006/picture">
                <pic:pic>
                  <pic:nvPicPr>
                    <pic:cNvPr id="0" name="image3.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63">
      <w:pPr>
        <w:pageBreakBefore w:val="0"/>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65">
      <w:pPr>
        <w:pageBreakBefore w:val="0"/>
        <w:jc w:val="both"/>
        <w:rPr/>
      </w:pPr>
      <w:r w:rsidDel="00000000" w:rsidR="00000000" w:rsidRPr="00000000">
        <w:rPr>
          <w:rtl w:val="0"/>
        </w:rPr>
        <w:t xml:space="preserve">We examine </w:t>
      </w:r>
      <w:r w:rsidDel="00000000" w:rsidR="00000000" w:rsidRPr="00000000">
        <w:rPr>
          <w:rtl w:val="0"/>
        </w:rPr>
        <w:t xml:space="preserve">Australia</w:t>
      </w:r>
      <w:r w:rsidDel="00000000" w:rsidR="00000000" w:rsidRPr="00000000">
        <w:rPr>
          <w:rtl w:val="0"/>
        </w:rPr>
        <w:t xml:space="preserve">'s ECI Decremental and Incremental Sensitivity Charts for 2022. An increase in Energy Drilling and Mining will lead to the highest change in ECI, followed by High-Complexity Products and Textiles. The significance of Energy Drilling and Mining, not captured in the greedy algorithm, suggests that it is also critical to increasing ECI and consequently developing Australia’s economy. The other two industries are consistent with previous analyses. For the negative shock cases, Energy Drilling and Mining is again the most important. The rest of the industries do not appear to have the same level of sensitivity.</w:t>
      </w:r>
      <w:r w:rsidDel="00000000" w:rsidR="00000000" w:rsidRPr="00000000">
        <w:rPr>
          <w:rtl w:val="0"/>
        </w:rPr>
        <w:t xml:space="preserve"> This suggests that even in economic downturns, Australia should continue to invest in Energy Drilling and Mining to avoid additional decreases in ECI.</w:t>
      </w:r>
    </w:p>
    <w:p w:rsidR="00000000" w:rsidDel="00000000" w:rsidP="00000000" w:rsidRDefault="00000000" w:rsidRPr="00000000" w14:paraId="00000166">
      <w:pPr>
        <w:pageBreakBefore w:val="0"/>
        <w:jc w:val="both"/>
        <w:rPr/>
      </w:pPr>
      <w:r w:rsidDel="00000000" w:rsidR="00000000" w:rsidRPr="00000000">
        <w:rPr/>
        <w:drawing>
          <wp:inline distB="114300" distT="114300" distL="114300" distR="114300">
            <wp:extent cx="5734050" cy="3819525"/>
            <wp:effectExtent b="0" l="0" r="0" t="0"/>
            <wp:docPr id="14" name="image10.png"/>
            <a:graphic>
              <a:graphicData uri="http://schemas.openxmlformats.org/drawingml/2006/picture">
                <pic:pic>
                  <pic:nvPicPr>
                    <pic:cNvPr id="0" name="image10.png"/>
                    <pic:cNvPicPr preferRelativeResize="0"/>
                  </pic:nvPicPr>
                  <pic:blipFill>
                    <a:blip r:embed="rId18"/>
                    <a:srcRect b="6527"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Australia</w:t>
      </w:r>
      <w:r w:rsidDel="00000000" w:rsidR="00000000" w:rsidRPr="00000000">
        <w:rPr>
          <w:sz w:val="22"/>
          <w:szCs w:val="22"/>
          <w:rtl w:val="0"/>
        </w:rPr>
        <w:t xml:space="preserve"> (2022)</w:t>
      </w:r>
    </w:p>
    <w:p w:rsidR="00000000" w:rsidDel="00000000" w:rsidP="00000000" w:rsidRDefault="00000000" w:rsidRPr="00000000" w14:paraId="00000168">
      <w:pPr>
        <w:jc w:val="center"/>
        <w:rPr>
          <w:sz w:val="22"/>
          <w:szCs w:val="22"/>
        </w:rPr>
      </w:pPr>
      <w:r w:rsidDel="00000000" w:rsidR="00000000" w:rsidRPr="00000000">
        <w:rPr>
          <w:sz w:val="22"/>
          <w:szCs w:val="22"/>
        </w:rPr>
        <w:drawing>
          <wp:inline distB="114300" distT="114300" distL="114300" distR="114300">
            <wp:extent cx="5734050" cy="3829050"/>
            <wp:effectExtent b="0" l="0" r="0" t="0"/>
            <wp:docPr id="7" name="image13.png"/>
            <a:graphic>
              <a:graphicData uri="http://schemas.openxmlformats.org/drawingml/2006/picture">
                <pic:pic>
                  <pic:nvPicPr>
                    <pic:cNvPr id="0" name="image13.png"/>
                    <pic:cNvPicPr preferRelativeResize="0"/>
                  </pic:nvPicPr>
                  <pic:blipFill>
                    <a:blip r:embed="rId19"/>
                    <a:srcRect b="6294" l="0" r="0" t="0"/>
                    <a:stretch>
                      <a:fillRect/>
                    </a:stretch>
                  </pic:blipFill>
                  <pic:spPr>
                    <a:xfrm>
                      <a:off x="0" y="0"/>
                      <a:ext cx="57340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sz w:val="22"/>
          <w:szCs w:val="22"/>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Australia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pageBreakBefore w:val="0"/>
        <w:jc w:val="center"/>
        <w:rPr>
          <w:sz w:val="28"/>
          <w:szCs w:val="28"/>
        </w:rPr>
      </w:pPr>
      <w:r w:rsidDel="00000000" w:rsidR="00000000" w:rsidRPr="00000000">
        <w:rPr>
          <w:rtl w:val="0"/>
        </w:rPr>
      </w:r>
    </w:p>
    <w:p w:rsidR="00000000" w:rsidDel="00000000" w:rsidP="00000000" w:rsidRDefault="00000000" w:rsidRPr="00000000" w14:paraId="0000016C">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E">
      <w:pPr>
        <w:pageBreakBefore w:val="0"/>
        <w:jc w:val="both"/>
        <w:rPr>
          <w:b w:val="1"/>
          <w:bCs w:val="1"/>
        </w:rPr>
      </w:pPr>
      <w:r w:rsidDel="00000000" w:rsidR="00000000" w:rsidRPr="00000000">
        <w:rPr>
          <w:rtl w:val="0"/>
        </w:rPr>
      </w:r>
    </w:p>
    <w:p w:rsidR="00000000" w:rsidDel="00000000" w:rsidP="00000000" w:rsidRDefault="00000000" w:rsidRPr="00000000" w14:paraId="0000016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0">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73">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74">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6">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7">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8">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9">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A">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B">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7C">
      <w:pPr>
        <w:pageBreakBefore w:val="0"/>
        <w:jc w:val="left"/>
        <w:rPr/>
      </w:pPr>
      <w:r w:rsidDel="00000000" w:rsidR="00000000" w:rsidRPr="00000000">
        <w:rPr>
          <w:rtl w:val="0"/>
        </w:rPr>
      </w:r>
    </w:p>
    <w:p w:rsidR="00000000" w:rsidDel="00000000" w:rsidP="00000000" w:rsidRDefault="00000000" w:rsidRPr="00000000" w14:paraId="0000017D">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7E">
      <w:pPr>
        <w:pageBreakBefore w:val="0"/>
        <w:jc w:val="both"/>
        <w:rPr/>
      </w:pPr>
      <w:r w:rsidDel="00000000" w:rsidR="00000000" w:rsidRPr="00000000">
        <w:rPr>
          <w:rtl w:val="0"/>
        </w:rPr>
      </w:r>
    </w:p>
    <w:p w:rsidR="00000000" w:rsidDel="00000000" w:rsidP="00000000" w:rsidRDefault="00000000" w:rsidRPr="00000000" w14:paraId="0000017F">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Australia</w:t>
      </w:r>
      <w:r w:rsidDel="00000000" w:rsidR="00000000" w:rsidRPr="00000000">
        <w:rPr>
          <w:b w:val="1"/>
          <w:bCs w:val="1"/>
          <w:rtl w:val="0"/>
        </w:rPr>
        <w:t xml:space="preserve"> and Its Implications</w:t>
      </w:r>
    </w:p>
    <w:p w:rsidR="00000000" w:rsidDel="00000000" w:rsidP="00000000" w:rsidRDefault="00000000" w:rsidRPr="00000000" w14:paraId="00000180">
      <w:pPr>
        <w:pageBreakBefore w:val="0"/>
        <w:jc w:val="both"/>
        <w:rPr/>
      </w:pPr>
      <w:r w:rsidDel="00000000" w:rsidR="00000000" w:rsidRPr="00000000">
        <w:rPr>
          <w:rtl w:val="0"/>
        </w:rPr>
        <w:t xml:space="preserve">During the first examined period, </w:t>
      </w:r>
      <w:r w:rsidDel="00000000" w:rsidR="00000000" w:rsidRPr="00000000">
        <w:rPr>
          <w:rtl w:val="0"/>
        </w:rPr>
        <w:t xml:space="preserve">Australia</w:t>
      </w:r>
      <w:r w:rsidDel="00000000" w:rsidR="00000000" w:rsidRPr="00000000">
        <w:rPr>
          <w:rtl w:val="0"/>
        </w:rPr>
        <w:t xml:space="preserve">, for instance, has a low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Australia</w:t>
      </w:r>
      <w:r w:rsidDel="00000000" w:rsidR="00000000" w:rsidRPr="00000000">
        <w:rPr>
          <w:rtl w:val="0"/>
        </w:rPr>
        <w:t xml:space="preserve"> demonstrates a low level of correlation with the suggested developmental path, having an adjusted R-square of around 4.5%. </w:t>
      </w: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rtl w:val="0"/>
        </w:rPr>
      </w:r>
    </w:p>
    <w:p w:rsidR="00000000" w:rsidDel="00000000" w:rsidP="00000000" w:rsidRDefault="00000000" w:rsidRPr="00000000" w14:paraId="00000182">
      <w:pPr>
        <w:pageBreakBefore w:val="0"/>
        <w:jc w:val="both"/>
        <w:rPr/>
      </w:pPr>
      <w:r w:rsidDel="00000000" w:rsidR="00000000" w:rsidRPr="00000000">
        <w:rPr>
          <w:rtl w:val="0"/>
        </w:rPr>
        <w:t xml:space="preserve">Australia</w:t>
      </w:r>
      <w:r w:rsidDel="00000000" w:rsidR="00000000" w:rsidRPr="00000000">
        <w:rPr>
          <w:rtl w:val="0"/>
        </w:rPr>
        <w:t xml:space="preserve"> ranks in the middle among all countries in terms of SOI and has made a moderate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5.15%, which is consistent with the regression result in Figure 4b. </w:t>
      </w:r>
      <w:r w:rsidDel="00000000" w:rsidR="00000000" w:rsidRPr="00000000">
        <w:rPr>
          <w:rtl w:val="0"/>
        </w:rPr>
        <w:t xml:space="preserve">Specifically, </w:t>
      </w:r>
      <w:r w:rsidDel="00000000" w:rsidR="00000000" w:rsidRPr="00000000">
        <w:rPr>
          <w:rtl w:val="0"/>
        </w:rPr>
        <w:t xml:space="preserve">Australia</w:t>
      </w:r>
      <w:r w:rsidDel="00000000" w:rsidR="00000000" w:rsidRPr="00000000">
        <w:rPr>
          <w:rtl w:val="0"/>
        </w:rPr>
        <w:t xml:space="preserve">'s slow economic progress from 2019-2022 can be at least partially explained by a development strategy that demonstrates a considerable but not perfect level of matches with our suggested developmental path. In specific, </w:t>
      </w:r>
      <w:r w:rsidDel="00000000" w:rsidR="00000000" w:rsidRPr="00000000">
        <w:rPr>
          <w:rtl w:val="0"/>
        </w:rPr>
        <w:t xml:space="preserve">Australia</w:t>
      </w:r>
      <w:r w:rsidDel="00000000" w:rsidR="00000000" w:rsidRPr="00000000">
        <w:rPr>
          <w:rtl w:val="0"/>
        </w:rPr>
        <w:t xml:space="preserve"> invested heavily in the Chemical Manufacturing and Wood Products, while it should have focused more on industry groups such as </w:t>
      </w:r>
      <w:r w:rsidDel="00000000" w:rsidR="00000000" w:rsidRPr="00000000">
        <w:rPr>
          <w:rtl w:val="0"/>
        </w:rPr>
        <w:t xml:space="preserve">Food and Preparation.</w:t>
      </w:r>
    </w:p>
    <w:p w:rsidR="00000000" w:rsidDel="00000000" w:rsidP="00000000" w:rsidRDefault="00000000" w:rsidRPr="00000000" w14:paraId="00000183">
      <w:pPr>
        <w:jc w:val="both"/>
        <w:rPr/>
      </w:pPr>
      <w:r w:rsidDel="00000000" w:rsidR="00000000" w:rsidRPr="00000000">
        <w:rPr/>
        <w:drawing>
          <wp:inline distB="114300" distT="114300" distL="114300" distR="114300">
            <wp:extent cx="5731200" cy="22987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rtl w:val="0"/>
        </w:rPr>
      </w:r>
    </w:p>
    <w:p w:rsidR="00000000" w:rsidDel="00000000" w:rsidP="00000000" w:rsidRDefault="00000000" w:rsidRPr="00000000" w14:paraId="00000185">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Australia</w:t>
      </w:r>
      <w:r w:rsidDel="00000000" w:rsidR="00000000" w:rsidRPr="00000000">
        <w:rPr>
          <w:sz w:val="22"/>
          <w:szCs w:val="22"/>
          <w:rtl w:val="0"/>
        </w:rPr>
        <w:t xml:space="preserve"> (20</w:t>
        <w:tab/>
        <w:t xml:space="preserve">19-2022)</w:t>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In conclusion, </w:t>
      </w:r>
      <w:r w:rsidDel="00000000" w:rsidR="00000000" w:rsidRPr="00000000">
        <w:rPr>
          <w:rtl w:val="0"/>
        </w:rPr>
        <w:t xml:space="preserve">Australia</w:t>
      </w:r>
      <w:r w:rsidDel="00000000" w:rsidR="00000000" w:rsidRPr="00000000">
        <w:rPr>
          <w:rtl w:val="0"/>
        </w:rPr>
        <w:t xml:space="preserve"> has demonstrated a moderate level of economic growth in terms of annual GDP increase during the period from 2019 to 2022, concurrent with an increase in economic complexity as compared with major developed economies. </w:t>
      </w: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We believe that the mixed progress during this period can be partially explained through the analysis of the economic and product complexity structure of </w:t>
      </w:r>
      <w:r w:rsidDel="00000000" w:rsidR="00000000" w:rsidRPr="00000000">
        <w:rPr>
          <w:rtl w:val="0"/>
        </w:rPr>
        <w:t xml:space="preserve">Australia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Australia</w:t>
      </w:r>
      <w:r w:rsidDel="00000000" w:rsidR="00000000" w:rsidRPr="00000000">
        <w:rPr>
          <w:rtl w:val="0"/>
        </w:rPr>
        <w:t xml:space="preserve"> regressed in developing </w:t>
      </w:r>
      <w:r w:rsidDel="00000000" w:rsidR="00000000" w:rsidRPr="00000000">
        <w:rPr>
          <w:rtl w:val="0"/>
        </w:rPr>
        <w:t xml:space="preserve">most of its industries during the period</w:t>
      </w:r>
      <w:r w:rsidDel="00000000" w:rsidR="00000000" w:rsidRPr="00000000">
        <w:rPr>
          <w:rtl w:val="0"/>
        </w:rPr>
        <w:t xml:space="preserve">. Despite a larger increase in ECI compared to its peers, Australia did not undergo the similar GDP growth, which indicates that there is further potential to target specific industries.</w:t>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Australia</w:t>
      </w:r>
      <w:r w:rsidDel="00000000" w:rsidR="00000000" w:rsidRPr="00000000">
        <w:rPr>
          <w:rtl w:val="0"/>
        </w:rPr>
        <w:t xml:space="preserve"> can further its gains by prioritizing Textiles, Food and Preparation, and Energy Drilling and Mining. We further note that </w:t>
      </w:r>
      <w:r w:rsidDel="00000000" w:rsidR="00000000" w:rsidRPr="00000000">
        <w:rPr>
          <w:rtl w:val="0"/>
        </w:rPr>
        <w:t xml:space="preserve">Australia</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4.5%. Since a positive correlation exists between five-year GDP growth and the structural optimality index of an economy as we define and calculate, </w:t>
      </w:r>
      <w:r w:rsidDel="00000000" w:rsidR="00000000" w:rsidRPr="00000000">
        <w:rPr>
          <w:rtl w:val="0"/>
        </w:rPr>
        <w:t xml:space="preserve">Australia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We infer that during the  COVID-19 period, Australia focused on maintaining </w:t>
      </w:r>
      <w:r w:rsidDel="00000000" w:rsidR="00000000" w:rsidRPr="00000000">
        <w:rPr>
          <w:rtl w:val="0"/>
        </w:rPr>
        <w:t xml:space="preserve">higher complexity industries despite a lower demand for these industries given the global economic downturn</w:t>
      </w:r>
      <w:r w:rsidDel="00000000" w:rsidR="00000000" w:rsidRPr="00000000">
        <w:rPr>
          <w:rtl w:val="0"/>
        </w:rPr>
        <w:t xml:space="preserve">. With the revised focus, </w:t>
      </w:r>
      <w:r w:rsidDel="00000000" w:rsidR="00000000" w:rsidRPr="00000000">
        <w:rPr>
          <w:rtl w:val="0"/>
        </w:rPr>
        <w:t xml:space="preserve">Australia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9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A8">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eader" Target="header1.xml"/><Relationship Id="rId21" Type="http://schemas.openxmlformats.org/officeDocument/2006/relationships/image" Target="media/image6.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6.png"/><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2.jp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3.jpg"/><Relationship Id="rId16" Type="http://schemas.openxmlformats.org/officeDocument/2006/relationships/image" Target="media/image8.png"/><Relationship Id="rId19" Type="http://schemas.openxmlformats.org/officeDocument/2006/relationships/image" Target="media/image1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