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6.png"/>
            <a:graphic>
              <a:graphicData uri="http://schemas.openxmlformats.org/drawingml/2006/picture">
                <pic:pic>
                  <pic:nvPicPr>
                    <pic:cNvPr id="0" name="image1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Belgium</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Belgium</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Belgium went through during the period from 2019 to 2022. Specifically, we dive into the topic through a macroeconomic overview of Belgium from the perspective of Gross Domestic Product (GDP) and Economic Complexity Index (ECI), which reflect countries’ production capability and production structure, respectively. We find that during the period of our interest, Belgium demonstrated a moderate level of economic growth with an average annual GDP growth rate of 2.14% between 2019 and 2022, with a decreased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negative progress during the period, we believe, can be partially explained through the analysis of the economic and product complexity structure of Belgium on the industry group level, as well as the declining macro and microeconomic strategies. The product classification system we adopt allows us to measure the realized industry development for various industry groups and to observe that Belgium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Belgium could further its gains by prioritizing Precious Stones, Clothing and Accessories, and Animals and By-products in 2022. We further note that Belgium has a </w:t>
      </w:r>
      <w:r w:rsidDel="00000000" w:rsidR="00000000" w:rsidRPr="00000000">
        <w:rPr>
          <w:rtl w:val="0"/>
        </w:rPr>
        <w:t xml:space="preserve">heavily</w:t>
      </w:r>
      <w:r w:rsidDel="00000000" w:rsidR="00000000" w:rsidRPr="00000000">
        <w:rPr>
          <w:rtl w:val="0"/>
        </w:rPr>
        <w:t xml:space="preserve"> mismatched development strategy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4.2%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Belgium indeed has a</w:t>
      </w:r>
      <w:r w:rsidDel="00000000" w:rsidR="00000000" w:rsidRPr="00000000">
        <w:rPr>
          <w:rtl w:val="0"/>
        </w:rPr>
        <w:t xml:space="preserve"> </w:t>
      </w:r>
      <w:r w:rsidDel="00000000" w:rsidR="00000000" w:rsidRPr="00000000">
        <w:rPr>
          <w:rtl w:val="0"/>
        </w:rPr>
        <w:t xml:space="preserve">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Belgium’s economic growth, boosting its position on the global scale. Its GDP recovered to above the pre-pandemic levels, and it saw a relatively less</w:t>
      </w:r>
      <w:r w:rsidDel="00000000" w:rsidR="00000000" w:rsidRPr="00000000">
        <w:rPr>
          <w:rtl w:val="0"/>
        </w:rPr>
        <w:t xml:space="preserve"> </w:t>
      </w:r>
      <w:r w:rsidDel="00000000" w:rsidR="00000000" w:rsidRPr="00000000">
        <w:rPr>
          <w:rtl w:val="0"/>
        </w:rPr>
        <w:t xml:space="preserve">downfall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Belgium went through during the period from 2019 to 2022, including the COVID pandemic. Specifically, we dive into the topic through a macroeconomic overview of Belgium from the perspective of Gross Domestic Product (GDP) and Economic Complexity Index (ECI), which reflect countries’ production capability and production structure, respectively. We then analyze the industrial framework and changes of Belgium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Belgium,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Belgium and three of its peer countries Netherlands, Sweden, and Australia from 2019 to 2022. Similar to the other countries, Belgium</w:t>
      </w:r>
      <w:r w:rsidDel="00000000" w:rsidR="00000000" w:rsidRPr="00000000">
        <w:rPr>
          <w:rtl w:val="0"/>
        </w:rPr>
        <w:t xml:space="preserve"> </w:t>
      </w:r>
      <w:r w:rsidDel="00000000" w:rsidR="00000000" w:rsidRPr="00000000">
        <w:rPr>
          <w:rtl w:val="0"/>
        </w:rPr>
        <w:t xml:space="preserve">displayed an eventual upward trend over the period; however, its growth was less consistent than both the Netherlands and</w:t>
      </w:r>
      <w:r w:rsidDel="00000000" w:rsidR="00000000" w:rsidRPr="00000000">
        <w:rPr>
          <w:rtl w:val="0"/>
        </w:rPr>
        <w:t xml:space="preserve"> </w:t>
      </w:r>
      <w:r w:rsidDel="00000000" w:rsidR="00000000" w:rsidRPr="00000000">
        <w:rPr>
          <w:rtl w:val="0"/>
        </w:rPr>
        <w:t xml:space="preserve">Sweden’s growth. Belgium’s average annual GDP growth rate was 2.14%, which puts it lower than the Netherlands’s 2.28% and Sweden’s 2.72% but higher than Austria’s 1.56%.</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i w:val="1"/>
          <w:iCs w:val="1"/>
          <w:color w:val="444499"/>
          <w:sz w:val="20"/>
          <w:szCs w:val="20"/>
        </w:rPr>
      </w:pPr>
      <w:r w:rsidDel="00000000" w:rsidR="00000000" w:rsidRPr="00000000">
        <w:rPr/>
        <w:drawing>
          <wp:inline distB="114300" distT="114300" distL="114300" distR="114300">
            <wp:extent cx="2559050" cy="1919288"/>
            <wp:effectExtent b="0" l="0" r="0" t="0"/>
            <wp:docPr id="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559050"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As shown, Belgium exhibits a</w:t>
      </w:r>
      <w:r w:rsidDel="00000000" w:rsidR="00000000" w:rsidRPr="00000000">
        <w:rPr>
          <w:rtl w:val="0"/>
        </w:rPr>
        <w:t xml:space="preserve"> </w:t>
      </w:r>
      <w:r w:rsidDel="00000000" w:rsidR="00000000" w:rsidRPr="00000000">
        <w:rPr>
          <w:rtl w:val="0"/>
        </w:rPr>
        <w:t xml:space="preserve">small decrease in production capability from 2019 to 2022. Belgium is in a strong position in ECI terms, as its ECI change of -155.69% is greater than the Netherlands’s -473.1%, Sweden’s -266.87%, and Austria’s -232.27%. Belgium, Netherlands, Sweden, and Austria all experience a drastic decrease between 2020-2021. This decrease in Belgium may be explained by budgetary constraints placed on the country during the COVID-19 pandemic.</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350447" cy="1766888"/>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350447"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Figure 3 offers a further comparison of GDP Growth and ECI over the time span from 2019 to 2022 for Belgium. T</w:t>
      </w:r>
      <w:r w:rsidDel="00000000" w:rsidR="00000000" w:rsidRPr="00000000">
        <w:rPr>
          <w:rtl w:val="0"/>
        </w:rPr>
        <w:t xml:space="preserve">he GDP growth during the period from 2019 to 2021 is accompanied by a similarly volatile decrease in ECI.</w:t>
      </w:r>
      <w:r w:rsidDel="00000000" w:rsidR="00000000" w:rsidRPr="00000000">
        <w:rPr>
          <w:rtl w:val="0"/>
        </w:rPr>
        <w:t xml:space="preserve"> The results show that the economic growth experienced by Belgium during the period from 2019 to 2022 is </w:t>
      </w:r>
      <w:r w:rsidDel="00000000" w:rsidR="00000000" w:rsidRPr="00000000">
        <w:rPr>
          <w:rtl w:val="0"/>
        </w:rPr>
        <w:t xml:space="preserve">only partially consistent</w:t>
      </w:r>
      <w:r w:rsidDel="00000000" w:rsidR="00000000" w:rsidRPr="00000000">
        <w:rPr>
          <w:rtl w:val="0"/>
        </w:rPr>
        <w:t xml:space="preserve"> with the predictions by ECI and that Belgium made weak progress towards effectively developing a competitive product space that helps to accumulate complicated knowledge and technology. In order to provide a more concrete answer to why this has happened, we will dive into an analysis of Belgium’s production structure and its product space designs in the next few sections.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024671" cy="2090738"/>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24671"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Belgium</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center"/>
        <w:rPr>
          <w:sz w:val="22"/>
          <w:szCs w:val="22"/>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aforementioned product categorization, we aim to capture Belgium’s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Belgium and the 18 product groups in 2022 through the difference, where a positive RID indicates a shortening of the distance (i.e., advancement of the industry), and a negative RID indicates the reverse.</w:t>
      </w:r>
    </w:p>
    <w:p w:rsidR="00000000" w:rsidDel="00000000" w:rsidP="00000000" w:rsidRDefault="00000000" w:rsidRPr="00000000" w14:paraId="00000089">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-0.03776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-0.03240</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-0.00963</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0.00031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0.00318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0.00422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0.00460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0.00565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0.00842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0.01300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0.01409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0.01458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0.01913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0.02186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0.02219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0.02389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0.02753</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0.03052</w:t>
            </w:r>
          </w:p>
        </w:tc>
      </w:tr>
    </w:tbl>
    <w:p w:rsidR="00000000" w:rsidDel="00000000" w:rsidP="00000000" w:rsidRDefault="00000000" w:rsidRPr="00000000" w14:paraId="000000B0">
      <w:pPr>
        <w:pageBreakBefore w:val="0"/>
        <w:jc w:val="center"/>
        <w:rPr>
          <w:b w:val="1"/>
          <w:bCs w:val="1"/>
        </w:rPr>
      </w:pPr>
      <w:r w:rsidDel="00000000" w:rsidR="00000000" w:rsidRPr="00000000">
        <w:rPr>
          <w:sz w:val="22"/>
          <w:szCs w:val="22"/>
          <w:rtl w:val="0"/>
        </w:rPr>
        <w:t xml:space="preserve">Table 3. Realized Industry Development (RID) of Belgium</w:t>
      </w: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3">
      <w:pPr>
        <w:pageBreakBefore w:val="0"/>
        <w:jc w:val="both"/>
        <w:rPr/>
      </w:pPr>
      <w:r w:rsidDel="00000000" w:rsidR="00000000" w:rsidRPr="00000000">
        <w:rPr>
          <w:rtl w:val="0"/>
        </w:rPr>
        <w:t xml:space="preserve">Table 4a below summarizes how the production strategy adopted by Belgium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4">
      <w:pPr>
        <w:jc w:val="both"/>
        <w:rPr/>
      </w:pPr>
      <w:r w:rsidDel="00000000" w:rsidR="00000000" w:rsidRPr="00000000">
        <w:rPr>
          <w:rtl w:val="0"/>
        </w:rPr>
      </w:r>
    </w:p>
    <w:tbl>
      <w:tblPr>
        <w:tblStyle w:val="Table5"/>
        <w:tblW w:w="9030.0" w:type="dxa"/>
        <w:jc w:val="center"/>
        <w:tblLayout w:type="fixed"/>
        <w:tblLook w:val="04A0"/>
      </w:tblPr>
      <w:tblGrid>
        <w:gridCol w:w="1125"/>
        <w:gridCol w:w="2835"/>
        <w:gridCol w:w="2550"/>
        <w:gridCol w:w="2520"/>
        <w:tblGridChange w:id="0">
          <w:tblGrid>
            <w:gridCol w:w="1125"/>
            <w:gridCol w:w="2835"/>
            <w:gridCol w:w="2550"/>
            <w:gridCol w:w="2520"/>
          </w:tblGrid>
        </w:tblGridChange>
      </w:tblGrid>
      <w:tr>
        <w:trPr>
          <w:cantSplit w:val="0"/>
          <w:tblHeader w:val="0"/>
        </w:trPr>
        <w:tc>
          <w:tcPr>
            <w:vAlign w:val="center"/>
          </w:tcPr>
          <w:p w:rsidR="00000000" w:rsidDel="00000000" w:rsidP="00000000" w:rsidRDefault="00000000" w:rsidRPr="00000000" w14:paraId="000000B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7">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8">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A">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B">
            <w:pPr>
              <w:jc w:val="both"/>
              <w:rPr>
                <w:sz w:val="20"/>
                <w:szCs w:val="20"/>
              </w:rPr>
            </w:pPr>
            <w:r w:rsidDel="00000000" w:rsidR="00000000" w:rsidRPr="00000000">
              <w:rPr>
                <w:color w:val="000000"/>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C">
            <w:pPr>
              <w:jc w:val="both"/>
              <w:rPr>
                <w:sz w:val="20"/>
                <w:szCs w:val="20"/>
              </w:rPr>
            </w:pPr>
            <w:r w:rsidDel="00000000" w:rsidR="00000000" w:rsidRPr="00000000">
              <w:rPr>
                <w:color w:val="000000"/>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E">
            <w:pPr>
              <w:jc w:val="both"/>
              <w:rPr>
                <w:sz w:val="20"/>
                <w:szCs w:val="20"/>
              </w:rPr>
            </w:pPr>
            <w:r w:rsidDel="00000000" w:rsidR="00000000" w:rsidRPr="00000000">
              <w:rPr>
                <w:color w:val="00000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F">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C0">
            <w:pPr>
              <w:jc w:val="both"/>
              <w:rPr>
                <w:sz w:val="20"/>
                <w:szCs w:val="20"/>
              </w:rPr>
            </w:pPr>
            <w:r w:rsidDel="00000000" w:rsidR="00000000" w:rsidRPr="00000000">
              <w:rPr>
                <w:color w:val="000000"/>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2">
            <w:pPr>
              <w:jc w:val="both"/>
              <w:rPr>
                <w:sz w:val="20"/>
                <w:szCs w:val="20"/>
              </w:rPr>
            </w:pPr>
            <w:r w:rsidDel="00000000" w:rsidR="00000000" w:rsidRPr="00000000">
              <w:rPr>
                <w:color w:val="00000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3">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4">
            <w:pPr>
              <w:jc w:val="both"/>
              <w:rPr>
                <w:sz w:val="20"/>
                <w:szCs w:val="20"/>
              </w:rPr>
            </w:pPr>
            <w:r w:rsidDel="00000000" w:rsidR="00000000" w:rsidRPr="00000000">
              <w:rPr>
                <w:color w:val="000000"/>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6">
            <w:pPr>
              <w:jc w:val="both"/>
              <w:rPr>
                <w:sz w:val="20"/>
                <w:szCs w:val="20"/>
              </w:rPr>
            </w:pPr>
            <w:r w:rsidDel="00000000" w:rsidR="00000000" w:rsidRPr="00000000">
              <w:rPr>
                <w:color w:val="000000"/>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7">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c>
          <w:tcPr>
            <w:vAlign w:val="center"/>
          </w:tcPr>
          <w:p w:rsidR="00000000" w:rsidDel="00000000" w:rsidP="00000000" w:rsidRDefault="00000000" w:rsidRPr="00000000" w14:paraId="000000C8">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A">
            <w:pPr>
              <w:jc w:val="both"/>
              <w:rPr>
                <w:sz w:val="20"/>
                <w:szCs w:val="20"/>
              </w:rPr>
            </w:pPr>
            <w:r w:rsidDel="00000000" w:rsidR="00000000" w:rsidRPr="00000000">
              <w:rPr>
                <w:color w:val="000000"/>
                <w:rtl w:val="0"/>
              </w:rPr>
              <w:t xml:space="preserve">Animals &amp; By-products</w:t>
            </w:r>
            <w:r w:rsidDel="00000000" w:rsidR="00000000" w:rsidRPr="00000000">
              <w:rPr>
                <w:rtl w:val="0"/>
              </w:rPr>
            </w:r>
          </w:p>
        </w:tc>
        <w:tc>
          <w:tcPr>
            <w:vAlign w:val="center"/>
          </w:tcPr>
          <w:p w:rsidR="00000000" w:rsidDel="00000000" w:rsidP="00000000" w:rsidRDefault="00000000" w:rsidRPr="00000000" w14:paraId="000000CB">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CC">
            <w:pPr>
              <w:jc w:val="both"/>
              <w:rPr>
                <w:sz w:val="20"/>
                <w:szCs w:val="20"/>
              </w:rPr>
            </w:pPr>
            <w:r w:rsidDel="00000000" w:rsidR="00000000" w:rsidRPr="00000000">
              <w:rPr>
                <w:color w:val="000000"/>
                <w:rtl w:val="0"/>
              </w:rPr>
              <w:t xml:space="preserve">Transportation</w:t>
            </w:r>
            <w:r w:rsidDel="00000000" w:rsidR="00000000" w:rsidRPr="00000000">
              <w:rPr>
                <w:rtl w:val="0"/>
              </w:rPr>
            </w:r>
          </w:p>
        </w:tc>
      </w:tr>
    </w:tbl>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Table 4.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(2022)</w:t>
      </w:r>
    </w:p>
    <w:p w:rsidR="00000000" w:rsidDel="00000000" w:rsidP="00000000" w:rsidRDefault="00000000" w:rsidRPr="00000000" w14:paraId="000000CE">
      <w:pPr>
        <w:jc w:val="center"/>
        <w:rPr>
          <w:sz w:val="22"/>
          <w:szCs w:val="22"/>
        </w:rPr>
      </w:pPr>
      <w:r w:rsidDel="00000000" w:rsidR="00000000" w:rsidRPr="00000000">
        <w:rPr>
          <w:rtl w:val="0"/>
        </w:rPr>
      </w:r>
    </w:p>
    <w:p w:rsidR="00000000" w:rsidDel="00000000" w:rsidP="00000000" w:rsidRDefault="00000000" w:rsidRPr="00000000" w14:paraId="000000CF">
      <w:pPr>
        <w:jc w:val="both"/>
        <w:rPr>
          <w:sz w:val="22"/>
          <w:szCs w:val="22"/>
        </w:rPr>
      </w:pPr>
      <w:r w:rsidDel="00000000" w:rsidR="00000000" w:rsidRPr="00000000">
        <w:rPr>
          <w:rtl w:val="0"/>
        </w:rPr>
        <w:t xml:space="preserve">Table 4b further examines Belgium’s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1">
            <w:pPr>
              <w:jc w:val="both"/>
              <w:rPr/>
            </w:pPr>
            <w:r w:rsidDel="00000000" w:rsidR="00000000" w:rsidRPr="00000000">
              <w:rPr>
                <w:rtl w:val="0"/>
              </w:rPr>
              <w:t xml:space="preserve">Ranking</w:t>
            </w:r>
          </w:p>
        </w:tc>
        <w:tc>
          <w:tcPr/>
          <w:p w:rsidR="00000000" w:rsidDel="00000000" w:rsidP="00000000" w:rsidRDefault="00000000" w:rsidRPr="00000000" w14:paraId="000000D2">
            <w:pPr>
              <w:jc w:val="both"/>
              <w:rPr/>
            </w:pPr>
            <w:r w:rsidDel="00000000" w:rsidR="00000000" w:rsidRPr="00000000">
              <w:rPr>
                <w:rtl w:val="0"/>
              </w:rPr>
              <w:t xml:space="preserve">China</w:t>
            </w:r>
          </w:p>
        </w:tc>
        <w:tc>
          <w:tcPr/>
          <w:p w:rsidR="00000000" w:rsidDel="00000000" w:rsidP="00000000" w:rsidRDefault="00000000" w:rsidRPr="00000000" w14:paraId="000000D3">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5">
            <w:pPr>
              <w:jc w:val="both"/>
              <w:rPr>
                <w:color w:val="000000"/>
                <w:sz w:val="20"/>
                <w:szCs w:val="20"/>
              </w:rPr>
            </w:pPr>
            <w:r w:rsidDel="00000000" w:rsidR="00000000" w:rsidRPr="00000000">
              <w:rPr>
                <w:color w:val="000000"/>
                <w:sz w:val="20"/>
                <w:szCs w:val="20"/>
                <w:rtl w:val="0"/>
              </w:rPr>
              <w:t xml:space="preserve">Chemicals</w:t>
            </w:r>
          </w:p>
        </w:tc>
        <w:tc>
          <w:tcPr>
            <w:vAlign w:val="bottom"/>
          </w:tcPr>
          <w:p w:rsidR="00000000" w:rsidDel="00000000" w:rsidP="00000000" w:rsidRDefault="00000000" w:rsidRPr="00000000" w14:paraId="000000D6">
            <w:pPr>
              <w:jc w:val="both"/>
              <w:rPr>
                <w:color w:val="000000"/>
                <w:sz w:val="20"/>
                <w:szCs w:val="20"/>
              </w:rPr>
            </w:pPr>
            <w:r w:rsidDel="00000000" w:rsidR="00000000" w:rsidRPr="00000000">
              <w:rPr>
                <w:color w:val="000000"/>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8">
            <w:pPr>
              <w:jc w:val="both"/>
              <w:rPr>
                <w:color w:val="000000"/>
                <w:sz w:val="20"/>
                <w:szCs w:val="20"/>
              </w:rPr>
            </w:pPr>
            <w:r w:rsidDel="00000000" w:rsidR="00000000" w:rsidRPr="00000000">
              <w:rPr>
                <w:color w:val="000000"/>
                <w:sz w:val="20"/>
                <w:szCs w:val="20"/>
                <w:rtl w:val="0"/>
              </w:rPr>
              <w:t xml:space="preserve">Daily Instruments</w:t>
            </w:r>
          </w:p>
        </w:tc>
        <w:tc>
          <w:tcPr>
            <w:vAlign w:val="bottom"/>
          </w:tcPr>
          <w:p w:rsidR="00000000" w:rsidDel="00000000" w:rsidP="00000000" w:rsidRDefault="00000000" w:rsidRPr="00000000" w14:paraId="000000D9">
            <w:pPr>
              <w:jc w:val="both"/>
              <w:rPr>
                <w:color w:val="000000"/>
                <w:sz w:val="20"/>
                <w:szCs w:val="20"/>
              </w:rPr>
            </w:pPr>
            <w:r w:rsidDel="00000000" w:rsidR="00000000" w:rsidRPr="00000000">
              <w:rPr>
                <w:color w:val="000000"/>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B">
            <w:pPr>
              <w:jc w:val="both"/>
              <w:rPr>
                <w:color w:val="000000"/>
                <w:sz w:val="20"/>
                <w:szCs w:val="20"/>
              </w:rPr>
            </w:pPr>
            <w:r w:rsidDel="00000000" w:rsidR="00000000" w:rsidRPr="00000000">
              <w:rPr>
                <w:color w:val="000000"/>
                <w:sz w:val="20"/>
                <w:szCs w:val="20"/>
                <w:rtl w:val="0"/>
              </w:rPr>
              <w:t xml:space="preserve">Transportation</w:t>
            </w:r>
          </w:p>
        </w:tc>
        <w:tc>
          <w:tcPr>
            <w:vAlign w:val="bottom"/>
          </w:tcPr>
          <w:p w:rsidR="00000000" w:rsidDel="00000000" w:rsidP="00000000" w:rsidRDefault="00000000" w:rsidRPr="00000000" w14:paraId="000000DC">
            <w:pPr>
              <w:jc w:val="both"/>
              <w:rPr>
                <w:color w:val="000000"/>
                <w:sz w:val="20"/>
                <w:szCs w:val="20"/>
              </w:rPr>
            </w:pPr>
            <w:r w:rsidDel="00000000" w:rsidR="00000000" w:rsidRPr="00000000">
              <w:rPr>
                <w:color w:val="000000"/>
                <w:sz w:val="20"/>
                <w:szCs w:val="20"/>
                <w:rtl w:val="0"/>
              </w:rPr>
              <w:t xml:space="preserve">Energy Drilling &amp; Mining</w:t>
            </w:r>
          </w:p>
        </w:tc>
      </w:tr>
      <w:tr>
        <w:trPr>
          <w:cantSplit w:val="0"/>
          <w:trHeight w:val="60"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E">
            <w:pPr>
              <w:jc w:val="both"/>
              <w:rPr>
                <w:color w:val="000000"/>
                <w:sz w:val="20"/>
                <w:szCs w:val="20"/>
              </w:rPr>
            </w:pPr>
            <w:r w:rsidDel="00000000" w:rsidR="00000000" w:rsidRPr="00000000">
              <w:rPr>
                <w:color w:val="000000"/>
                <w:sz w:val="20"/>
                <w:szCs w:val="20"/>
                <w:rtl w:val="0"/>
              </w:rPr>
              <w:t xml:space="preserve">Raw Manufacturing</w:t>
            </w:r>
          </w:p>
        </w:tc>
        <w:tc>
          <w:tcPr>
            <w:vAlign w:val="bottom"/>
          </w:tcPr>
          <w:p w:rsidR="00000000" w:rsidDel="00000000" w:rsidP="00000000" w:rsidRDefault="00000000" w:rsidRPr="00000000" w14:paraId="000000DF">
            <w:pPr>
              <w:jc w:val="both"/>
              <w:rPr>
                <w:color w:val="000000"/>
                <w:sz w:val="20"/>
                <w:szCs w:val="20"/>
              </w:rPr>
            </w:pPr>
            <w:r w:rsidDel="00000000" w:rsidR="00000000" w:rsidRPr="00000000">
              <w:rPr>
                <w:color w:val="000000"/>
                <w:sz w:val="20"/>
                <w:szCs w:val="20"/>
                <w:rtl w:val="0"/>
              </w:rPr>
              <w:t xml:space="preserve">Machinery &amp; Construction</w:t>
            </w:r>
          </w:p>
        </w:tc>
      </w:tr>
      <w:tr>
        <w:trPr>
          <w:cantSplit w:val="0"/>
          <w:trHeight w:val="225"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1">
            <w:pPr>
              <w:jc w:val="both"/>
              <w:rPr>
                <w:color w:val="000000"/>
                <w:sz w:val="20"/>
                <w:szCs w:val="20"/>
              </w:rPr>
            </w:pPr>
            <w:r w:rsidDel="00000000" w:rsidR="00000000" w:rsidRPr="00000000">
              <w:rPr>
                <w:color w:val="000000"/>
                <w:sz w:val="20"/>
                <w:szCs w:val="20"/>
                <w:rtl w:val="0"/>
              </w:rPr>
              <w:t xml:space="preserve">Weapons</w:t>
            </w:r>
          </w:p>
        </w:tc>
        <w:tc>
          <w:tcPr>
            <w:vAlign w:val="bottom"/>
          </w:tcPr>
          <w:p w:rsidR="00000000" w:rsidDel="00000000" w:rsidP="00000000" w:rsidRDefault="00000000" w:rsidRPr="00000000" w14:paraId="000000E2">
            <w:pPr>
              <w:jc w:val="both"/>
              <w:rPr>
                <w:color w:val="000000"/>
                <w:sz w:val="20"/>
                <w:szCs w:val="20"/>
              </w:rPr>
            </w:pPr>
            <w:r w:rsidDel="00000000" w:rsidR="00000000" w:rsidRPr="00000000">
              <w:rPr>
                <w:color w:val="000000"/>
                <w:sz w:val="20"/>
                <w:szCs w:val="20"/>
                <w:rtl w:val="0"/>
              </w:rPr>
              <w:t xml:space="preserve">Chemical Manufacturing</w:t>
            </w:r>
          </w:p>
        </w:tc>
      </w:tr>
    </w:tbl>
    <w:p w:rsidR="00000000" w:rsidDel="00000000" w:rsidP="00000000" w:rsidRDefault="00000000" w:rsidRPr="00000000" w14:paraId="000000E3">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4">
      <w:pPr>
        <w:pageBreakBefore w:val="0"/>
        <w:jc w:val="center"/>
        <w:rPr>
          <w:sz w:val="22"/>
          <w:szCs w:val="22"/>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r>
    </w:p>
    <w:p w:rsidR="00000000" w:rsidDel="00000000" w:rsidP="00000000" w:rsidRDefault="00000000" w:rsidRPr="00000000" w14:paraId="000000E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7">
      <w:pPr>
        <w:pageBreakBefore w:val="0"/>
        <w:jc w:val="both"/>
        <w:rPr>
          <w:b w:val="1"/>
          <w:bCs w:val="1"/>
        </w:rPr>
      </w:pP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C">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drawing>
          <wp:inline distB="114300" distT="114300" distL="114300" distR="114300">
            <wp:extent cx="5731200" cy="2311400"/>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F0">
      <w:pPr>
        <w:pageBreakBefore w:val="0"/>
        <w:jc w:val="center"/>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Belgium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Animals and By-products and Wood Products industries. It can be concluded that Belgium shares the characteristics of developing countries, with a balanced economic structure that leans towards more moderate complex-level industries. However, its ECI has decreased over the past four years, and thus there remains significant room for improvement.</w:t>
      </w:r>
    </w:p>
    <w:p w:rsidR="00000000" w:rsidDel="00000000" w:rsidP="00000000" w:rsidRDefault="00000000" w:rsidRPr="00000000" w14:paraId="000000F4">
      <w:pPr>
        <w:jc w:val="both"/>
        <w:rPr/>
      </w:pPr>
      <w:r w:rsidDel="00000000" w:rsidR="00000000" w:rsidRPr="00000000">
        <w:rPr/>
        <w:drawing>
          <wp:inline distB="114300" distT="114300" distL="114300" distR="114300">
            <wp:extent cx="5731200" cy="2273300"/>
            <wp:effectExtent b="0" l="0" r="0" t="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6">
      <w:pPr>
        <w:pageBreakBefore w:val="0"/>
        <w:jc w:val="center"/>
        <w:rPr>
          <w:sz w:val="22"/>
          <w:szCs w:val="22"/>
        </w:rPr>
      </w:pPr>
      <w:r w:rsidDel="00000000" w:rsidR="00000000" w:rsidRPr="00000000">
        <w:rPr>
          <w:rtl w:val="0"/>
        </w:rPr>
      </w:r>
    </w:p>
    <w:p w:rsidR="00000000" w:rsidDel="00000000" w:rsidP="00000000" w:rsidRDefault="00000000" w:rsidRPr="00000000" w14:paraId="000000F7">
      <w:pPr>
        <w:pageBreakBefore w:val="0"/>
        <w:jc w:val="center"/>
        <w:rPr/>
      </w:pPr>
      <w:r w:rsidDel="00000000" w:rsidR="00000000" w:rsidRPr="00000000">
        <w:rPr>
          <w:rtl w:val="0"/>
        </w:rPr>
      </w:r>
    </w:p>
    <w:p w:rsidR="00000000" w:rsidDel="00000000" w:rsidP="00000000" w:rsidRDefault="00000000" w:rsidRPr="00000000" w14:paraId="000000F8">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A">
      <w:pPr>
        <w:pageBreakBefore w:val="0"/>
        <w:jc w:val="both"/>
        <w:rPr/>
      </w:pPr>
      <w:r w:rsidDel="00000000" w:rsidR="00000000" w:rsidRPr="00000000">
        <w:rPr>
          <w:rtl w:val="0"/>
        </w:rPr>
      </w:r>
    </w:p>
    <w:p w:rsidR="00000000" w:rsidDel="00000000" w:rsidP="00000000" w:rsidRDefault="00000000" w:rsidRPr="00000000" w14:paraId="000000FB">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jc w:val="center"/>
        <w:rPr/>
      </w:pPr>
      <w:r w:rsidDel="00000000" w:rsidR="00000000" w:rsidRPr="00000000">
        <w:rPr>
          <w:rtl w:val="0"/>
        </w:rPr>
      </w:r>
    </w:p>
    <w:p w:rsidR="00000000" w:rsidDel="00000000" w:rsidP="00000000" w:rsidRDefault="00000000" w:rsidRPr="00000000" w14:paraId="000000FD">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E">
      <w:pPr>
        <w:pageBreakBefore w:val="0"/>
        <w:jc w:val="both"/>
        <w:rPr/>
      </w:pPr>
      <w:r w:rsidDel="00000000" w:rsidR="00000000" w:rsidRPr="00000000">
        <w:rPr>
          <w:rtl w:val="0"/>
        </w:rPr>
        <w:t xml:space="preserve"> </w:t>
      </w:r>
    </w:p>
    <w:p w:rsidR="00000000" w:rsidDel="00000000" w:rsidP="00000000" w:rsidRDefault="00000000" w:rsidRPr="00000000" w14:paraId="000000FF">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0">
      <w:pPr>
        <w:pageBreakBefore w:val="0"/>
        <w:jc w:val="both"/>
        <w:rPr/>
      </w:pPr>
      <w:r w:rsidDel="00000000" w:rsidR="00000000" w:rsidRPr="00000000">
        <w:rPr>
          <w:rtl w:val="0"/>
        </w:rPr>
        <w:t xml:space="preserve"> </w:t>
      </w:r>
    </w:p>
    <w:p w:rsidR="00000000" w:rsidDel="00000000" w:rsidP="00000000" w:rsidRDefault="00000000" w:rsidRPr="00000000" w14:paraId="00000101">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2">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6">
      <w:pPr>
        <w:pageBreakBefore w:val="0"/>
        <w:rPr/>
      </w:pPr>
      <w:r w:rsidDel="00000000" w:rsidR="00000000" w:rsidRPr="00000000">
        <w:rPr>
          <w:rtl w:val="0"/>
        </w:rPr>
        <w:t xml:space="preserve"> </w:t>
      </w:r>
    </w:p>
    <w:p w:rsidR="00000000" w:rsidDel="00000000" w:rsidP="00000000" w:rsidRDefault="00000000" w:rsidRPr="00000000" w14:paraId="00000107">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A">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ageBreakBefore w:val="0"/>
        <w:jc w:val="both"/>
        <w:rPr>
          <w:b w:val="1"/>
          <w:bCs w:val="1"/>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F">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0">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7">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8">
      <w:pPr>
        <w:pageBreakBefore w:val="0"/>
        <w:jc w:val="center"/>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Belgium in 2022. We can see that for different percentages of heuristic total export growth, the ECIs of Belgium </w:t>
      </w:r>
      <w:r w:rsidDel="00000000" w:rsidR="00000000" w:rsidRPr="00000000">
        <w:rPr>
          <w:rtl w:val="0"/>
        </w:rPr>
        <w:t xml:space="preserve">actually have different increments.</w:t>
      </w:r>
    </w:p>
    <w:p w:rsidR="00000000" w:rsidDel="00000000" w:rsidP="00000000" w:rsidRDefault="00000000" w:rsidRPr="00000000" w14:paraId="0000013A">
      <w:pPr>
        <w:pageBreakBefore w:val="0"/>
        <w:jc w:val="both"/>
        <w:rPr/>
      </w:pPr>
      <w:r w:rsidDel="00000000" w:rsidR="00000000" w:rsidRPr="00000000">
        <w:rPr>
          <w:rtl w:val="0"/>
        </w:rPr>
        <w:t xml:space="preserve"> </w:t>
      </w:r>
    </w:p>
    <w:p w:rsidR="00000000" w:rsidDel="00000000" w:rsidP="00000000" w:rsidRDefault="00000000" w:rsidRPr="00000000" w14:paraId="0000013B">
      <w:pPr>
        <w:pageBreakBefore w:val="0"/>
        <w:jc w:val="both"/>
        <w:rPr/>
      </w:pPr>
      <w:r w:rsidDel="00000000" w:rsidR="00000000" w:rsidRPr="00000000">
        <w:rPr>
          <w:rtl w:val="0"/>
        </w:rPr>
        <w:t xml:space="preserve">For 2022, in the case of 5 percent export growth, Textile is the primary industry with Animals and By-products as a secondary industry. With a budget of 10 percent export growth, Precious Stones and Vegetables, Fruits and Plants account for most of the portfolio. For 15%, Precious Stones occupy more of the portfolio as the leading industry with Animals and By-products as a secondary industry. For 20%, Precious Stones remain the leading industry while Clothing and Accessories is the secondary industry. This suggests that with any increase in investment, all resources should be directed to Precious Stones. A more detailed numerical representation of the portfolio is shown in Table 8a. The increased ECI row of the table suggests that increases in 10% yield a similar increase in ECI to 5%, however, increases in 15% and 20% yield the same overall increase in ECI, which means that Belgium should focus on 15% and 20%. Thus, for optimal development, it should invest firstly in Precious Stones followed by Clothing and Accessories and Animals and By-products.</w:t>
      </w:r>
    </w:p>
    <w:p w:rsidR="00000000" w:rsidDel="00000000" w:rsidP="00000000" w:rsidRDefault="00000000" w:rsidRPr="00000000" w14:paraId="0000013C">
      <w:pPr>
        <w:pageBreakBefore w:val="0"/>
        <w:jc w:val="both"/>
        <w:rPr>
          <w:b w:val="0"/>
          <w:bCs w:val="0"/>
          <w:i w:val="1"/>
          <w:iCs w:val="1"/>
          <w:color w:val="444499"/>
          <w:sz w:val="20"/>
          <w:szCs w:val="20"/>
        </w:rPr>
      </w:pPr>
      <w:r w:rsidDel="00000000" w:rsidR="00000000" w:rsidRPr="00000000">
        <w:rPr/>
        <w:drawing>
          <wp:inline distB="114300" distT="114300" distL="114300" distR="114300">
            <wp:extent cx="5875508" cy="2185988"/>
            <wp:effectExtent b="0" l="0" r="0" t="0"/>
            <wp:docPr id="16" name="image7.png"/>
            <a:graphic>
              <a:graphicData uri="http://schemas.openxmlformats.org/drawingml/2006/picture">
                <pic:pic>
                  <pic:nvPicPr>
                    <pic:cNvPr id="0" name="image7.png"/>
                    <pic:cNvPicPr preferRelativeResize="0"/>
                  </pic:nvPicPr>
                  <pic:blipFill>
                    <a:blip r:embed="rId15"/>
                    <a:srcRect b="25581" l="0" r="0" t="0"/>
                    <a:stretch>
                      <a:fillRect/>
                    </a:stretch>
                  </pic:blipFill>
                  <pic:spPr>
                    <a:xfrm>
                      <a:off x="0" y="0"/>
                      <a:ext cx="5875508" cy="2185988"/>
                    </a:xfrm>
                    <a:prstGeom prst="rect"/>
                    <a:ln/>
                  </pic:spPr>
                </pic:pic>
              </a:graphicData>
            </a:graphic>
          </wp:inline>
        </w:drawing>
      </w:r>
      <w:r w:rsidDel="00000000" w:rsidR="00000000" w:rsidRPr="00000000">
        <w:rPr/>
        <w:drawing>
          <wp:inline distB="114300" distT="114300" distL="114300" distR="114300">
            <wp:extent cx="5731200" cy="21590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center"/>
        <w:rPr>
          <w:sz w:val="22"/>
          <w:szCs w:val="22"/>
        </w:rPr>
      </w:pPr>
      <w:r w:rsidDel="00000000" w:rsidR="00000000" w:rsidRPr="00000000">
        <w:rPr>
          <w:sz w:val="22"/>
          <w:szCs w:val="22"/>
          <w:rtl w:val="0"/>
        </w:rPr>
        <w:t xml:space="preserve">Figure 4. Greedy-Based ECI Improvement Results of Belgium with Different Budgets (2022)</w:t>
      </w:r>
    </w:p>
    <w:p w:rsidR="00000000" w:rsidDel="00000000" w:rsidP="00000000" w:rsidRDefault="00000000" w:rsidRPr="00000000" w14:paraId="0000013F">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0">
            <w:pPr>
              <w:jc w:val="center"/>
              <w:rPr>
                <w:sz w:val="20"/>
                <w:szCs w:val="20"/>
              </w:rPr>
            </w:pPr>
            <w:r w:rsidDel="00000000" w:rsidR="00000000" w:rsidRPr="00000000">
              <w:rPr>
                <w:b w:val="1"/>
                <w:bCs w:val="1"/>
                <w:sz w:val="20"/>
                <w:szCs w:val="20"/>
                <w:rtl w:val="0"/>
              </w:rPr>
              <w:t xml:space="preserve">Belgium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6">
            <w:pPr>
              <w:jc w:val="center"/>
              <w:rPr>
                <w:sz w:val="20"/>
                <w:szCs w:val="20"/>
              </w:rPr>
            </w:pPr>
            <w:r w:rsidDel="00000000" w:rsidR="00000000" w:rsidRPr="00000000">
              <w:rPr>
                <w:b w:val="1"/>
                <w:bCs w:val="1"/>
                <w:sz w:val="20"/>
                <w:szCs w:val="20"/>
                <w:rtl w:val="0"/>
              </w:rPr>
              <w:t xml:space="preserve">-0.289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A">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8.33E+09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2.04E+09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2">
            <w:pPr>
              <w:widowControl w:val="0"/>
              <w:spacing w:line="276" w:lineRule="auto"/>
              <w:rPr>
                <w:sz w:val="18"/>
                <w:szCs w:val="18"/>
              </w:rPr>
            </w:pPr>
            <w:r w:rsidDel="00000000" w:rsidR="00000000" w:rsidRPr="00000000">
              <w:rPr>
                <w:sz w:val="20"/>
                <w:szCs w:val="20"/>
                <w:rtl w:val="0"/>
              </w:rPr>
              <w:t xml:space="preserve">2.02E+10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3">
            <w:pPr>
              <w:widowControl w:val="0"/>
              <w:spacing w:line="276" w:lineRule="auto"/>
              <w:rPr>
                <w:sz w:val="18"/>
                <w:szCs w:val="18"/>
              </w:rPr>
            </w:pPr>
            <w:r w:rsidDel="00000000" w:rsidR="00000000" w:rsidRPr="00000000">
              <w:rPr>
                <w:sz w:val="20"/>
                <w:szCs w:val="20"/>
                <w:rtl w:val="0"/>
              </w:rPr>
              <w:t xml:space="preserve">4.08E+09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4.76E+09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2.24E+10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7">
            <w:pPr>
              <w:widowControl w:val="0"/>
              <w:spacing w:line="276" w:lineRule="auto"/>
              <w:rPr>
                <w:sz w:val="18"/>
                <w:szCs w:val="18"/>
              </w:rPr>
            </w:pPr>
            <w:r w:rsidDel="00000000" w:rsidR="00000000" w:rsidRPr="00000000">
              <w:rPr>
                <w:sz w:val="20"/>
                <w:szCs w:val="20"/>
                <w:rtl w:val="0"/>
              </w:rPr>
              <w:t xml:space="preserve">1.01E+10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8">
            <w:pPr>
              <w:widowControl w:val="0"/>
              <w:spacing w:line="276" w:lineRule="auto"/>
              <w:rPr>
                <w:sz w:val="18"/>
                <w:szCs w:val="18"/>
              </w:rPr>
            </w:pPr>
            <w:r w:rsidDel="00000000" w:rsidR="00000000" w:rsidRPr="00000000">
              <w:rPr>
                <w:sz w:val="20"/>
                <w:szCs w:val="20"/>
                <w:rtl w:val="0"/>
              </w:rPr>
              <w:t xml:space="preserve">1.63E+10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Food and Preparations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3.57E+09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2.04E+09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rPr>
                <w:sz w:val="18"/>
                <w:szCs w:val="18"/>
              </w:rPr>
            </w:pPr>
            <w:r w:rsidDel="00000000" w:rsidR="00000000" w:rsidRPr="00000000">
              <w:rPr>
                <w:sz w:val="20"/>
                <w:szCs w:val="20"/>
                <w:rtl w:val="0"/>
              </w:rPr>
              <w:t xml:space="preserve">3.36E+09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D">
            <w:pPr>
              <w:widowControl w:val="0"/>
              <w:spacing w:line="276" w:lineRule="auto"/>
              <w:rPr>
                <w:sz w:val="18"/>
                <w:szCs w:val="18"/>
              </w:rPr>
            </w:pPr>
            <w:r w:rsidDel="00000000" w:rsidR="00000000" w:rsidRPr="00000000">
              <w:rPr>
                <w:sz w:val="20"/>
                <w:szCs w:val="20"/>
                <w:rtl w:val="0"/>
              </w:rPr>
              <w:t xml:space="preserve">4.08E+09</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1">
            <w:pPr>
              <w:widowControl w:val="0"/>
              <w:spacing w:line="276" w:lineRule="auto"/>
              <w:rPr>
                <w:sz w:val="18"/>
                <w:szCs w:val="18"/>
              </w:rPr>
            </w:pPr>
            <w:r w:rsidDel="00000000" w:rsidR="00000000" w:rsidRPr="00000000">
              <w:rPr>
                <w:sz w:val="20"/>
                <w:szCs w:val="20"/>
                <w:rtl w:val="0"/>
              </w:rPr>
              <w:t xml:space="preserve">6.73E+09</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2">
            <w:pPr>
              <w:widowControl w:val="0"/>
              <w:spacing w:line="276" w:lineRule="auto"/>
              <w:rPr>
                <w:sz w:val="18"/>
                <w:szCs w:val="18"/>
              </w:rPr>
            </w:pPr>
            <w:r w:rsidDel="00000000" w:rsidR="00000000" w:rsidRPr="00000000">
              <w:rPr>
                <w:sz w:val="20"/>
                <w:szCs w:val="20"/>
                <w:rtl w:val="0"/>
              </w:rPr>
              <w:t xml:space="preserve">8.16E+09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6.12E+09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6">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7">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4.76E+09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2.04E+09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B">
            <w:pPr>
              <w:widowControl w:val="0"/>
              <w:spacing w:line="276" w:lineRule="auto"/>
              <w:rPr>
                <w:sz w:val="18"/>
                <w:szCs w:val="18"/>
              </w:rPr>
            </w:pPr>
            <w:r w:rsidDel="00000000" w:rsidR="00000000" w:rsidRPr="00000000">
              <w:rPr>
                <w:sz w:val="20"/>
                <w:szCs w:val="20"/>
                <w:rtl w:val="0"/>
              </w:rPr>
              <w:t xml:space="preserve">6.73E+09</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C">
            <w:pPr>
              <w:widowControl w:val="0"/>
              <w:spacing w:line="276" w:lineRule="auto"/>
              <w:rPr>
                <w:sz w:val="18"/>
                <w:szCs w:val="18"/>
              </w:rPr>
            </w:pPr>
            <w:r w:rsidDel="00000000" w:rsidR="00000000" w:rsidRPr="00000000">
              <w:rPr>
                <w:sz w:val="20"/>
                <w:szCs w:val="20"/>
                <w:rtl w:val="0"/>
              </w:rPr>
              <w:t xml:space="preserve">8.16E+09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Wood Products</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0">
            <w:pPr>
              <w:widowControl w:val="0"/>
              <w:spacing w:line="276" w:lineRule="auto"/>
              <w:rPr>
                <w:sz w:val="18"/>
                <w:szCs w:val="18"/>
              </w:rPr>
            </w:pPr>
            <w:r w:rsidDel="00000000" w:rsidR="00000000" w:rsidRPr="00000000">
              <w:rPr>
                <w:sz w:val="20"/>
                <w:szCs w:val="20"/>
                <w:rtl w:val="0"/>
              </w:rPr>
              <w:t xml:space="preserve">3.36E+09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1">
            <w:pPr>
              <w:widowControl w:val="0"/>
              <w:spacing w:line="276" w:lineRule="auto"/>
              <w:rPr>
                <w:sz w:val="18"/>
                <w:szCs w:val="18"/>
              </w:rPr>
            </w:pPr>
            <w:r w:rsidDel="00000000" w:rsidR="00000000" w:rsidRPr="00000000">
              <w:rPr>
                <w:sz w:val="20"/>
                <w:szCs w:val="20"/>
                <w:rtl w:val="0"/>
              </w:rPr>
              <w:t xml:space="preserve">4.08E+09</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Clothing and Accessories</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5">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6">
            <w:pPr>
              <w:widowControl w:val="0"/>
              <w:spacing w:line="276" w:lineRule="auto"/>
              <w:rPr>
                <w:sz w:val="18"/>
                <w:szCs w:val="18"/>
              </w:rPr>
            </w:pPr>
            <w:r w:rsidDel="00000000" w:rsidR="00000000" w:rsidRPr="00000000">
              <w:rPr>
                <w:sz w:val="20"/>
                <w:szCs w:val="20"/>
                <w:rtl w:val="0"/>
              </w:rPr>
              <w:t xml:space="preserve">2.85E+10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1.19E+10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4.08E+09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A">
            <w:pPr>
              <w:widowControl w:val="0"/>
              <w:spacing w:line="276" w:lineRule="auto"/>
              <w:rPr>
                <w:sz w:val="18"/>
                <w:szCs w:val="18"/>
              </w:rPr>
            </w:pPr>
            <w:r w:rsidDel="00000000" w:rsidR="00000000" w:rsidRPr="00000000">
              <w:rPr>
                <w:sz w:val="20"/>
                <w:szCs w:val="20"/>
                <w:rtl w:val="0"/>
              </w:rPr>
              <w:t xml:space="preserve">1.01E+10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B">
            <w:pPr>
              <w:widowControl w:val="0"/>
              <w:spacing w:line="276" w:lineRule="auto"/>
              <w:rPr>
                <w:sz w:val="18"/>
                <w:szCs w:val="18"/>
              </w:rPr>
            </w:pPr>
            <w:r w:rsidDel="00000000" w:rsidR="00000000" w:rsidRPr="00000000">
              <w:rPr>
                <w:sz w:val="20"/>
                <w:szCs w:val="20"/>
                <w:rtl w:val="0"/>
              </w:rPr>
              <w:t xml:space="preserve">1.22E+10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Precious Stones</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2.24E+10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F">
            <w:pPr>
              <w:widowControl w:val="0"/>
              <w:spacing w:line="276" w:lineRule="auto"/>
              <w:rPr>
                <w:sz w:val="18"/>
                <w:szCs w:val="18"/>
              </w:rPr>
            </w:pPr>
            <w:r w:rsidDel="00000000" w:rsidR="00000000" w:rsidRPr="00000000">
              <w:rPr>
                <w:sz w:val="20"/>
                <w:szCs w:val="20"/>
                <w:rtl w:val="0"/>
              </w:rPr>
              <w:t xml:space="preserve">4.04E+10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0">
            <w:pPr>
              <w:widowControl w:val="0"/>
              <w:spacing w:line="276" w:lineRule="auto"/>
              <w:rPr>
                <w:sz w:val="18"/>
                <w:szCs w:val="18"/>
              </w:rPr>
            </w:pPr>
            <w:r w:rsidDel="00000000" w:rsidR="00000000" w:rsidRPr="00000000">
              <w:rPr>
                <w:sz w:val="20"/>
                <w:szCs w:val="20"/>
                <w:rtl w:val="0"/>
              </w:rPr>
              <w:t xml:space="preserve">3.67E+10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2.38E+09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4">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5">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6">
            <w:pPr>
              <w:widowControl w:val="0"/>
              <w:spacing w:line="276" w:lineRule="auto"/>
              <w:rPr>
                <w:b w:val="1"/>
                <w:bCs w:val="1"/>
                <w:sz w:val="20"/>
                <w:szCs w:val="20"/>
              </w:rPr>
            </w:pPr>
            <w:r w:rsidDel="00000000" w:rsidR="00000000" w:rsidRPr="00000000">
              <w:rPr>
                <w:b w:val="1"/>
                <w:bCs w:val="1"/>
                <w:sz w:val="20"/>
                <w:szCs w:val="20"/>
                <w:rtl w:val="0"/>
              </w:rPr>
              <w:t xml:space="preserve">Increased ECI</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7">
            <w:pPr>
              <w:widowControl w:val="0"/>
              <w:spacing w:line="276" w:lineRule="auto"/>
              <w:rPr>
                <w:b w:val="1"/>
                <w:bCs w:val="1"/>
                <w:sz w:val="20"/>
                <w:szCs w:val="20"/>
              </w:rPr>
            </w:pPr>
            <w:r w:rsidDel="00000000" w:rsidR="00000000" w:rsidRPr="00000000">
              <w:rPr>
                <w:b w:val="1"/>
                <w:bCs w:val="1"/>
                <w:sz w:val="20"/>
                <w:szCs w:val="20"/>
                <w:rtl w:val="0"/>
              </w:rPr>
              <w:t xml:space="preserve">4.23E-01</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8">
            <w:pPr>
              <w:widowControl w:val="0"/>
              <w:spacing w:line="276" w:lineRule="auto"/>
              <w:rPr>
                <w:b w:val="1"/>
                <w:bCs w:val="1"/>
                <w:sz w:val="20"/>
                <w:szCs w:val="20"/>
              </w:rPr>
            </w:pPr>
            <w:r w:rsidDel="00000000" w:rsidR="00000000" w:rsidRPr="00000000">
              <w:rPr>
                <w:b w:val="1"/>
                <w:bCs w:val="1"/>
                <w:sz w:val="20"/>
                <w:szCs w:val="20"/>
                <w:rtl w:val="0"/>
              </w:rPr>
              <w:t xml:space="preserve">4.21E-01</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9">
            <w:pPr>
              <w:widowControl w:val="0"/>
              <w:spacing w:line="276" w:lineRule="auto"/>
              <w:rPr>
                <w:b w:val="1"/>
                <w:bCs w:val="1"/>
                <w:sz w:val="18"/>
                <w:szCs w:val="18"/>
              </w:rPr>
            </w:pPr>
            <w:r w:rsidDel="00000000" w:rsidR="00000000" w:rsidRPr="00000000">
              <w:rPr>
                <w:b w:val="1"/>
                <w:bCs w:val="1"/>
                <w:sz w:val="20"/>
                <w:szCs w:val="20"/>
                <w:rtl w:val="0"/>
              </w:rPr>
              <w:t xml:space="preserve">6.17E-01</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A">
            <w:pPr>
              <w:widowControl w:val="0"/>
              <w:spacing w:line="276" w:lineRule="auto"/>
              <w:rPr>
                <w:b w:val="1"/>
                <w:bCs w:val="1"/>
                <w:sz w:val="18"/>
                <w:szCs w:val="18"/>
              </w:rPr>
            </w:pPr>
            <w:r w:rsidDel="00000000" w:rsidR="00000000" w:rsidRPr="00000000">
              <w:rPr>
                <w:b w:val="1"/>
                <w:bCs w:val="1"/>
                <w:sz w:val="20"/>
                <w:szCs w:val="20"/>
                <w:rtl w:val="0"/>
              </w:rPr>
              <w:t xml:space="preserve">6.03E-01</w:t>
            </w:r>
            <w:r w:rsidDel="00000000" w:rsidR="00000000" w:rsidRPr="00000000">
              <w:rPr>
                <w:rtl w:val="0"/>
              </w:rPr>
            </w:r>
          </w:p>
        </w:tc>
      </w:tr>
    </w:tbl>
    <w:p w:rsidR="00000000" w:rsidDel="00000000" w:rsidP="00000000" w:rsidRDefault="00000000" w:rsidRPr="00000000" w14:paraId="0000018B">
      <w:pPr>
        <w:jc w:val="center"/>
        <w:rPr>
          <w:sz w:val="22"/>
          <w:szCs w:val="22"/>
        </w:rPr>
      </w:pPr>
      <w:r w:rsidDel="00000000" w:rsidR="00000000" w:rsidRPr="00000000">
        <w:rPr>
          <w:sz w:val="22"/>
          <w:szCs w:val="22"/>
          <w:rtl w:val="0"/>
        </w:rPr>
        <w:t xml:space="preserve">Table 8a. Portfolio of Belgium (2022)</w:t>
      </w:r>
    </w:p>
    <w:p w:rsidR="00000000" w:rsidDel="00000000" w:rsidP="00000000" w:rsidRDefault="00000000" w:rsidRPr="00000000" w14:paraId="0000018C">
      <w:pPr>
        <w:jc w:val="left"/>
        <w:rPr>
          <w:sz w:val="22"/>
          <w:szCs w:val="22"/>
        </w:rPr>
      </w:pPr>
      <w:r w:rsidDel="00000000" w:rsidR="00000000" w:rsidRPr="00000000">
        <w:rPr>
          <w:rtl w:val="0"/>
        </w:rPr>
      </w:r>
    </w:p>
    <w:p w:rsidR="00000000" w:rsidDel="00000000" w:rsidP="00000000" w:rsidRDefault="00000000" w:rsidRPr="00000000" w14:paraId="0000018D">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8E">
      <w:pPr>
        <w:pageBreakBefore w:val="0"/>
        <w:spacing w:after="0" w:before="0" w:line="276" w:lineRule="auto"/>
        <w:rPr/>
      </w:pPr>
      <w:r w:rsidDel="00000000" w:rsidR="00000000" w:rsidRPr="00000000">
        <w:rPr>
          <w:rtl w:val="0"/>
        </w:rPr>
        <w:t xml:space="preserve">In the following section, our broad aim is to understand how sensitive Belgium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8F">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91">
      <w:pPr>
        <w:jc w:val="both"/>
        <w:rPr>
          <w:b w:val="1"/>
          <w:bCs w:val="1"/>
        </w:rPr>
      </w:pPr>
      <w:r w:rsidDel="00000000" w:rsidR="00000000" w:rsidRPr="00000000">
        <w:rPr>
          <w:b w:val="1"/>
          <w:bCs w:val="1"/>
        </w:rPr>
        <w:drawing>
          <wp:inline distB="114300" distT="114300" distL="114300" distR="114300">
            <wp:extent cx="5310188" cy="2519630"/>
            <wp:effectExtent b="0" l="0" r="0" t="0"/>
            <wp:docPr id="6" name="image1.jpg"/>
            <a:graphic>
              <a:graphicData uri="http://schemas.openxmlformats.org/drawingml/2006/picture">
                <pic:pic>
                  <pic:nvPicPr>
                    <pic:cNvPr id="0" name="image1.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93">
      <w:pPr>
        <w:pageBreakBefore w:val="0"/>
        <w:spacing w:after="240" w:before="240" w:line="276" w:lineRule="auto"/>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94">
      <w:pPr>
        <w:pageBreakBefore w:val="0"/>
        <w:spacing w:after="240" w:before="240" w:line="276" w:lineRule="auto"/>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95">
      <w:pPr>
        <w:pageBreakBefore w:val="0"/>
        <w:jc w:val="both"/>
        <w:rPr/>
      </w:pPr>
      <w:r w:rsidDel="00000000" w:rsidR="00000000" w:rsidRPr="00000000">
        <w:rPr>
          <w:rtl w:val="0"/>
        </w:rPr>
        <w:t xml:space="preserve">We examine Belgium’s ECI Decremental and Incremental Sensitivity Charts for 2022. An increase in Daily Instruments will lead to the highest change in ECI, followed by Chemical Manufacturing. For the negative shock cases, Weapons becomes the most impactful. The rest of the industries do not appear to have the same level of sensitivity. This suggests that in economic downturns, Belgium should continue to invest in Weapons to avoid additional decreases in ECI.</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center"/>
        <w:rPr/>
      </w:pPr>
      <w:r w:rsidDel="00000000" w:rsidR="00000000" w:rsidRPr="00000000">
        <w:rPr/>
        <w:drawing>
          <wp:inline distB="114300" distT="114300" distL="114300" distR="114300">
            <wp:extent cx="4066044" cy="2890838"/>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066044"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Belgium (2022)</w:t>
      </w:r>
    </w:p>
    <w:p w:rsidR="00000000" w:rsidDel="00000000" w:rsidP="00000000" w:rsidRDefault="00000000" w:rsidRPr="00000000" w14:paraId="00000199">
      <w:pPr>
        <w:jc w:val="center"/>
        <w:rPr>
          <w:sz w:val="22"/>
          <w:szCs w:val="22"/>
        </w:rPr>
      </w:pPr>
      <w:r w:rsidDel="00000000" w:rsidR="00000000" w:rsidRPr="00000000">
        <w:rPr>
          <w:sz w:val="22"/>
          <w:szCs w:val="22"/>
        </w:rPr>
        <w:drawing>
          <wp:inline distB="114300" distT="114300" distL="114300" distR="114300">
            <wp:extent cx="4148138" cy="2956065"/>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148138" cy="295606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r w:rsidDel="00000000" w:rsidR="00000000" w:rsidRPr="00000000">
        <w:rPr>
          <w:sz w:val="22"/>
          <w:szCs w:val="22"/>
          <w:rtl w:val="0"/>
        </w:rPr>
        <w:t xml:space="preserve">Figure 6b. Decremental ECI Sensitivity for Belgium (2022)</w:t>
      </w: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r>
    </w:p>
    <w:p w:rsidR="00000000" w:rsidDel="00000000" w:rsidP="00000000" w:rsidRDefault="00000000" w:rsidRPr="00000000" w14:paraId="0000019D">
      <w:pPr>
        <w:pageBreakBefore w:val="0"/>
        <w:jc w:val="center"/>
        <w:rPr>
          <w:sz w:val="28"/>
          <w:szCs w:val="28"/>
        </w:rPr>
      </w:pP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A2">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A5">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A6">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8">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9">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A">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B">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C">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D">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AE">
      <w:pPr>
        <w:pageBreakBefore w:val="0"/>
        <w:jc w:val="left"/>
        <w:rPr/>
      </w:pPr>
      <w:r w:rsidDel="00000000" w:rsidR="00000000" w:rsidRPr="00000000">
        <w:rPr>
          <w:rtl w:val="0"/>
        </w:rPr>
      </w:r>
    </w:p>
    <w:p w:rsidR="00000000" w:rsidDel="00000000" w:rsidP="00000000" w:rsidRDefault="00000000" w:rsidRPr="00000000" w14:paraId="000001AF">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jc w:val="both"/>
        <w:rPr>
          <w:b w:val="1"/>
          <w:bCs w:val="1"/>
        </w:rPr>
      </w:pPr>
      <w:r w:rsidDel="00000000" w:rsidR="00000000" w:rsidRPr="00000000">
        <w:rPr>
          <w:b w:val="1"/>
          <w:bCs w:val="1"/>
          <w:rtl w:val="0"/>
        </w:rPr>
        <w:t xml:space="preserve">5.2 SOI of Belgium and Its Implications</w:t>
      </w:r>
    </w:p>
    <w:p w:rsidR="00000000" w:rsidDel="00000000" w:rsidP="00000000" w:rsidRDefault="00000000" w:rsidRPr="00000000" w14:paraId="000001B2">
      <w:pPr>
        <w:pageBreakBefore w:val="0"/>
        <w:jc w:val="both"/>
        <w:rPr/>
      </w:pPr>
      <w:r w:rsidDel="00000000" w:rsidR="00000000" w:rsidRPr="00000000">
        <w:rPr>
          <w:rtl w:val="0"/>
        </w:rPr>
        <w:t xml:space="preserve">During the first examined period, Belgium, for instance, has a low level of structural optimality as compared with its developed peers. As the regression in Figure 10a suggests (the red curve represents export increase and the blue curve stands for opportunity gain of the corresponding industry), Belgium demonstrates a low level of correlation with the suggested developmental path, having an adjusted R-square of around 4.2%.</w:t>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t xml:space="preserve">Belgium ranks in the middle quartile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2.14%, which is consistent with the regression result in Figure 4b. Specifically, Belgium’s slow economic progress from 2019 to 2022 can be at least partially explained by a development strategy that demonstrates a considerable but not perfect level of matches with our suggested developmental path. In specific, Belgium invested heavily in the High-complexity Products industry, while it should have focused more on industry groups such as Machinery and Construction.</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center"/>
        <w:rPr/>
      </w:pPr>
      <w:r w:rsidDel="00000000" w:rsidR="00000000" w:rsidRPr="00000000">
        <w:rPr/>
        <w:drawing>
          <wp:inline distB="114300" distT="114300" distL="114300" distR="114300">
            <wp:extent cx="6405563" cy="2295525"/>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405563"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sz w:val="22"/>
          <w:szCs w:val="22"/>
        </w:rPr>
      </w:pPr>
      <w:r w:rsidDel="00000000" w:rsidR="00000000" w:rsidRPr="00000000">
        <w:rPr>
          <w:rtl w:val="0"/>
        </w:rPr>
      </w:r>
    </w:p>
    <w:p w:rsidR="00000000" w:rsidDel="00000000" w:rsidP="00000000" w:rsidRDefault="00000000" w:rsidRPr="00000000" w14:paraId="000001B8">
      <w:pPr>
        <w:jc w:val="center"/>
        <w:rPr>
          <w:sz w:val="22"/>
          <w:szCs w:val="22"/>
        </w:rPr>
      </w:pPr>
      <w:r w:rsidDel="00000000" w:rsidR="00000000" w:rsidRPr="00000000">
        <w:rPr>
          <w:sz w:val="22"/>
          <w:szCs w:val="22"/>
          <w:rtl w:val="0"/>
        </w:rPr>
        <w:t xml:space="preserve">Figure 10a. SOI of Belgium (2019-2022)</w:t>
      </w:r>
    </w:p>
    <w:p w:rsidR="00000000" w:rsidDel="00000000" w:rsidP="00000000" w:rsidRDefault="00000000" w:rsidRPr="00000000" w14:paraId="000001B9">
      <w:pPr>
        <w:pageBreakBefore w:val="0"/>
        <w:jc w:val="both"/>
        <w:rPr>
          <w:b w:val="1"/>
          <w:bCs w:val="1"/>
        </w:rPr>
      </w:pPr>
      <w:r w:rsidDel="00000000" w:rsidR="00000000" w:rsidRPr="00000000">
        <w:rPr>
          <w:rtl w:val="0"/>
        </w:rPr>
      </w:r>
    </w:p>
    <w:p w:rsidR="00000000" w:rsidDel="00000000" w:rsidP="00000000" w:rsidRDefault="00000000" w:rsidRPr="00000000" w14:paraId="000001BA">
      <w:pPr>
        <w:pageBreakBefore w:val="0"/>
        <w:jc w:val="both"/>
        <w:rPr>
          <w:b w:val="1"/>
          <w:bCs w:val="1"/>
        </w:rPr>
      </w:pPr>
      <w:r w:rsidDel="00000000" w:rsidR="00000000" w:rsidRPr="00000000">
        <w:rPr>
          <w:rtl w:val="0"/>
        </w:rPr>
      </w:r>
    </w:p>
    <w:p w:rsidR="00000000" w:rsidDel="00000000" w:rsidP="00000000" w:rsidRDefault="00000000" w:rsidRPr="00000000" w14:paraId="000001B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D">
      <w:pPr>
        <w:pageBreakBefore w:val="0"/>
        <w:jc w:val="both"/>
        <w:rPr/>
      </w:pPr>
      <w:r w:rsidDel="00000000" w:rsidR="00000000" w:rsidRPr="00000000">
        <w:rPr>
          <w:rtl w:val="0"/>
        </w:rPr>
      </w:r>
    </w:p>
    <w:p w:rsidR="00000000" w:rsidDel="00000000" w:rsidP="00000000" w:rsidRDefault="00000000" w:rsidRPr="00000000" w14:paraId="000001BE">
      <w:pPr>
        <w:pageBreakBefore w:val="0"/>
        <w:jc w:val="both"/>
        <w:rPr/>
      </w:pPr>
      <w:r w:rsidDel="00000000" w:rsidR="00000000" w:rsidRPr="00000000">
        <w:rPr>
          <w:rtl w:val="0"/>
        </w:rPr>
        <w:t xml:space="preserve">In conclusion, Belgium has demonstrated a low level of economic growth in terms of annual GDP increase during the period from 2019 to 2022, concurrent with a decrease in economic complexity as compared with major developed economies.</w:t>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Belgium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Belgium regressed in developing </w:t>
      </w:r>
      <w:r w:rsidDel="00000000" w:rsidR="00000000" w:rsidRPr="00000000">
        <w:rPr>
          <w:rtl w:val="0"/>
        </w:rPr>
        <w:t xml:space="preserve">most of its industries during the period. Despite a relatively less intense ECI decrease compared to its peers, Belgium did not undergo similar GDP growth, which </w:t>
      </w:r>
      <w:r w:rsidDel="00000000" w:rsidR="00000000" w:rsidRPr="00000000">
        <w:rPr>
          <w:rtl w:val="0"/>
        </w:rPr>
        <w:t xml:space="preserve">indicates that there is further potential to target specific industries.</w:t>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pageBreakBefore w:val="0"/>
        <w:jc w:val="both"/>
        <w:rPr/>
      </w:pPr>
      <w:r w:rsidDel="00000000" w:rsidR="00000000" w:rsidRPr="00000000">
        <w:rPr>
          <w:rtl w:val="0"/>
        </w:rPr>
        <w:t xml:space="preserve">Based on our analysis of the opportunity gain and sensitivity analysis of major industry groups for 2019-2022, Belgium can further its gains by prioritizing Precious Stones, Clothing and Accessories, and Animals and By-products. We further note that Belgium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4.2%. Since a positive correlation exists between five-year GDP growth and the structural optimality index of an economy as we define and calculate, Belgium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C3">
      <w:pPr>
        <w:pageBreakBefore w:val="0"/>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We infer that during the  COVID-19 period, Belgium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With the revised focus, Belgium has further potential to advance its economic growth to maintain its position among other countries to continue its </w:t>
      </w:r>
      <w:r w:rsidDel="00000000" w:rsidR="00000000" w:rsidRPr="00000000">
        <w:rPr>
          <w:rtl w:val="0"/>
        </w:rPr>
        <w:t xml:space="preserve">post-pandemic recover</w:t>
      </w:r>
      <w:r w:rsidDel="00000000" w:rsidR="00000000" w:rsidRPr="00000000">
        <w:rPr>
          <w:rtl w:val="0"/>
        </w:rPr>
        <w:t xml:space="preserve">y.</w:t>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C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D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D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D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B">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eader" Target="header1.xml"/><Relationship Id="rId21" Type="http://schemas.openxmlformats.org/officeDocument/2006/relationships/image" Target="media/image9.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4.jp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jp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