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3" name="image2.png"/>
            <a:graphic>
              <a:graphicData uri="http://schemas.openxmlformats.org/drawingml/2006/picture">
                <pic:pic>
                  <pic:nvPicPr>
                    <pic:cNvPr descr="horizontal line" id="0" name="image2.png"/>
                    <pic:cNvPicPr preferRelativeResize="0"/>
                  </pic:nvPicPr>
                  <pic:blipFill>
                    <a:blip r:embed="rId7"/>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0" name="image13.png"/>
            <a:graphic>
              <a:graphicData uri="http://schemas.openxmlformats.org/drawingml/2006/picture">
                <pic:pic>
                  <pic:nvPicPr>
                    <pic:cNvPr id="0" name="image13.png"/>
                    <pic:cNvPicPr preferRelativeResize="0"/>
                  </pic:nvPicPr>
                  <pic:blipFill>
                    <a:blip r:embed="rId8"/>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commentRangeStart w:id="0"/>
      <w:r w:rsidDel="00000000" w:rsidR="00000000" w:rsidRPr="00000000">
        <w:rPr>
          <w:rFonts w:ascii="PT Sans Narrow" w:cs="PT Sans Narrow" w:eastAsia="PT Sans Narrow" w:hAnsi="PT Sans Narrow"/>
          <w:b w:val="1"/>
          <w:bCs w:val="1"/>
          <w:sz w:val="60"/>
          <w:szCs w:val="60"/>
          <w:rtl w:val="0"/>
        </w:rPr>
        <w:t xml:space="preserve">Netherlands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the </w:t>
      </w:r>
      <w:commentRangeStart w:id="1"/>
      <w:r w:rsidDel="00000000" w:rsidR="00000000" w:rsidRPr="00000000">
        <w:rPr>
          <w:sz w:val="40"/>
          <w:szCs w:val="40"/>
          <w:rtl w:val="0"/>
        </w:rPr>
        <w:t xml:space="preserve">Netherlands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the Netherlands went through during the period from 2013 to 2021. Specifically, we dive into the topic through a macroeconomic overview of the Netherlands from the perspective of Gross Domestic Product (GDP) and Economic Complexity Index (ECI), which reflect countries’ production capability and production structure, respectively. We find that during the period of our interest, the Netherlands demonstrated a low level of economic growth with an average annual GDP growth rate of 2.28% between 2019 and 2021, with a similar economic complexity compared to other major developed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mixed progress during the period, we believe, can be partially explained through the analysis of the economic and product complexity structure of the Netherlands on the industry group level, as well as the improved macro and microeconomic strategies. The product classification system we adopt allows us to measure the realized industry development for various industry groups and to observe that the Netherlands progressed in developing most of its industries during the period while its developed counterparts and economies around the globe also adopted complex and progressive paths with variable degrees of success.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Based on our analysis of the opportunity gain and sensitivity analysis of major industry groups for 2019-2022, the Netherlands can further its gains by prioritizing Energy Drilling and Mining, Precious Stones, and Animals and By-products. We further note that the Netherlands has a heavily mismatched development strategy that indicates a low level (compared to other developed countries) of structural optimality on the complexity level, having an adjusted R-square of around 4%. Since a positive correlation exists between five-year GDP growth and the structural optimality index of an economy as we define and calculate, The Netherlands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r>
    </w:p>
    <w:p w:rsidR="00000000" w:rsidDel="00000000" w:rsidP="00000000" w:rsidRDefault="00000000" w:rsidRPr="00000000" w14:paraId="00000014">
      <w:pPr>
        <w:pageBreakBefore w:val="0"/>
        <w:jc w:val="both"/>
        <w:rPr/>
      </w:pPr>
      <w:r w:rsidDel="00000000" w:rsidR="00000000" w:rsidRPr="00000000">
        <w:rPr>
          <w:rtl w:val="0"/>
        </w:rPr>
        <w:t xml:space="preserve">The four years between 2019 and 2022 showed a significant improvement in the Netherlands's economic growth, boosting its position on the global scale. Its GDP recovered to above the pre-pandemic levels, and it saw a </w:t>
      </w:r>
      <w:commentRangeStart w:id="2"/>
      <w:r w:rsidDel="00000000" w:rsidR="00000000" w:rsidRPr="00000000">
        <w:rPr>
          <w:rtl w:val="0"/>
        </w:rPr>
        <w:t xml:space="preserve">significant boost</w:t>
      </w:r>
      <w:commentRangeEnd w:id="2"/>
      <w:r w:rsidDel="00000000" w:rsidR="00000000" w:rsidRPr="00000000">
        <w:commentReference w:id="2"/>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5">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7">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In this report, we aim to uncover the economic path the Netherlands went through during the period from 2019 to 2022, including the COVID-pandemic. Specifically, we dive into the topic through a macroeconomic overview of the Netherlands from the perspective of Gross Domestic Product (GDP) and Economic Complexity Index (ECI), which reflect countries’ production capability and production structure, respectively. We then analyze the industrial framework and changes of the Netherlands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the Netherlands, as deduced from regression models we have established on a global scale, which take into account countries’ stances in their product space.</w:t>
      </w:r>
    </w:p>
    <w:p w:rsidR="00000000" w:rsidDel="00000000" w:rsidP="00000000" w:rsidRDefault="00000000" w:rsidRPr="00000000" w14:paraId="00000019">
      <w:pPr>
        <w:pageBreakBefore w:val="0"/>
        <w:jc w:val="both"/>
        <w:rPr/>
      </w:pPr>
      <w:r w:rsidDel="00000000" w:rsidR="00000000" w:rsidRPr="00000000">
        <w:rPr>
          <w:rtl w:val="0"/>
        </w:rPr>
      </w:r>
    </w:p>
    <w:p w:rsidR="00000000" w:rsidDel="00000000" w:rsidP="00000000" w:rsidRDefault="00000000" w:rsidRPr="00000000" w14:paraId="0000001A">
      <w:pPr>
        <w:pageBreakBefore w:val="0"/>
        <w:jc w:val="both"/>
        <w:rPr/>
      </w:pPr>
      <w:r w:rsidDel="00000000" w:rsidR="00000000" w:rsidRPr="00000000">
        <w:rPr>
          <w:rtl w:val="0"/>
        </w:rPr>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D">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E">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F">
      <w:pPr>
        <w:jc w:val="both"/>
        <w:rPr/>
      </w:pPr>
      <w:r w:rsidDel="00000000" w:rsidR="00000000" w:rsidRPr="00000000">
        <w:rPr>
          <w:rtl w:val="0"/>
        </w:rPr>
        <w:t xml:space="preserve">Figure 1 illustrates the time-series GDP results for the Netherlands and three of its peer countries Belgium, Sweden, and Austria from 2019 to 2022. Similar to the other countries, the Netherlands displayed a general upward trend after stagnation in 2020 due to COVID-19; its growth was consistent with that of its peer countries. The Netherlands’ average annual GDP growth rate is 2.28%, which puts it higher than Belgium’s 2.14% and Austria’s 1.56% but lower than Sweden’s 2.72%. </w:t>
      </w:r>
    </w:p>
    <w:p w:rsidR="00000000" w:rsidDel="00000000" w:rsidP="00000000" w:rsidRDefault="00000000" w:rsidRPr="00000000" w14:paraId="00000020">
      <w:pPr>
        <w:pageBreakBefore w:val="0"/>
        <w:jc w:val="center"/>
        <w:rPr/>
      </w:pPr>
      <w:r w:rsidDel="00000000" w:rsidR="00000000" w:rsidRPr="00000000">
        <w:rPr/>
        <w:drawing>
          <wp:inline distB="114300" distT="114300" distL="114300" distR="114300">
            <wp:extent cx="2771566" cy="2081213"/>
            <wp:effectExtent b="0" l="0" r="0" t="0"/>
            <wp:docPr id="11"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771566" cy="208121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sz w:val="22"/>
          <w:szCs w:val="22"/>
        </w:rPr>
      </w:pPr>
      <w:r w:rsidDel="00000000" w:rsidR="00000000" w:rsidRPr="00000000">
        <w:rPr>
          <w:sz w:val="22"/>
          <w:szCs w:val="22"/>
          <w:rtl w:val="0"/>
        </w:rPr>
        <w:t xml:space="preserve">Figures 1. GDP Comparison Among Peer Countries (2019-2022)</w:t>
      </w:r>
    </w:p>
    <w:p w:rsidR="00000000" w:rsidDel="00000000" w:rsidP="00000000" w:rsidRDefault="00000000" w:rsidRPr="00000000" w14:paraId="00000022">
      <w:pPr>
        <w:pageBreakBefore w:val="0"/>
        <w:jc w:val="center"/>
        <w:rPr/>
      </w:pPr>
      <w:r w:rsidDel="00000000" w:rsidR="00000000" w:rsidRPr="00000000">
        <w:rPr>
          <w:rtl w:val="0"/>
        </w:rPr>
      </w:r>
    </w:p>
    <w:p w:rsidR="00000000" w:rsidDel="00000000" w:rsidP="00000000" w:rsidRDefault="00000000" w:rsidRPr="00000000" w14:paraId="00000023">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4">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 2.</w:t>
      </w:r>
    </w:p>
    <w:p w:rsidR="00000000" w:rsidDel="00000000" w:rsidP="00000000" w:rsidRDefault="00000000" w:rsidRPr="00000000" w14:paraId="00000025">
      <w:pPr>
        <w:pageBreakBefore w:val="0"/>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As shown, the Netherlands exhibits a large increase in production capability from 2019 to 2022. The Netherlands is in the weakest position in ECI terms, as its ECI change of -473% is less than Belgium’s -156%, Sweden’s -267%, and Austria’s -232%. Austria experienced the most drastic jump between 2020-2021. This decrease in ECI in the Netherlands may be explained by the government’s inconsistent support for industries impacted by COVID-19 and skills development in emerging industries.</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pageBreakBefore w:val="0"/>
        <w:jc w:val="center"/>
        <w:rPr/>
      </w:pPr>
      <w:r w:rsidDel="00000000" w:rsidR="00000000" w:rsidRPr="00000000">
        <w:rPr/>
        <w:drawing>
          <wp:inline distB="114300" distT="114300" distL="114300" distR="114300">
            <wp:extent cx="2519363" cy="1886003"/>
            <wp:effectExtent b="0" l="0" r="0" t="0"/>
            <wp:docPr id="1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519363" cy="188600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left"/>
        <w:rPr/>
      </w:pPr>
      <w:r w:rsidDel="00000000" w:rsidR="00000000" w:rsidRPr="00000000">
        <w:rPr>
          <w:rtl w:val="0"/>
        </w:rPr>
        <w:t xml:space="preserve">    </w:t>
      </w:r>
    </w:p>
    <w:p w:rsidR="00000000" w:rsidDel="00000000" w:rsidP="00000000" w:rsidRDefault="00000000" w:rsidRPr="00000000" w14:paraId="0000002A">
      <w:pPr>
        <w:jc w:val="center"/>
        <w:rPr/>
      </w:pPr>
      <w:r w:rsidDel="00000000" w:rsidR="00000000" w:rsidRPr="00000000">
        <w:rPr>
          <w:rtl w:val="0"/>
        </w:rPr>
        <w:t xml:space="preserve">   </w:t>
      </w:r>
      <w:r w:rsidDel="00000000" w:rsidR="00000000" w:rsidRPr="00000000">
        <w:rPr>
          <w:sz w:val="22"/>
          <w:szCs w:val="22"/>
          <w:rtl w:val="0"/>
        </w:rPr>
        <w:t xml:space="preserve">    Figures 2. ECI Comparison Among Peer Countries (2019-2022)</w:t>
      </w:r>
      <w:r w:rsidDel="00000000" w:rsidR="00000000" w:rsidRPr="00000000">
        <w:rPr>
          <w:rtl w:val="0"/>
        </w:rPr>
        <w:t xml:space="preserve">                       </w:t>
      </w:r>
    </w:p>
    <w:p w:rsidR="00000000" w:rsidDel="00000000" w:rsidP="00000000" w:rsidRDefault="00000000" w:rsidRPr="00000000" w14:paraId="0000002B">
      <w:pPr>
        <w:pageBreakBefore w:val="0"/>
        <w:jc w:val="left"/>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Figures 3 offer a further comparison of GDP Growth and ECI over the time span from 2019 to 2022 for the Netherlands. The GDP growth is contrasted by a decline in ECI. The results show that the economic growth experienced by the Netherlands during the period from 2019 to 2022 is not consistent with the predictions by ECI, leaving it unanswered whether the Netherlands made strong progress towards effectively developing a competitive product space that helps to accumulate complicated knowledge and technology. In order to provide a more concrete answer to this contrasting trend, we will dive into an analysis of the Netherlands’ production structure and its product space designs in the next few sections.</w:t>
      </w:r>
    </w:p>
    <w:p w:rsidR="00000000" w:rsidDel="00000000" w:rsidP="00000000" w:rsidRDefault="00000000" w:rsidRPr="00000000" w14:paraId="0000002D">
      <w:pPr>
        <w:pageBreakBefore w:val="0"/>
        <w:jc w:val="center"/>
        <w:rPr/>
      </w:pPr>
      <w:r w:rsidDel="00000000" w:rsidR="00000000" w:rsidRPr="00000000">
        <w:rPr/>
        <w:drawing>
          <wp:inline distB="114300" distT="114300" distL="114300" distR="114300">
            <wp:extent cx="2841535" cy="2128838"/>
            <wp:effectExtent b="0" l="0" r="0" t="0"/>
            <wp:docPr id="7"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841535" cy="212883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ageBreakBefore w:val="0"/>
        <w:jc w:val="both"/>
        <w:rPr/>
      </w:pPr>
      <w:r w:rsidDel="00000000" w:rsidR="00000000" w:rsidRPr="00000000">
        <w:rPr>
          <w:rtl w:val="0"/>
        </w:rPr>
      </w:r>
    </w:p>
    <w:p w:rsidR="00000000" w:rsidDel="00000000" w:rsidP="00000000" w:rsidRDefault="00000000" w:rsidRPr="00000000" w14:paraId="0000002F">
      <w:pPr>
        <w:jc w:val="center"/>
        <w:rPr>
          <w:i w:val="1"/>
          <w:iCs w:val="1"/>
          <w:color w:val="444499"/>
          <w:sz w:val="20"/>
          <w:szCs w:val="20"/>
        </w:rPr>
      </w:pPr>
      <w:r w:rsidDel="00000000" w:rsidR="00000000" w:rsidRPr="00000000">
        <w:rPr>
          <w:sz w:val="22"/>
          <w:szCs w:val="22"/>
          <w:rtl w:val="0"/>
        </w:rPr>
        <w:t xml:space="preserve">Figures 3. GDP Growth and ECI for the Netherlands (2019-2022)</w:t>
      </w:r>
      <w:r w:rsidDel="00000000" w:rsidR="00000000" w:rsidRPr="00000000">
        <w:rPr>
          <w:rtl w:val="0"/>
        </w:rPr>
      </w:r>
    </w:p>
    <w:p w:rsidR="00000000" w:rsidDel="00000000" w:rsidP="00000000" w:rsidRDefault="00000000" w:rsidRPr="00000000" w14:paraId="00000030">
      <w:pPr>
        <w:jc w:val="center"/>
        <w:rPr>
          <w:sz w:val="22"/>
          <w:szCs w:val="22"/>
        </w:rPr>
      </w:pPr>
      <w:r w:rsidDel="00000000" w:rsidR="00000000" w:rsidRPr="00000000">
        <w:rPr>
          <w:rtl w:val="0"/>
        </w:rPr>
      </w:r>
    </w:p>
    <w:p w:rsidR="00000000" w:rsidDel="00000000" w:rsidP="00000000" w:rsidRDefault="00000000" w:rsidRPr="00000000" w14:paraId="00000031">
      <w:pPr>
        <w:pageBreakBefore w:val="0"/>
        <w:jc w:val="both"/>
        <w:rPr>
          <w:b w:val="1"/>
          <w:bCs w:val="1"/>
        </w:rPr>
      </w:pPr>
      <w:r w:rsidDel="00000000" w:rsidR="00000000" w:rsidRPr="00000000">
        <w:rPr>
          <w:rtl w:val="0"/>
        </w:rPr>
      </w:r>
    </w:p>
    <w:p w:rsidR="00000000" w:rsidDel="00000000" w:rsidP="00000000" w:rsidRDefault="00000000" w:rsidRPr="00000000" w14:paraId="00000032">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3">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5">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6">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7">
      <w:pPr>
        <w:pageBreakBefore w:val="0"/>
        <w:jc w:val="both"/>
        <w:rPr/>
      </w:pPr>
      <w:r w:rsidDel="00000000" w:rsidR="00000000" w:rsidRPr="00000000">
        <w:rPr>
          <w:rtl w:val="0"/>
        </w:rPr>
      </w:r>
    </w:p>
    <w:p w:rsidR="00000000" w:rsidDel="00000000" w:rsidP="00000000" w:rsidRDefault="00000000" w:rsidRPr="00000000" w14:paraId="00000038">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9">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A">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B">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A">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6">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0">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1">
      <w:pPr>
        <w:pageBreakBefore w:val="0"/>
        <w:jc w:val="both"/>
        <w:rPr/>
      </w:pPr>
      <w:r w:rsidDel="00000000" w:rsidR="00000000" w:rsidRPr="00000000">
        <w:rPr>
          <w:rtl w:val="0"/>
        </w:rPr>
      </w:r>
    </w:p>
    <w:p w:rsidR="00000000" w:rsidDel="00000000" w:rsidP="00000000" w:rsidRDefault="00000000" w:rsidRPr="00000000" w14:paraId="00000062">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3">
      <w:pPr>
        <w:pageBreakBefore w:val="0"/>
        <w:jc w:val="both"/>
        <w:rPr/>
      </w:pPr>
      <w:r w:rsidDel="00000000" w:rsidR="00000000" w:rsidRPr="00000000">
        <w:rPr>
          <w:rtl w:val="0"/>
        </w:rPr>
      </w:r>
    </w:p>
    <w:p w:rsidR="00000000" w:rsidDel="00000000" w:rsidP="00000000" w:rsidRDefault="00000000" w:rsidRPr="00000000" w14:paraId="00000064">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5">
            <w:pPr>
              <w:pageBreakBefore w:val="0"/>
              <w:jc w:val="center"/>
              <w:rPr/>
            </w:pPr>
            <w:r w:rsidDel="00000000" w:rsidR="00000000" w:rsidRPr="00000000">
              <w:rPr>
                <w:rtl w:val="0"/>
              </w:rPr>
            </w:r>
          </w:p>
        </w:tc>
        <w:tc>
          <w:tcPr/>
          <w:p w:rsidR="00000000" w:rsidDel="00000000" w:rsidP="00000000" w:rsidRDefault="00000000" w:rsidRPr="00000000" w14:paraId="00000066">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7">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A">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B">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C">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D">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E">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6F">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0">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1">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2">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3">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4">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5">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6">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7">
            <w:pPr>
              <w:pageBreakBefore w:val="0"/>
              <w:jc w:val="center"/>
              <w:rPr/>
            </w:pPr>
            <w:r w:rsidDel="00000000" w:rsidR="00000000" w:rsidRPr="00000000">
              <w:rPr>
                <w:rtl w:val="0"/>
              </w:rPr>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9">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B">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C">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D">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7F">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0">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1">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2">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3">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4">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5">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8">
      <w:pPr>
        <w:pageBreakBefore w:val="0"/>
        <w:jc w:val="center"/>
        <w:rPr>
          <w:sz w:val="22"/>
          <w:szCs w:val="22"/>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B">
      <w:pPr>
        <w:pageBreakBefore w:val="0"/>
        <w:jc w:val="both"/>
        <w:rPr/>
      </w:pPr>
      <w:r w:rsidDel="00000000" w:rsidR="00000000" w:rsidRPr="00000000">
        <w:rPr>
          <w:rtl w:val="0"/>
        </w:rPr>
        <w:t xml:space="preserve">Based on the aforementioned product categorization, we aim to capture the Netherlands’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the Netherlands and the 18 product groups in 2022 through the difference, where a positive RID indicates a shortening of the distance (i.e., advancement of the industry), and a negative RID indicates the reverse.</w:t>
      </w:r>
    </w:p>
    <w:p w:rsidR="00000000" w:rsidDel="00000000" w:rsidP="00000000" w:rsidRDefault="00000000" w:rsidRPr="00000000" w14:paraId="0000008C">
      <w:pPr>
        <w:pageBreakBefore w:val="0"/>
        <w:jc w:val="both"/>
        <w:rPr/>
      </w:pPr>
      <w:r w:rsidDel="00000000" w:rsidR="00000000" w:rsidRPr="00000000">
        <w:rPr>
          <w:rtl w:val="0"/>
        </w:rPr>
      </w:r>
    </w:p>
    <w:tbl>
      <w:tblPr>
        <w:tblStyle w:val="Table4"/>
        <w:tblW w:w="4455.0" w:type="dxa"/>
        <w:jc w:val="center"/>
        <w:tblLayout w:type="fixed"/>
        <w:tblLook w:val="0600"/>
      </w:tblPr>
      <w:tblGrid>
        <w:gridCol w:w="2880"/>
        <w:gridCol w:w="1575"/>
        <w:tblGridChange w:id="0">
          <w:tblGrid>
            <w:gridCol w:w="2880"/>
            <w:gridCol w:w="157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(2022)</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-0.037335</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-0.034246</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0.0045776</w:t>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0.0066425</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0.0076763</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0.0201132</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0.029464</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0.0370171</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0.041342</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0.0426952</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0.0436338</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0.0473058</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ind w:left="180" w:firstLine="0"/>
              <w:rPr>
                <w:sz w:val="20"/>
                <w:szCs w:val="20"/>
              </w:rPr>
            </w:pPr>
            <w:r w:rsidDel="00000000" w:rsidR="00000000" w:rsidRPr="00000000">
              <w:rPr>
                <w:color w:val="7b7b7b"/>
                <w:sz w:val="20"/>
                <w:szCs w:val="20"/>
                <w:rtl w:val="0"/>
              </w:rPr>
              <w:t xml:space="preserve">Daily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0.0500247</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0.0515329</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0.0611476</w:t>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0.0661324</w:t>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0.0823671</w:t>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0.1022377</w:t>
            </w:r>
          </w:p>
        </w:tc>
      </w:tr>
    </w:tbl>
    <w:p w:rsidR="00000000" w:rsidDel="00000000" w:rsidP="00000000" w:rsidRDefault="00000000" w:rsidRPr="00000000" w14:paraId="000000B3">
      <w:pPr>
        <w:pageBreakBefore w:val="0"/>
        <w:jc w:val="center"/>
        <w:rPr>
          <w:sz w:val="22"/>
          <w:szCs w:val="22"/>
        </w:rPr>
      </w:pPr>
      <w:r w:rsidDel="00000000" w:rsidR="00000000" w:rsidRPr="00000000">
        <w:rPr>
          <w:rtl w:val="0"/>
        </w:rPr>
      </w:r>
    </w:p>
    <w:p w:rsidR="00000000" w:rsidDel="00000000" w:rsidP="00000000" w:rsidRDefault="00000000" w:rsidRPr="00000000" w14:paraId="000000B4">
      <w:pPr>
        <w:pageBreakBefore w:val="0"/>
        <w:jc w:val="center"/>
        <w:rPr>
          <w:sz w:val="22"/>
          <w:szCs w:val="22"/>
        </w:rPr>
      </w:pPr>
      <w:r w:rsidDel="00000000" w:rsidR="00000000" w:rsidRPr="00000000">
        <w:rPr>
          <w:sz w:val="22"/>
          <w:szCs w:val="22"/>
          <w:rtl w:val="0"/>
        </w:rPr>
        <w:t xml:space="preserve">Table 3. Realized Industry Development (RID) of the Netherlands</w:t>
      </w:r>
    </w:p>
    <w:p w:rsidR="00000000" w:rsidDel="00000000" w:rsidP="00000000" w:rsidRDefault="00000000" w:rsidRPr="00000000" w14:paraId="000000B5">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B6">
      <w:pPr>
        <w:jc w:val="both"/>
        <w:rPr/>
      </w:pPr>
      <w:r w:rsidDel="00000000" w:rsidR="00000000" w:rsidRPr="00000000">
        <w:rPr>
          <w:rtl w:val="0"/>
        </w:rPr>
        <w:t xml:space="preserve">Table 4a below summarize how the production strategy adopted by the Netherlands compares with selected leading economies in the world across different years, as measured in RID. Leading economies such as France, Greece, and Portugal gave a considerable level of attention to more advanced product groups such as Services and Utilities, Energy Drilling and Textiles in 2022.</w:t>
      </w:r>
    </w:p>
    <w:p w:rsidR="00000000" w:rsidDel="00000000" w:rsidP="00000000" w:rsidRDefault="00000000" w:rsidRPr="00000000" w14:paraId="000000B7">
      <w:pPr>
        <w:jc w:val="both"/>
        <w:rPr/>
      </w:pPr>
      <w:r w:rsidDel="00000000" w:rsidR="00000000" w:rsidRPr="00000000">
        <w:rPr>
          <w:rtl w:val="0"/>
        </w:rPr>
      </w:r>
    </w:p>
    <w:tbl>
      <w:tblPr>
        <w:tblStyle w:val="Table5"/>
        <w:tblW w:w="8955.0" w:type="dxa"/>
        <w:jc w:val="center"/>
        <w:tblLayout w:type="fixed"/>
        <w:tblLook w:val="04A0"/>
      </w:tblPr>
      <w:tblGrid>
        <w:gridCol w:w="1110"/>
        <w:gridCol w:w="2625"/>
        <w:gridCol w:w="2580"/>
        <w:gridCol w:w="2640"/>
        <w:tblGridChange w:id="0">
          <w:tblGrid>
            <w:gridCol w:w="1110"/>
            <w:gridCol w:w="2625"/>
            <w:gridCol w:w="2580"/>
            <w:gridCol w:w="2640"/>
          </w:tblGrid>
        </w:tblGridChange>
      </w:tblGrid>
      <w:tr>
        <w:trPr>
          <w:cantSplit w:val="0"/>
          <w:tblHeader w:val="0"/>
        </w:trPr>
        <w:tc>
          <w:tcPr>
            <w:vAlign w:val="center"/>
          </w:tcPr>
          <w:p w:rsidR="00000000" w:rsidDel="00000000" w:rsidP="00000000" w:rsidRDefault="00000000" w:rsidRPr="00000000" w14:paraId="000000B8">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B9">
            <w:pPr>
              <w:jc w:val="both"/>
              <w:rPr/>
            </w:pPr>
            <w:r w:rsidDel="00000000" w:rsidR="00000000" w:rsidRPr="00000000">
              <w:rPr>
                <w:rtl w:val="0"/>
              </w:rPr>
              <w:t xml:space="preserve">France</w:t>
            </w:r>
          </w:p>
        </w:tc>
        <w:tc>
          <w:tcPr>
            <w:vAlign w:val="center"/>
          </w:tcPr>
          <w:p w:rsidR="00000000" w:rsidDel="00000000" w:rsidP="00000000" w:rsidRDefault="00000000" w:rsidRPr="00000000" w14:paraId="000000BA">
            <w:pPr>
              <w:jc w:val="both"/>
              <w:rPr/>
            </w:pPr>
            <w:r w:rsidDel="00000000" w:rsidR="00000000" w:rsidRPr="00000000">
              <w:rPr>
                <w:rtl w:val="0"/>
              </w:rPr>
              <w:t xml:space="preserve">USA</w:t>
            </w:r>
          </w:p>
        </w:tc>
        <w:tc>
          <w:tcPr>
            <w:vAlign w:val="center"/>
          </w:tcPr>
          <w:p w:rsidR="00000000" w:rsidDel="00000000" w:rsidP="00000000" w:rsidRDefault="00000000" w:rsidRPr="00000000" w14:paraId="000000BB">
            <w:pPr>
              <w:jc w:val="both"/>
              <w:rPr/>
            </w:pPr>
            <w:r w:rsidDel="00000000" w:rsidR="00000000" w:rsidRPr="00000000">
              <w:rPr>
                <w:rtl w:val="0"/>
              </w:rPr>
              <w:t xml:space="preserve">United Arab Emirates</w:t>
            </w:r>
          </w:p>
        </w:tc>
      </w:tr>
      <w:tr>
        <w:trPr>
          <w:cantSplit w:val="0"/>
          <w:tblHeader w:val="0"/>
        </w:trPr>
        <w:tc>
          <w:tcPr>
            <w:vAlign w:val="center"/>
          </w:tcPr>
          <w:p w:rsidR="00000000" w:rsidDel="00000000" w:rsidP="00000000" w:rsidRDefault="00000000" w:rsidRPr="00000000" w14:paraId="000000BC">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BD">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BE">
            <w:pPr>
              <w:jc w:val="both"/>
              <w:rPr>
                <w:sz w:val="18"/>
                <w:szCs w:val="18"/>
              </w:rPr>
            </w:pPr>
            <w:r w:rsidDel="00000000" w:rsidR="00000000" w:rsidRPr="00000000">
              <w:rPr>
                <w:color w:val="000000"/>
                <w:sz w:val="22"/>
                <w:szCs w:val="22"/>
                <w:rtl w:val="0"/>
              </w:rPr>
              <w:t xml:space="preserve">Wood Products</w:t>
            </w:r>
            <w:r w:rsidDel="00000000" w:rsidR="00000000" w:rsidRPr="00000000">
              <w:rPr>
                <w:rtl w:val="0"/>
              </w:rPr>
            </w:r>
          </w:p>
        </w:tc>
        <w:tc>
          <w:tcPr>
            <w:vAlign w:val="center"/>
          </w:tcPr>
          <w:p w:rsidR="00000000" w:rsidDel="00000000" w:rsidP="00000000" w:rsidRDefault="00000000" w:rsidRPr="00000000" w14:paraId="000000BF">
            <w:pPr>
              <w:jc w:val="both"/>
              <w:rPr>
                <w:color w:val="000000"/>
                <w:sz w:val="22"/>
                <w:szCs w:val="22"/>
              </w:rPr>
            </w:pPr>
            <w:r w:rsidDel="00000000" w:rsidR="00000000" w:rsidRPr="00000000">
              <w:rPr>
                <w:color w:val="000000"/>
                <w:sz w:val="22"/>
                <w:szCs w:val="22"/>
                <w:rtl w:val="0"/>
              </w:rPr>
              <w:t xml:space="preserve">Chemical Manufacturing</w:t>
            </w:r>
          </w:p>
        </w:tc>
      </w:tr>
      <w:tr>
        <w:trPr>
          <w:cantSplit w:val="0"/>
          <w:tblHeader w:val="0"/>
        </w:trPr>
        <w:tc>
          <w:tcPr>
            <w:vAlign w:val="center"/>
          </w:tcPr>
          <w:p w:rsidR="00000000" w:rsidDel="00000000" w:rsidP="00000000" w:rsidRDefault="00000000" w:rsidRPr="00000000" w14:paraId="000000C0">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C1">
            <w:pPr>
              <w:jc w:val="both"/>
              <w:rPr>
                <w:sz w:val="18"/>
                <w:szCs w:val="18"/>
              </w:rPr>
            </w:pPr>
            <w:r w:rsidDel="00000000" w:rsidR="00000000" w:rsidRPr="00000000">
              <w:rPr>
                <w:color w:val="000000"/>
                <w:sz w:val="22"/>
                <w:szCs w:val="22"/>
                <w:rtl w:val="0"/>
              </w:rPr>
              <w:t xml:space="preserve">Services &amp; Utilities</w:t>
            </w:r>
            <w:r w:rsidDel="00000000" w:rsidR="00000000" w:rsidRPr="00000000">
              <w:rPr>
                <w:rtl w:val="0"/>
              </w:rPr>
            </w:r>
          </w:p>
        </w:tc>
        <w:tc>
          <w:tcPr>
            <w:vAlign w:val="center"/>
          </w:tcPr>
          <w:p w:rsidR="00000000" w:rsidDel="00000000" w:rsidP="00000000" w:rsidRDefault="00000000" w:rsidRPr="00000000" w14:paraId="000000C2">
            <w:pPr>
              <w:jc w:val="both"/>
              <w:rPr>
                <w:sz w:val="18"/>
                <w:szCs w:val="18"/>
              </w:rPr>
            </w:pPr>
            <w:r w:rsidDel="00000000" w:rsidR="00000000" w:rsidRPr="00000000">
              <w:rPr>
                <w:color w:val="000000"/>
                <w:sz w:val="22"/>
                <w:szCs w:val="22"/>
                <w:rtl w:val="0"/>
              </w:rPr>
              <w:t xml:space="preserve">Precious Stones</w:t>
            </w:r>
            <w:r w:rsidDel="00000000" w:rsidR="00000000" w:rsidRPr="00000000">
              <w:rPr>
                <w:rtl w:val="0"/>
              </w:rPr>
            </w:r>
          </w:p>
        </w:tc>
        <w:tc>
          <w:tcPr>
            <w:vAlign w:val="center"/>
          </w:tcPr>
          <w:p w:rsidR="00000000" w:rsidDel="00000000" w:rsidP="00000000" w:rsidRDefault="00000000" w:rsidRPr="00000000" w14:paraId="000000C3">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4">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C5">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6">
            <w:pPr>
              <w:jc w:val="both"/>
              <w:rPr>
                <w:sz w:val="18"/>
                <w:szCs w:val="18"/>
              </w:rPr>
            </w:pPr>
            <w:r w:rsidDel="00000000" w:rsidR="00000000" w:rsidRPr="00000000">
              <w:rPr>
                <w:color w:val="000000"/>
                <w:sz w:val="22"/>
                <w:szCs w:val="22"/>
                <w:rtl w:val="0"/>
              </w:rPr>
              <w:t xml:space="preserve">Machinery &amp; Construction</w:t>
            </w:r>
            <w:r w:rsidDel="00000000" w:rsidR="00000000" w:rsidRPr="00000000">
              <w:rPr>
                <w:rtl w:val="0"/>
              </w:rPr>
            </w:r>
          </w:p>
        </w:tc>
        <w:tc>
          <w:tcPr>
            <w:vAlign w:val="center"/>
          </w:tcPr>
          <w:p w:rsidR="00000000" w:rsidDel="00000000" w:rsidP="00000000" w:rsidRDefault="00000000" w:rsidRPr="00000000" w14:paraId="000000C7">
            <w:pPr>
              <w:jc w:val="both"/>
              <w:rPr>
                <w:sz w:val="18"/>
                <w:szCs w:val="18"/>
              </w:rPr>
            </w:pPr>
            <w:r w:rsidDel="00000000" w:rsidR="00000000" w:rsidRPr="00000000">
              <w:rPr>
                <w:color w:val="000000"/>
                <w:sz w:val="22"/>
                <w:szCs w:val="22"/>
                <w:rtl w:val="0"/>
              </w:rPr>
              <w:t xml:space="preserve">Energy Drilling &amp; Mining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C9">
            <w:pPr>
              <w:jc w:val="both"/>
              <w:rPr>
                <w:color w:val="000000"/>
                <w:sz w:val="22"/>
                <w:szCs w:val="22"/>
              </w:rPr>
            </w:pPr>
            <w:r w:rsidDel="00000000" w:rsidR="00000000" w:rsidRPr="00000000">
              <w:rPr>
                <w:color w:val="000000"/>
                <w:sz w:val="22"/>
                <w:szCs w:val="22"/>
                <w:rtl w:val="0"/>
              </w:rPr>
              <w:t xml:space="preserve">Wood Products</w:t>
            </w:r>
          </w:p>
        </w:tc>
        <w:tc>
          <w:tcPr>
            <w:vAlign w:val="center"/>
          </w:tcPr>
          <w:p w:rsidR="00000000" w:rsidDel="00000000" w:rsidP="00000000" w:rsidRDefault="00000000" w:rsidRPr="00000000" w14:paraId="000000CA">
            <w:pPr>
              <w:jc w:val="both"/>
              <w:rPr>
                <w:sz w:val="18"/>
                <w:szCs w:val="18"/>
              </w:rPr>
            </w:pPr>
            <w:r w:rsidDel="00000000" w:rsidR="00000000" w:rsidRPr="00000000">
              <w:rPr>
                <w:color w:val="000000"/>
                <w:sz w:val="22"/>
                <w:szCs w:val="22"/>
                <w:rtl w:val="0"/>
              </w:rPr>
              <w:t xml:space="preserve">High-complexity Products</w:t>
            </w:r>
            <w:r w:rsidDel="00000000" w:rsidR="00000000" w:rsidRPr="00000000">
              <w:rPr>
                <w:rtl w:val="0"/>
              </w:rPr>
            </w:r>
          </w:p>
        </w:tc>
        <w:tc>
          <w:tcPr>
            <w:vAlign w:val="center"/>
          </w:tcPr>
          <w:p w:rsidR="00000000" w:rsidDel="00000000" w:rsidP="00000000" w:rsidRDefault="00000000" w:rsidRPr="00000000" w14:paraId="000000CB">
            <w:pPr>
              <w:jc w:val="both"/>
              <w:rPr>
                <w:sz w:val="18"/>
                <w:szCs w:val="18"/>
              </w:rPr>
            </w:pPr>
            <w:r w:rsidDel="00000000" w:rsidR="00000000" w:rsidRPr="00000000">
              <w:rPr>
                <w:color w:val="000000"/>
                <w:sz w:val="22"/>
                <w:szCs w:val="22"/>
                <w:rtl w:val="0"/>
              </w:rPr>
              <w:t xml:space="preserve">Metals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C">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CD">
            <w:pPr>
              <w:jc w:val="both"/>
              <w:rPr>
                <w:sz w:val="18"/>
                <w:szCs w:val="18"/>
              </w:rPr>
            </w:pPr>
            <w:r w:rsidDel="00000000" w:rsidR="00000000" w:rsidRPr="00000000">
              <w:rPr>
                <w:color w:val="000000"/>
                <w:sz w:val="22"/>
                <w:szCs w:val="22"/>
                <w:rtl w:val="0"/>
              </w:rPr>
              <w:t xml:space="preserve">Textile</w:t>
            </w:r>
            <w:r w:rsidDel="00000000" w:rsidR="00000000" w:rsidRPr="00000000">
              <w:rPr>
                <w:rtl w:val="0"/>
              </w:rPr>
            </w:r>
          </w:p>
        </w:tc>
        <w:tc>
          <w:tcPr>
            <w:vAlign w:val="center"/>
          </w:tcPr>
          <w:p w:rsidR="00000000" w:rsidDel="00000000" w:rsidP="00000000" w:rsidRDefault="00000000" w:rsidRPr="00000000" w14:paraId="000000CE">
            <w:pPr>
              <w:jc w:val="both"/>
              <w:rPr>
                <w:sz w:val="18"/>
                <w:szCs w:val="18"/>
              </w:rPr>
            </w:pPr>
            <w:r w:rsidDel="00000000" w:rsidR="00000000" w:rsidRPr="00000000">
              <w:rPr>
                <w:color w:val="000000"/>
                <w:sz w:val="22"/>
                <w:szCs w:val="22"/>
                <w:rtl w:val="0"/>
              </w:rPr>
              <w:t xml:space="preserve">Transportation</w:t>
            </w:r>
            <w:r w:rsidDel="00000000" w:rsidR="00000000" w:rsidRPr="00000000">
              <w:rPr>
                <w:rtl w:val="0"/>
              </w:rPr>
            </w:r>
          </w:p>
        </w:tc>
        <w:tc>
          <w:tcPr>
            <w:vAlign w:val="center"/>
          </w:tcPr>
          <w:p w:rsidR="00000000" w:rsidDel="00000000" w:rsidP="00000000" w:rsidRDefault="00000000" w:rsidRPr="00000000" w14:paraId="000000CF">
            <w:pPr>
              <w:jc w:val="both"/>
              <w:rPr>
                <w:sz w:val="18"/>
                <w:szCs w:val="18"/>
              </w:rPr>
            </w:pPr>
            <w:r w:rsidDel="00000000" w:rsidR="00000000" w:rsidRPr="00000000">
              <w:rPr>
                <w:color w:val="000000"/>
                <w:sz w:val="22"/>
                <w:szCs w:val="22"/>
                <w:rtl w:val="0"/>
              </w:rPr>
              <w:t xml:space="preserve">Vegetables, Fruits &amp; Plants</w:t>
            </w:r>
            <w:r w:rsidDel="00000000" w:rsidR="00000000" w:rsidRPr="00000000">
              <w:rPr>
                <w:rtl w:val="0"/>
              </w:rPr>
            </w:r>
          </w:p>
        </w:tc>
      </w:tr>
    </w:tbl>
    <w:p w:rsidR="00000000" w:rsidDel="00000000" w:rsidP="00000000" w:rsidRDefault="00000000" w:rsidRPr="00000000" w14:paraId="000000D0">
      <w:pPr>
        <w:jc w:val="center"/>
        <w:rPr/>
      </w:pPr>
      <w:r w:rsidDel="00000000" w:rsidR="00000000" w:rsidRPr="00000000">
        <w:rPr>
          <w:sz w:val="22"/>
          <w:szCs w:val="22"/>
          <w:rtl w:val="0"/>
        </w:rPr>
        <w:t xml:space="preserve">Table 4a. RID Comparison across Leading Economies (2022)</w:t>
      </w:r>
      <w:r w:rsidDel="00000000" w:rsidR="00000000" w:rsidRPr="00000000">
        <w:rPr>
          <w:rtl w:val="0"/>
        </w:rPr>
      </w:r>
    </w:p>
    <w:p w:rsidR="00000000" w:rsidDel="00000000" w:rsidP="00000000" w:rsidRDefault="00000000" w:rsidRPr="00000000" w14:paraId="000000D1">
      <w:pPr>
        <w:jc w:val="center"/>
        <w:rPr>
          <w:sz w:val="22"/>
          <w:szCs w:val="22"/>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Table 4b further examines the Netherlands’ development strategy against those of emerging economies on a global scale. Reasonably, emerging economies such as China and Singapore have devoted the majority of their efforts to intermediate industry groups, showing moderate shifts in strategies over the course of three years.</w:t>
      </w:r>
    </w:p>
    <w:p w:rsidR="00000000" w:rsidDel="00000000" w:rsidP="00000000" w:rsidRDefault="00000000" w:rsidRPr="00000000" w14:paraId="000000D3">
      <w:pPr>
        <w:jc w:val="both"/>
        <w:rPr/>
      </w:pPr>
      <w:r w:rsidDel="00000000" w:rsidR="00000000" w:rsidRPr="00000000">
        <w:rPr>
          <w:rtl w:val="0"/>
        </w:rPr>
      </w:r>
    </w:p>
    <w:tbl>
      <w:tblPr>
        <w:tblStyle w:val="Table6"/>
        <w:tblW w:w="6515.999999999999" w:type="dxa"/>
        <w:jc w:val="center"/>
        <w:tblLayout w:type="fixed"/>
        <w:tblLook w:val="04A0"/>
      </w:tblPr>
      <w:tblGrid>
        <w:gridCol w:w="1122"/>
        <w:gridCol w:w="2842"/>
        <w:gridCol w:w="2552"/>
        <w:tblGridChange w:id="0">
          <w:tblGrid>
            <w:gridCol w:w="1122"/>
            <w:gridCol w:w="2842"/>
            <w:gridCol w:w="2552"/>
          </w:tblGrid>
        </w:tblGridChange>
      </w:tblGrid>
      <w:tr>
        <w:trPr>
          <w:cantSplit w:val="0"/>
          <w:trHeight w:val="135" w:hRule="atLeast"/>
          <w:tblHeader w:val="0"/>
        </w:trPr>
        <w:tc>
          <w:tcPr/>
          <w:p w:rsidR="00000000" w:rsidDel="00000000" w:rsidP="00000000" w:rsidRDefault="00000000" w:rsidRPr="00000000" w14:paraId="000000D4">
            <w:pPr>
              <w:jc w:val="both"/>
              <w:rPr/>
            </w:pPr>
            <w:r w:rsidDel="00000000" w:rsidR="00000000" w:rsidRPr="00000000">
              <w:rPr>
                <w:rtl w:val="0"/>
              </w:rPr>
              <w:t xml:space="preserve">Ranking</w:t>
            </w:r>
          </w:p>
        </w:tc>
        <w:tc>
          <w:tcPr/>
          <w:p w:rsidR="00000000" w:rsidDel="00000000" w:rsidP="00000000" w:rsidRDefault="00000000" w:rsidRPr="00000000" w14:paraId="000000D5">
            <w:pPr>
              <w:jc w:val="both"/>
              <w:rPr/>
            </w:pPr>
            <w:r w:rsidDel="00000000" w:rsidR="00000000" w:rsidRPr="00000000">
              <w:rPr>
                <w:rtl w:val="0"/>
              </w:rPr>
              <w:t xml:space="preserve">China</w:t>
            </w:r>
          </w:p>
        </w:tc>
        <w:tc>
          <w:tcPr/>
          <w:p w:rsidR="00000000" w:rsidDel="00000000" w:rsidP="00000000" w:rsidRDefault="00000000" w:rsidRPr="00000000" w14:paraId="000000D6">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8">
            <w:pPr>
              <w:jc w:val="both"/>
              <w:rPr>
                <w:color w:val="000000"/>
                <w:sz w:val="22"/>
                <w:szCs w:val="22"/>
              </w:rPr>
            </w:pPr>
            <w:r w:rsidDel="00000000" w:rsidR="00000000" w:rsidRPr="00000000">
              <w:rPr>
                <w:color w:val="000000"/>
                <w:sz w:val="22"/>
                <w:szCs w:val="22"/>
                <w:rtl w:val="0"/>
              </w:rPr>
              <w:t xml:space="preserve">Weapons</w:t>
            </w:r>
          </w:p>
        </w:tc>
        <w:tc>
          <w:tcPr>
            <w:vAlign w:val="bottom"/>
          </w:tcPr>
          <w:p w:rsidR="00000000" w:rsidDel="00000000" w:rsidP="00000000" w:rsidRDefault="00000000" w:rsidRPr="00000000" w14:paraId="000000D9">
            <w:pPr>
              <w:jc w:val="both"/>
              <w:rPr>
                <w:color w:val="000000"/>
                <w:sz w:val="22"/>
                <w:szCs w:val="22"/>
              </w:rPr>
            </w:pPr>
            <w:r w:rsidDel="00000000" w:rsidR="00000000" w:rsidRPr="00000000">
              <w:rPr>
                <w:color w:val="000000"/>
                <w:sz w:val="22"/>
                <w:szCs w:val="22"/>
                <w:rtl w:val="0"/>
              </w:rPr>
              <w:t xml:space="preserve">Energy Drilling &amp; Mining</w:t>
            </w:r>
          </w:p>
        </w:tc>
      </w:tr>
      <w:tr>
        <w:trPr>
          <w:cantSplit w:val="0"/>
          <w:trHeight w:val="275.00000000000006" w:hRule="atLeast"/>
          <w:tblHeader w:val="0"/>
        </w:trPr>
        <w:tc>
          <w:tcPr>
            <w:shd w:fill="ffffff" w:val="clear"/>
          </w:tcPr>
          <w:p w:rsidR="00000000" w:rsidDel="00000000" w:rsidP="00000000" w:rsidRDefault="00000000" w:rsidRPr="00000000" w14:paraId="000000DA">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B">
            <w:pPr>
              <w:jc w:val="both"/>
              <w:rPr>
                <w:color w:val="000000"/>
                <w:sz w:val="22"/>
                <w:szCs w:val="22"/>
              </w:rPr>
            </w:pPr>
            <w:r w:rsidDel="00000000" w:rsidR="00000000" w:rsidRPr="00000000">
              <w:rPr>
                <w:color w:val="000000"/>
                <w:sz w:val="22"/>
                <w:szCs w:val="22"/>
                <w:rtl w:val="0"/>
              </w:rPr>
              <w:t xml:space="preserve">Machinery &amp; Construction</w:t>
            </w:r>
          </w:p>
        </w:tc>
        <w:tc>
          <w:tcPr>
            <w:vAlign w:val="bottom"/>
          </w:tcPr>
          <w:p w:rsidR="00000000" w:rsidDel="00000000" w:rsidP="00000000" w:rsidRDefault="00000000" w:rsidRPr="00000000" w14:paraId="000000DC">
            <w:pPr>
              <w:jc w:val="both"/>
              <w:rPr>
                <w:color w:val="000000"/>
                <w:sz w:val="22"/>
                <w:szCs w:val="22"/>
              </w:rPr>
            </w:pPr>
            <w:r w:rsidDel="00000000" w:rsidR="00000000" w:rsidRPr="00000000">
              <w:rPr>
                <w:color w:val="000000"/>
                <w:sz w:val="22"/>
                <w:szCs w:val="22"/>
                <w:rtl w:val="0"/>
              </w:rPr>
              <w:t xml:space="preserve">Weapons</w:t>
            </w:r>
          </w:p>
        </w:tc>
      </w:tr>
      <w:tr>
        <w:trPr>
          <w:cantSplit w:val="0"/>
          <w:trHeight w:val="275.00000000000006" w:hRule="atLeast"/>
          <w:tblHeader w:val="0"/>
        </w:trPr>
        <w:tc>
          <w:tcPr/>
          <w:p w:rsidR="00000000" w:rsidDel="00000000" w:rsidP="00000000" w:rsidRDefault="00000000" w:rsidRPr="00000000" w14:paraId="000000DD">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DE">
            <w:pPr>
              <w:jc w:val="both"/>
              <w:rPr>
                <w:color w:val="000000"/>
                <w:sz w:val="22"/>
                <w:szCs w:val="22"/>
              </w:rPr>
            </w:pPr>
            <w:r w:rsidDel="00000000" w:rsidR="00000000" w:rsidRPr="00000000">
              <w:rPr>
                <w:color w:val="000000"/>
                <w:sz w:val="22"/>
                <w:szCs w:val="22"/>
                <w:rtl w:val="0"/>
              </w:rPr>
              <w:t xml:space="preserve">Chemicals</w:t>
            </w:r>
          </w:p>
        </w:tc>
        <w:tc>
          <w:tcPr>
            <w:vAlign w:val="bottom"/>
          </w:tcPr>
          <w:p w:rsidR="00000000" w:rsidDel="00000000" w:rsidP="00000000" w:rsidRDefault="00000000" w:rsidRPr="00000000" w14:paraId="000000DF">
            <w:pPr>
              <w:jc w:val="both"/>
              <w:rPr>
                <w:color w:val="000000"/>
                <w:sz w:val="22"/>
                <w:szCs w:val="22"/>
              </w:rPr>
            </w:pPr>
            <w:r w:rsidDel="00000000" w:rsidR="00000000" w:rsidRPr="00000000">
              <w:rPr>
                <w:color w:val="000000"/>
                <w:sz w:val="22"/>
                <w:szCs w:val="22"/>
                <w:rtl w:val="0"/>
              </w:rPr>
              <w:t xml:space="preserve">Textile</w:t>
            </w:r>
          </w:p>
        </w:tc>
      </w:tr>
      <w:tr>
        <w:trPr>
          <w:cantSplit w:val="0"/>
          <w:trHeight w:val="60" w:hRule="atLeast"/>
          <w:tblHeader w:val="0"/>
        </w:trPr>
        <w:tc>
          <w:tcPr/>
          <w:p w:rsidR="00000000" w:rsidDel="00000000" w:rsidP="00000000" w:rsidRDefault="00000000" w:rsidRPr="00000000" w14:paraId="000000E0">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E1">
            <w:pPr>
              <w:jc w:val="both"/>
              <w:rPr>
                <w:color w:val="000000"/>
                <w:sz w:val="22"/>
                <w:szCs w:val="22"/>
              </w:rPr>
            </w:pPr>
            <w:r w:rsidDel="00000000" w:rsidR="00000000" w:rsidRPr="00000000">
              <w:rPr>
                <w:color w:val="000000"/>
                <w:sz w:val="22"/>
                <w:szCs w:val="22"/>
                <w:rtl w:val="0"/>
              </w:rPr>
              <w:t xml:space="preserve">Raw Manufacturing</w:t>
            </w:r>
          </w:p>
        </w:tc>
        <w:tc>
          <w:tcPr>
            <w:vAlign w:val="bottom"/>
          </w:tcPr>
          <w:p w:rsidR="00000000" w:rsidDel="00000000" w:rsidP="00000000" w:rsidRDefault="00000000" w:rsidRPr="00000000" w14:paraId="000000E2">
            <w:pPr>
              <w:jc w:val="both"/>
              <w:rPr>
                <w:color w:val="000000"/>
                <w:sz w:val="22"/>
                <w:szCs w:val="22"/>
              </w:rPr>
            </w:pPr>
            <w:r w:rsidDel="00000000" w:rsidR="00000000" w:rsidRPr="00000000">
              <w:rPr>
                <w:color w:val="000000"/>
                <w:sz w:val="22"/>
                <w:szCs w:val="22"/>
                <w:rtl w:val="0"/>
              </w:rPr>
              <w:t xml:space="preserve">High-complexity Products</w:t>
            </w:r>
          </w:p>
        </w:tc>
      </w:tr>
      <w:tr>
        <w:trPr>
          <w:cantSplit w:val="0"/>
          <w:tblHeader w:val="0"/>
        </w:trPr>
        <w:tc>
          <w:tcPr/>
          <w:p w:rsidR="00000000" w:rsidDel="00000000" w:rsidP="00000000" w:rsidRDefault="00000000" w:rsidRPr="00000000" w14:paraId="000000E3">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E4">
            <w:pPr>
              <w:jc w:val="both"/>
              <w:rPr>
                <w:color w:val="000000"/>
                <w:sz w:val="22"/>
                <w:szCs w:val="22"/>
              </w:rPr>
            </w:pPr>
            <w:r w:rsidDel="00000000" w:rsidR="00000000" w:rsidRPr="00000000">
              <w:rPr>
                <w:color w:val="000000"/>
                <w:sz w:val="22"/>
                <w:szCs w:val="22"/>
                <w:rtl w:val="0"/>
              </w:rPr>
              <w:t xml:space="preserve">Clothing &amp; Accessories</w:t>
            </w:r>
          </w:p>
        </w:tc>
        <w:tc>
          <w:tcPr>
            <w:vAlign w:val="bottom"/>
          </w:tcPr>
          <w:p w:rsidR="00000000" w:rsidDel="00000000" w:rsidP="00000000" w:rsidRDefault="00000000" w:rsidRPr="00000000" w14:paraId="000000E5">
            <w:pPr>
              <w:jc w:val="both"/>
              <w:rPr>
                <w:color w:val="000000"/>
                <w:sz w:val="22"/>
                <w:szCs w:val="22"/>
              </w:rPr>
            </w:pPr>
            <w:r w:rsidDel="00000000" w:rsidR="00000000" w:rsidRPr="00000000">
              <w:rPr>
                <w:color w:val="000000"/>
                <w:sz w:val="22"/>
                <w:szCs w:val="22"/>
                <w:rtl w:val="0"/>
              </w:rPr>
              <w:t xml:space="preserve">Animals &amp; By-products</w:t>
            </w:r>
          </w:p>
        </w:tc>
      </w:tr>
    </w:tbl>
    <w:p w:rsidR="00000000" w:rsidDel="00000000" w:rsidP="00000000" w:rsidRDefault="00000000" w:rsidRPr="00000000" w14:paraId="000000E6">
      <w:pPr>
        <w:jc w:val="center"/>
        <w:rPr/>
      </w:pPr>
      <w:r w:rsidDel="00000000" w:rsidR="00000000" w:rsidRPr="00000000">
        <w:rPr>
          <w:sz w:val="22"/>
          <w:szCs w:val="22"/>
          <w:rtl w:val="0"/>
        </w:rPr>
        <w:t xml:space="preserve">Table 4b. RID Comparison across Emerging Economies (2022)</w:t>
      </w:r>
      <w:r w:rsidDel="00000000" w:rsidR="00000000" w:rsidRPr="00000000">
        <w:rPr>
          <w:rtl w:val="0"/>
        </w:rPr>
      </w:r>
    </w:p>
    <w:p w:rsidR="00000000" w:rsidDel="00000000" w:rsidP="00000000" w:rsidRDefault="00000000" w:rsidRPr="00000000" w14:paraId="000000E7">
      <w:pPr>
        <w:pageBreakBefore w:val="0"/>
        <w:jc w:val="both"/>
        <w:rPr/>
      </w:pPr>
      <w:r w:rsidDel="00000000" w:rsidR="00000000" w:rsidRPr="00000000">
        <w:rPr>
          <w:rtl w:val="0"/>
        </w:rPr>
      </w:r>
    </w:p>
    <w:p w:rsidR="00000000" w:rsidDel="00000000" w:rsidP="00000000" w:rsidRDefault="00000000" w:rsidRPr="00000000" w14:paraId="000000E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E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EA">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EB">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0EC">
      <w:pPr>
        <w:pageBreakBefore w:val="0"/>
        <w:jc w:val="both"/>
        <w:rPr/>
      </w:pPr>
      <w:r w:rsidDel="00000000" w:rsidR="00000000" w:rsidRPr="00000000">
        <w:rPr>
          <w:rtl w:val="0"/>
        </w:rPr>
      </w:r>
    </w:p>
    <w:p w:rsidR="00000000" w:rsidDel="00000000" w:rsidP="00000000" w:rsidRDefault="00000000" w:rsidRPr="00000000" w14:paraId="000000ED">
      <w:pPr>
        <w:pageBreakBefore w:val="0"/>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Fonts w:ascii="Times" w:cs="Times" w:eastAsia="Times" w:hAnsi="Times"/>
          <w:b w:val="1"/>
          <w:bCs w:val="1"/>
          <w:sz w:val="28"/>
          <w:szCs w:val="28"/>
        </w:rPr>
        <w:drawing>
          <wp:inline distB="114300" distT="114300" distL="114300" distR="114300">
            <wp:extent cx="5731200" cy="2032000"/>
            <wp:effectExtent b="0" l="0" r="0" t="0"/>
            <wp:docPr id="1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center"/>
        <w:rPr/>
      </w:pPr>
      <w:r w:rsidDel="00000000" w:rsidR="00000000" w:rsidRPr="00000000">
        <w:rPr>
          <w:sz w:val="22"/>
          <w:szCs w:val="22"/>
          <w:rtl w:val="0"/>
        </w:rPr>
        <w:t xml:space="preserve">Table 5. Opportunity Gain Ranking on a Comparable Scale (2022)</w:t>
      </w:r>
      <w:r w:rsidDel="00000000" w:rsidR="00000000" w:rsidRPr="00000000">
        <w:rPr>
          <w:rtl w:val="0"/>
        </w:rPr>
      </w:r>
    </w:p>
    <w:p w:rsidR="00000000" w:rsidDel="00000000" w:rsidP="00000000" w:rsidRDefault="00000000" w:rsidRPr="00000000" w14:paraId="000000F0">
      <w:pPr>
        <w:pageBreakBefore w:val="0"/>
        <w:jc w:val="center"/>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t xml:space="preserve">We define the ranking of opportunity gain for a country </w:t>
      </w:r>
      <w:r w:rsidDel="00000000" w:rsidR="00000000" w:rsidRPr="00000000">
        <w:rPr>
          <w:i w:val="1"/>
          <w:iCs w:val="1"/>
          <w:rtl w:val="0"/>
        </w:rPr>
        <w:t xml:space="preserve">c</w:t>
      </w:r>
      <w:r w:rsidDel="00000000" w:rsidR="00000000" w:rsidRPr="00000000">
        <w:rPr>
          <w:rtl w:val="0"/>
        </w:rPr>
        <w:t xml:space="preserve">, as the Suggested Development Vector (SDV) of </w:t>
      </w:r>
      <w:r w:rsidDel="00000000" w:rsidR="00000000" w:rsidRPr="00000000">
        <w:rPr>
          <w:i w:val="1"/>
          <w:iCs w:val="1"/>
          <w:rtl w:val="0"/>
        </w:rPr>
        <w:t xml:space="preserve">c</w:t>
      </w:r>
      <w:r w:rsidDel="00000000" w:rsidR="00000000" w:rsidRPr="00000000">
        <w:rPr>
          <w:rtl w:val="0"/>
        </w:rPr>
        <w:t xml:space="preserve">. Table 5 summarizes how the SDV of the Netherlands compares with a selected group of comparable and leading economies in the world, with the industry groups ranked in decreasing order of significance. </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t xml:space="preserve">Dark blue indicates positive opportunity gains,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High-complexity Products and Services and Utilities industries. It can be concluded that the Netherlands shares the characteristics of developing countries, with a balanced economic structure that leans towards more complex industries. Although its ECI has increased over the past four years, there remains significant room for improvement. </w:t>
      </w:r>
    </w:p>
    <w:p w:rsidR="00000000" w:rsidDel="00000000" w:rsidP="00000000" w:rsidRDefault="00000000" w:rsidRPr="00000000" w14:paraId="000000F4">
      <w:pPr>
        <w:pageBreakBefore w:val="0"/>
        <w:jc w:val="both"/>
        <w:rPr/>
      </w:pPr>
      <w:r w:rsidDel="00000000" w:rsidR="00000000" w:rsidRPr="00000000">
        <w:rPr>
          <w:rtl w:val="0"/>
        </w:rPr>
      </w:r>
    </w:p>
    <w:p w:rsidR="00000000" w:rsidDel="00000000" w:rsidP="00000000" w:rsidRDefault="00000000" w:rsidRPr="00000000" w14:paraId="000000F5">
      <w:pPr>
        <w:pageBreakBefore w:val="0"/>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drawing>
          <wp:inline distB="114300" distT="114300" distL="114300" distR="114300">
            <wp:extent cx="5731200" cy="2273300"/>
            <wp:effectExtent b="0" l="0" r="0" t="0"/>
            <wp:docPr id="4"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jc w:val="center"/>
        <w:rPr/>
      </w:pPr>
      <w:r w:rsidDel="00000000" w:rsidR="00000000" w:rsidRPr="00000000">
        <w:rPr>
          <w:sz w:val="22"/>
          <w:szCs w:val="22"/>
          <w:rtl w:val="0"/>
        </w:rPr>
        <w:t xml:space="preserve">Table 6. SDV of Other Sample Countries (2013)</w:t>
      </w:r>
      <w:r w:rsidDel="00000000" w:rsidR="00000000" w:rsidRPr="00000000">
        <w:rPr>
          <w:rtl w:val="0"/>
        </w:rPr>
      </w:r>
    </w:p>
    <w:p w:rsidR="00000000" w:rsidDel="00000000" w:rsidP="00000000" w:rsidRDefault="00000000" w:rsidRPr="00000000" w14:paraId="000000F9">
      <w:pPr>
        <w:pageBreakBefore w:val="0"/>
        <w:jc w:val="center"/>
        <w:rPr>
          <w:sz w:val="22"/>
          <w:szCs w:val="22"/>
        </w:rPr>
      </w:pPr>
      <w:r w:rsidDel="00000000" w:rsidR="00000000" w:rsidRPr="00000000">
        <w:rPr>
          <w:rtl w:val="0"/>
        </w:rPr>
      </w:r>
    </w:p>
    <w:p w:rsidR="00000000" w:rsidDel="00000000" w:rsidP="00000000" w:rsidRDefault="00000000" w:rsidRPr="00000000" w14:paraId="000000FA">
      <w:pPr>
        <w:pageBreakBefore w:val="0"/>
        <w:jc w:val="center"/>
        <w:rPr/>
      </w:pPr>
      <w:r w:rsidDel="00000000" w:rsidR="00000000" w:rsidRPr="00000000">
        <w:rPr>
          <w:rtl w:val="0"/>
        </w:rPr>
      </w:r>
    </w:p>
    <w:p w:rsidR="00000000" w:rsidDel="00000000" w:rsidP="00000000" w:rsidRDefault="00000000" w:rsidRPr="00000000" w14:paraId="000000FB">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0FC">
      <w:pPr>
        <w:pageBreakBefore w:val="0"/>
        <w:jc w:val="both"/>
        <w:rPr/>
      </w:pPr>
      <w:commentRangeStart w:id="3"/>
      <w:r w:rsidDel="00000000" w:rsidR="00000000" w:rsidRPr="00000000">
        <w:rPr>
          <w:rtl w:val="0"/>
        </w:rPr>
        <w:t xml:space="preserve">Th</w:t>
      </w:r>
      <w:commentRangeEnd w:id="3"/>
      <w:r w:rsidDel="00000000" w:rsidR="00000000" w:rsidRPr="00000000">
        <w:commentReference w:id="3"/>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FD">
      <w:pPr>
        <w:pageBreakBefore w:val="0"/>
        <w:jc w:val="both"/>
        <w:rPr/>
      </w:pPr>
      <w:r w:rsidDel="00000000" w:rsidR="00000000" w:rsidRPr="00000000">
        <w:rPr>
          <w:rtl w:val="0"/>
        </w:rPr>
      </w:r>
    </w:p>
    <w:p w:rsidR="00000000" w:rsidDel="00000000" w:rsidP="00000000" w:rsidRDefault="00000000" w:rsidRPr="00000000" w14:paraId="000000FE">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ageBreakBefore w:val="0"/>
        <w:jc w:val="center"/>
        <w:rPr/>
      </w:pPr>
      <w:r w:rsidDel="00000000" w:rsidR="00000000" w:rsidRPr="00000000">
        <w:rPr>
          <w:rtl w:val="0"/>
        </w:rPr>
      </w:r>
    </w:p>
    <w:p w:rsidR="00000000" w:rsidDel="00000000" w:rsidP="00000000" w:rsidRDefault="00000000" w:rsidRPr="00000000" w14:paraId="00000100">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101">
      <w:pPr>
        <w:pageBreakBefore w:val="0"/>
        <w:jc w:val="both"/>
        <w:rPr/>
      </w:pPr>
      <w:r w:rsidDel="00000000" w:rsidR="00000000" w:rsidRPr="00000000">
        <w:rPr>
          <w:rtl w:val="0"/>
        </w:rPr>
        <w:t xml:space="preserve"> </w:t>
      </w:r>
    </w:p>
    <w:p w:rsidR="00000000" w:rsidDel="00000000" w:rsidP="00000000" w:rsidRDefault="00000000" w:rsidRPr="00000000" w14:paraId="00000102">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03">
      <w:pPr>
        <w:pageBreakBefore w:val="0"/>
        <w:jc w:val="both"/>
        <w:rPr/>
      </w:pPr>
      <w:r w:rsidDel="00000000" w:rsidR="00000000" w:rsidRPr="00000000">
        <w:rPr>
          <w:rtl w:val="0"/>
        </w:rPr>
        <w:t xml:space="preserve"> </w:t>
      </w:r>
    </w:p>
    <w:p w:rsidR="00000000" w:rsidDel="00000000" w:rsidP="00000000" w:rsidRDefault="00000000" w:rsidRPr="00000000" w14:paraId="00000104">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05">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3"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07">
      <w:pPr>
        <w:pageBreakBefore w:val="0"/>
        <w:rPr/>
      </w:pPr>
      <w:r w:rsidDel="00000000" w:rsidR="00000000" w:rsidRPr="00000000">
        <w:rPr>
          <w:rtl w:val="0"/>
        </w:rPr>
      </w:r>
    </w:p>
    <w:p w:rsidR="00000000" w:rsidDel="00000000" w:rsidP="00000000" w:rsidRDefault="00000000" w:rsidRPr="00000000" w14:paraId="00000108">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09">
      <w:pPr>
        <w:pageBreakBefore w:val="0"/>
        <w:rPr/>
      </w:pPr>
      <w:r w:rsidDel="00000000" w:rsidR="00000000" w:rsidRPr="00000000">
        <w:rPr>
          <w:rtl w:val="0"/>
        </w:rPr>
        <w:t xml:space="preserve"> </w:t>
      </w:r>
    </w:p>
    <w:p w:rsidR="00000000" w:rsidDel="00000000" w:rsidP="00000000" w:rsidRDefault="00000000" w:rsidRPr="00000000" w14:paraId="0000010A">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10B">
      <w:pPr>
        <w:pageBreakBefore w:val="0"/>
        <w:rPr/>
      </w:pPr>
      <w:r w:rsidDel="00000000" w:rsidR="00000000" w:rsidRPr="00000000">
        <w:rPr>
          <w:rtl w:val="0"/>
        </w:rPr>
      </w:r>
    </w:p>
    <w:p w:rsidR="00000000" w:rsidDel="00000000" w:rsidP="00000000" w:rsidRDefault="00000000" w:rsidRPr="00000000" w14:paraId="0000010C">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10D">
      <w:pPr>
        <w:jc w:val="both"/>
        <w:rPr>
          <w:b w:val="1"/>
          <w:bCs w:val="1"/>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r w:rsidDel="00000000" w:rsidR="00000000" w:rsidRPr="00000000">
        <w:rPr>
          <w:rtl w:val="0"/>
        </w:rPr>
      </w:r>
    </w:p>
    <w:p w:rsidR="00000000" w:rsidDel="00000000" w:rsidP="00000000" w:rsidRDefault="00000000" w:rsidRPr="00000000" w14:paraId="0000010E">
      <w:pPr>
        <w:pageBreakBefore w:val="0"/>
        <w:jc w:val="both"/>
        <w:rPr>
          <w:b w:val="1"/>
          <w:bCs w:val="1"/>
        </w:rPr>
      </w:pPr>
      <w:r w:rsidDel="00000000" w:rsidR="00000000" w:rsidRPr="00000000">
        <w:rPr>
          <w:rtl w:val="0"/>
        </w:rPr>
      </w:r>
    </w:p>
    <w:p w:rsidR="00000000" w:rsidDel="00000000" w:rsidP="00000000" w:rsidRDefault="00000000" w:rsidRPr="00000000" w14:paraId="0000010F">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10">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111">
      <w:pPr>
        <w:pageBreakBefore w:val="0"/>
        <w:jc w:val="both"/>
        <w:rPr/>
      </w:pPr>
      <w:r w:rsidDel="00000000" w:rsidR="00000000" w:rsidRPr="00000000">
        <w:rPr>
          <w:rtl w:val="0"/>
        </w:rPr>
      </w:r>
    </w:p>
    <w:tbl>
      <w:tblPr>
        <w:tblStyle w:val="Table7"/>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2">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3">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38">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139">
      <w:pPr>
        <w:pageBreakBefore w:val="0"/>
        <w:jc w:val="center"/>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t xml:space="preserve">Figures 4 show an economic panel for the Netherlands in 2022. We can see that for different percentages of heuristic total export growth, the ECIs of the Netherlands have slightly different industry distributions though are relatively consistent.</w:t>
      </w:r>
    </w:p>
    <w:p w:rsidR="00000000" w:rsidDel="00000000" w:rsidP="00000000" w:rsidRDefault="00000000" w:rsidRPr="00000000" w14:paraId="0000013B">
      <w:pPr>
        <w:jc w:val="both"/>
        <w:rPr/>
      </w:pPr>
      <w:r w:rsidDel="00000000" w:rsidR="00000000" w:rsidRPr="00000000">
        <w:rPr>
          <w:rtl w:val="0"/>
        </w:rPr>
        <w:t xml:space="preserve"> </w:t>
      </w:r>
    </w:p>
    <w:p w:rsidR="00000000" w:rsidDel="00000000" w:rsidP="00000000" w:rsidRDefault="00000000" w:rsidRPr="00000000" w14:paraId="0000013C">
      <w:pPr>
        <w:jc w:val="both"/>
        <w:rPr/>
      </w:pPr>
      <w:r w:rsidDel="00000000" w:rsidR="00000000" w:rsidRPr="00000000">
        <w:rPr>
          <w:rtl w:val="0"/>
        </w:rPr>
        <w:t xml:space="preserve">For 2022, in the case of 5 percent export growth, Animals and By-products is the primary industry with Textiles and Chemicals as a tied secondary industry. With a budget of 10 percent export growth, Precious Stones dominates Energy Drilling and Mining following up representing a fifth of the growth. For 15%, Energy Drilling and Mining dominates with Precious Stones being a strong runner-up. Lastly, in the case of 20% export growth, Precious Stones dominates 70% with the remaining 30% remaining split between the other industries. This suggests that with any increase in investment, all resources should be directed to Precious Stones. A more detailed numerical representation of the portfolio is shown in Table 8a. The increased ECI row of the table suggests that any increases in 10%, 15%, and 20% yield the same increase in ECI, which means that the Netherlands should focus on 5% and 10%. Thus, for optimal development, it should invest firstly in Precious Stones followed by Energy Drilling and Mining. </w:t>
      </w:r>
    </w:p>
    <w:p w:rsidR="00000000" w:rsidDel="00000000" w:rsidP="00000000" w:rsidRDefault="00000000" w:rsidRPr="00000000" w14:paraId="0000013D">
      <w:pPr>
        <w:jc w:val="both"/>
        <w:rPr/>
      </w:pPr>
      <w:r w:rsidDel="00000000" w:rsidR="00000000" w:rsidRPr="00000000">
        <w:rPr/>
        <w:drawing>
          <wp:inline distB="114300" distT="114300" distL="114300" distR="114300">
            <wp:extent cx="5731200" cy="2870200"/>
            <wp:effectExtent b="0" l="0" r="0" t="0"/>
            <wp:docPr id="1"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ageBreakBefore w:val="0"/>
        <w:jc w:val="both"/>
        <w:rPr>
          <w:b w:val="0"/>
          <w:bCs w:val="0"/>
          <w:i w:val="1"/>
          <w:iCs w:val="1"/>
          <w:color w:val="444499"/>
          <w:sz w:val="20"/>
          <w:szCs w:val="20"/>
        </w:rPr>
      </w:pPr>
      <w:r w:rsidDel="00000000" w:rsidR="00000000" w:rsidRPr="00000000">
        <w:rPr/>
        <w:drawing>
          <wp:inline distB="114300" distT="114300" distL="114300" distR="114300">
            <wp:extent cx="5731200" cy="2159000"/>
            <wp:effectExtent b="0" l="0" r="0" t="0"/>
            <wp:docPr id="6"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ageBreakBefore w:val="0"/>
        <w:jc w:val="both"/>
        <w:rPr/>
      </w:pPr>
      <w:r w:rsidDel="00000000" w:rsidR="00000000" w:rsidRPr="00000000">
        <w:rPr>
          <w:rtl w:val="0"/>
        </w:rPr>
      </w:r>
    </w:p>
    <w:p w:rsidR="00000000" w:rsidDel="00000000" w:rsidP="00000000" w:rsidRDefault="00000000" w:rsidRPr="00000000" w14:paraId="00000140">
      <w:pPr>
        <w:pageBreakBefore w:val="0"/>
        <w:jc w:val="center"/>
        <w:rPr>
          <w:sz w:val="22"/>
          <w:szCs w:val="22"/>
        </w:rPr>
      </w:pPr>
      <w:r w:rsidDel="00000000" w:rsidR="00000000" w:rsidRPr="00000000">
        <w:rPr>
          <w:sz w:val="22"/>
          <w:szCs w:val="22"/>
          <w:rtl w:val="0"/>
        </w:rPr>
        <w:t xml:space="preserve">Figure 4. Greedy-Based ECI Improvement Results of the Netherlands with Different Budgets (2013)</w:t>
      </w:r>
    </w:p>
    <w:p w:rsidR="00000000" w:rsidDel="00000000" w:rsidP="00000000" w:rsidRDefault="00000000" w:rsidRPr="00000000" w14:paraId="00000141">
      <w:pPr>
        <w:jc w:val="left"/>
        <w:rPr>
          <w:sz w:val="22"/>
          <w:szCs w:val="22"/>
        </w:rPr>
      </w:pPr>
      <w:r w:rsidDel="00000000" w:rsidR="00000000" w:rsidRPr="00000000">
        <w:rPr>
          <w:rtl w:val="0"/>
        </w:rPr>
      </w:r>
    </w:p>
    <w:p w:rsidR="00000000" w:rsidDel="00000000" w:rsidP="00000000" w:rsidRDefault="00000000" w:rsidRPr="00000000" w14:paraId="00000142">
      <w:pPr>
        <w:jc w:val="left"/>
        <w:rPr>
          <w:sz w:val="22"/>
          <w:szCs w:val="22"/>
        </w:rPr>
      </w:pPr>
      <w:r w:rsidDel="00000000" w:rsidR="00000000" w:rsidRPr="00000000">
        <w:rPr>
          <w:rtl w:val="0"/>
        </w:rPr>
      </w:r>
    </w:p>
    <w:tbl>
      <w:tblPr>
        <w:tblStyle w:val="Table8"/>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143">
            <w:pPr>
              <w:jc w:val="center"/>
              <w:rPr>
                <w:sz w:val="20"/>
                <w:szCs w:val="20"/>
              </w:rPr>
            </w:pPr>
            <w:r w:rsidDel="00000000" w:rsidR="00000000" w:rsidRPr="00000000">
              <w:rPr>
                <w:b w:val="1"/>
                <w:bCs w:val="1"/>
                <w:sz w:val="20"/>
                <w:szCs w:val="20"/>
                <w:rtl w:val="0"/>
              </w:rPr>
              <w:t xml:space="preserve">Netherlands (2022)</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48">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149">
            <w:pPr>
              <w:jc w:val="center"/>
              <w:rPr>
                <w:sz w:val="20"/>
                <w:szCs w:val="20"/>
              </w:rPr>
            </w:pPr>
            <w:r w:rsidDel="00000000" w:rsidR="00000000" w:rsidRPr="00000000">
              <w:rPr>
                <w:b w:val="1"/>
                <w:bCs w:val="1"/>
                <w:sz w:val="20"/>
                <w:szCs w:val="20"/>
                <w:rtl w:val="0"/>
              </w:rPr>
              <w:t xml:space="preserve">1.308419468</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4D">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E">
            <w:pPr>
              <w:widowControl w:val="0"/>
              <w:spacing w:line="276" w:lineRule="auto"/>
              <w:jc w:val="center"/>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4F">
            <w:pPr>
              <w:widowControl w:val="0"/>
              <w:spacing w:line="276" w:lineRule="auto"/>
              <w:jc w:val="center"/>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0">
            <w:pPr>
              <w:widowControl w:val="0"/>
              <w:spacing w:line="276" w:lineRule="auto"/>
              <w:jc w:val="center"/>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151">
            <w:pPr>
              <w:widowControl w:val="0"/>
              <w:spacing w:line="276" w:lineRule="auto"/>
              <w:jc w:val="center"/>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Textiles</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53">
            <w:pPr>
              <w:widowControl w:val="0"/>
              <w:jc w:val="center"/>
              <w:rPr>
                <w:sz w:val="20"/>
                <w:szCs w:val="20"/>
              </w:rPr>
            </w:pPr>
            <w:r w:rsidDel="00000000" w:rsidR="00000000" w:rsidRPr="00000000">
              <w:rPr>
                <w:sz w:val="20"/>
                <w:szCs w:val="20"/>
                <w:rtl w:val="0"/>
              </w:rPr>
              <w:t xml:space="preserve">1.48E+10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54">
            <w:pPr>
              <w:widowControl w:val="0"/>
              <w:jc w:val="center"/>
              <w:rPr>
                <w:sz w:val="20"/>
                <w:szCs w:val="20"/>
              </w:rPr>
            </w:pPr>
            <w:r w:rsidDel="00000000" w:rsidR="00000000" w:rsidRPr="00000000">
              <w:rPr>
                <w:sz w:val="20"/>
                <w:szCs w:val="20"/>
                <w:rtl w:val="0"/>
              </w:rPr>
              <w:t xml:space="preserve">9.52E+09</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55">
            <w:pPr>
              <w:widowControl w:val="0"/>
              <w:jc w:val="center"/>
              <w:rPr>
                <w:sz w:val="20"/>
                <w:szCs w:val="20"/>
              </w:rPr>
            </w:pPr>
            <w:r w:rsidDel="00000000" w:rsidR="00000000" w:rsidRPr="00000000">
              <w:rPr>
                <w:sz w:val="20"/>
                <w:szCs w:val="20"/>
                <w:rtl w:val="0"/>
              </w:rPr>
              <w:t xml:space="preserve">9.52E+09</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56">
            <w:pPr>
              <w:widowControl w:val="0"/>
              <w:jc w:val="center"/>
              <w:rPr>
                <w:sz w:val="20"/>
                <w:szCs w:val="20"/>
              </w:rPr>
            </w:pPr>
            <w:r w:rsidDel="00000000" w:rsidR="00000000" w:rsidRPr="00000000">
              <w:rPr>
                <w:sz w:val="20"/>
                <w:szCs w:val="20"/>
                <w:rtl w:val="0"/>
              </w:rPr>
              <w:t xml:space="preserve">1.27E+10</w:t>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Energy Drilling and Mining</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58">
            <w:pPr>
              <w:widowControl w:val="0"/>
              <w:jc w:val="center"/>
              <w:rPr>
                <w:sz w:val="20"/>
                <w:szCs w:val="20"/>
              </w:rPr>
            </w:pPr>
            <w:r w:rsidDel="00000000" w:rsidR="00000000" w:rsidRPr="00000000">
              <w:rPr>
                <w:sz w:val="20"/>
                <w:szCs w:val="20"/>
                <w:rtl w:val="0"/>
              </w:rPr>
              <w:t xml:space="preserve">1.84E+10</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59">
            <w:pPr>
              <w:widowControl w:val="0"/>
              <w:jc w:val="center"/>
              <w:rPr>
                <w:sz w:val="20"/>
                <w:szCs w:val="20"/>
              </w:rPr>
            </w:pPr>
            <w:r w:rsidDel="00000000" w:rsidR="00000000" w:rsidRPr="00000000">
              <w:rPr>
                <w:sz w:val="20"/>
                <w:szCs w:val="20"/>
                <w:rtl w:val="0"/>
              </w:rPr>
              <w:t xml:space="preserve">1.90E+10</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5A">
            <w:pPr>
              <w:widowControl w:val="0"/>
              <w:jc w:val="center"/>
              <w:rPr>
                <w:sz w:val="20"/>
                <w:szCs w:val="20"/>
              </w:rPr>
            </w:pPr>
            <w:r w:rsidDel="00000000" w:rsidR="00000000" w:rsidRPr="00000000">
              <w:rPr>
                <w:sz w:val="20"/>
                <w:szCs w:val="20"/>
                <w:rtl w:val="0"/>
              </w:rPr>
              <w:t xml:space="preserve">6.19E+10</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5B">
            <w:pPr>
              <w:widowControl w:val="0"/>
              <w:jc w:val="center"/>
              <w:rPr>
                <w:sz w:val="20"/>
                <w:szCs w:val="20"/>
              </w:rPr>
            </w:pPr>
            <w:r w:rsidDel="00000000" w:rsidR="00000000" w:rsidRPr="00000000">
              <w:rPr>
                <w:sz w:val="20"/>
                <w:szCs w:val="20"/>
                <w:rtl w:val="0"/>
              </w:rPr>
              <w:t xml:space="preserve">1.90E+10</w:t>
            </w:r>
          </w:p>
        </w:tc>
      </w:tr>
      <w:tr>
        <w:trPr>
          <w:cantSplit w:val="0"/>
          <w:tblHeader w:val="0"/>
        </w:trPr>
        <w:tc>
          <w:tcPr>
            <w:tcBorders>
              <w:left w:color="000000" w:space="0" w:sz="0" w:val="nil"/>
              <w:bottom w:color="000000" w:space="0" w:sz="0" w:val="nil"/>
            </w:tcBorders>
            <w:shd w:fill="efefef" w:val="clear"/>
            <w:tcMar>
              <w:top w:w="-555.84" w:type="dxa"/>
              <w:left w:w="-555.84" w:type="dxa"/>
              <w:bottom w:w="-555.84" w:type="dxa"/>
              <w:right w:w="-555.84" w:type="dxa"/>
            </w:tcMar>
            <w:vAlign w:val="center"/>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Precious Stones</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5D">
            <w:pPr>
              <w:widowControl w:val="0"/>
              <w:jc w:val="center"/>
              <w:rPr>
                <w:sz w:val="20"/>
                <w:szCs w:val="20"/>
              </w:rPr>
            </w:pPr>
            <w:r w:rsidDel="00000000" w:rsidR="00000000" w:rsidRPr="00000000">
              <w:rPr>
                <w:sz w:val="20"/>
                <w:szCs w:val="20"/>
                <w:rtl w:val="0"/>
              </w:rPr>
              <w:t xml:space="preserve">2.96E+09</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5E">
            <w:pPr>
              <w:widowControl w:val="0"/>
              <w:jc w:val="center"/>
              <w:rPr>
                <w:sz w:val="20"/>
                <w:szCs w:val="20"/>
              </w:rPr>
            </w:pPr>
            <w:r w:rsidDel="00000000" w:rsidR="00000000" w:rsidRPr="00000000">
              <w:rPr>
                <w:sz w:val="20"/>
                <w:szCs w:val="20"/>
                <w:rtl w:val="0"/>
              </w:rPr>
              <w:t xml:space="preserve">3.49E+10</w:t>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5F">
            <w:pPr>
              <w:widowControl w:val="0"/>
              <w:jc w:val="center"/>
              <w:rPr>
                <w:sz w:val="18"/>
                <w:szCs w:val="18"/>
              </w:rPr>
            </w:pPr>
            <w:r w:rsidDel="00000000" w:rsidR="00000000" w:rsidRPr="00000000">
              <w:rPr>
                <w:sz w:val="20"/>
                <w:szCs w:val="20"/>
                <w:rtl w:val="0"/>
              </w:rPr>
              <w:t xml:space="preserve">5.24E+10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fefef" w:val="clear"/>
            <w:tcMar>
              <w:top w:w="20.0" w:type="dxa"/>
              <w:left w:w="20.0" w:type="dxa"/>
              <w:bottom w:w="100.0" w:type="dxa"/>
              <w:right w:w="20.0" w:type="dxa"/>
            </w:tcMar>
            <w:vAlign w:val="bottom"/>
          </w:tcPr>
          <w:p w:rsidR="00000000" w:rsidDel="00000000" w:rsidP="00000000" w:rsidRDefault="00000000" w:rsidRPr="00000000" w14:paraId="00000160">
            <w:pPr>
              <w:widowControl w:val="0"/>
              <w:jc w:val="center"/>
              <w:rPr>
                <w:sz w:val="18"/>
                <w:szCs w:val="18"/>
              </w:rPr>
            </w:pPr>
            <w:r w:rsidDel="00000000" w:rsidR="00000000" w:rsidRPr="00000000">
              <w:rPr>
                <w:sz w:val="20"/>
                <w:szCs w:val="20"/>
                <w:rtl w:val="0"/>
              </w:rPr>
              <w:t xml:space="preserve">1.33E+11</w:t>
            </w:r>
            <w:r w:rsidDel="00000000" w:rsidR="00000000" w:rsidRPr="00000000">
              <w:rPr>
                <w:rtl w:val="0"/>
              </w:rPr>
            </w:r>
          </w:p>
        </w:tc>
      </w:tr>
      <w:tr>
        <w:trPr>
          <w:cantSplit w:val="0"/>
          <w:trHeight w:val="225" w:hRule="atLeast"/>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161">
            <w:pPr>
              <w:widowControl w:val="0"/>
              <w:spacing w:line="276" w:lineRule="auto"/>
              <w:rPr>
                <w:b w:val="1"/>
                <w:bCs w:val="1"/>
                <w:sz w:val="20"/>
                <w:szCs w:val="20"/>
              </w:rPr>
            </w:pPr>
            <w:r w:rsidDel="00000000" w:rsidR="00000000" w:rsidRPr="00000000">
              <w:rPr>
                <w:b w:val="1"/>
                <w:bCs w:val="1"/>
                <w:sz w:val="20"/>
                <w:szCs w:val="20"/>
                <w:rtl w:val="0"/>
              </w:rPr>
              <w:t xml:space="preserve">Increased ECI</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62">
            <w:pPr>
              <w:widowControl w:val="0"/>
              <w:jc w:val="center"/>
              <w:rPr>
                <w:b w:val="1"/>
                <w:bCs w:val="1"/>
                <w:sz w:val="20"/>
                <w:szCs w:val="20"/>
              </w:rPr>
            </w:pPr>
            <w:r w:rsidDel="00000000" w:rsidR="00000000" w:rsidRPr="00000000">
              <w:rPr>
                <w:b w:val="1"/>
                <w:bCs w:val="1"/>
                <w:sz w:val="20"/>
                <w:szCs w:val="20"/>
                <w:rtl w:val="0"/>
              </w:rPr>
              <w:t xml:space="preserve">-0.3809206485</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63">
            <w:pPr>
              <w:widowControl w:val="0"/>
              <w:jc w:val="center"/>
              <w:rPr>
                <w:b w:val="1"/>
                <w:bCs w:val="1"/>
                <w:sz w:val="20"/>
                <w:szCs w:val="20"/>
              </w:rPr>
            </w:pPr>
            <w:r w:rsidDel="00000000" w:rsidR="00000000" w:rsidRPr="00000000">
              <w:rPr>
                <w:b w:val="1"/>
                <w:bCs w:val="1"/>
                <w:sz w:val="20"/>
                <w:szCs w:val="20"/>
                <w:rtl w:val="0"/>
              </w:rPr>
              <w:t xml:space="preserve">0.3288817315</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64">
            <w:pPr>
              <w:widowControl w:val="0"/>
              <w:jc w:val="center"/>
              <w:rPr>
                <w:b w:val="1"/>
                <w:bCs w:val="1"/>
                <w:sz w:val="20"/>
                <w:szCs w:val="20"/>
              </w:rPr>
            </w:pPr>
            <w:r w:rsidDel="00000000" w:rsidR="00000000" w:rsidRPr="00000000">
              <w:rPr>
                <w:b w:val="1"/>
                <w:bCs w:val="1"/>
                <w:sz w:val="20"/>
                <w:szCs w:val="20"/>
                <w:rtl w:val="0"/>
              </w:rPr>
              <w:t xml:space="preserve">0.352399325</w:t>
            </w:r>
          </w:p>
        </w:tc>
        <w:tc>
          <w:tcPr>
            <w:tcBorders>
              <w:top w:color="000000" w:space="0" w:sz="0" w:val="nil"/>
              <w:left w:color="000000" w:space="0" w:sz="0" w:val="nil"/>
              <w:bottom w:color="000000" w:space="0" w:sz="0" w:val="nil"/>
              <w:right w:color="000000" w:space="0" w:sz="0" w:val="nil"/>
            </w:tcBorders>
            <w:shd w:fill="ffffff" w:val="clear"/>
            <w:tcMar>
              <w:top w:w="20.0" w:type="dxa"/>
              <w:left w:w="20.0" w:type="dxa"/>
              <w:bottom w:w="100.0" w:type="dxa"/>
              <w:right w:w="20.0" w:type="dxa"/>
            </w:tcMar>
            <w:vAlign w:val="bottom"/>
          </w:tcPr>
          <w:p w:rsidR="00000000" w:rsidDel="00000000" w:rsidP="00000000" w:rsidRDefault="00000000" w:rsidRPr="00000000" w14:paraId="00000165">
            <w:pPr>
              <w:widowControl w:val="0"/>
              <w:jc w:val="center"/>
              <w:rPr>
                <w:b w:val="1"/>
                <w:bCs w:val="1"/>
                <w:sz w:val="20"/>
                <w:szCs w:val="20"/>
              </w:rPr>
            </w:pPr>
            <w:r w:rsidDel="00000000" w:rsidR="00000000" w:rsidRPr="00000000">
              <w:rPr>
                <w:b w:val="1"/>
                <w:bCs w:val="1"/>
                <w:sz w:val="20"/>
                <w:szCs w:val="20"/>
                <w:rtl w:val="0"/>
              </w:rPr>
              <w:t xml:space="preserve">0.3242045675</w:t>
            </w:r>
          </w:p>
        </w:tc>
      </w:tr>
    </w:tbl>
    <w:p w:rsidR="00000000" w:rsidDel="00000000" w:rsidP="00000000" w:rsidRDefault="00000000" w:rsidRPr="00000000" w14:paraId="00000166">
      <w:pPr>
        <w:jc w:val="center"/>
        <w:rPr>
          <w:sz w:val="22"/>
          <w:szCs w:val="22"/>
        </w:rPr>
      </w:pPr>
      <w:r w:rsidDel="00000000" w:rsidR="00000000" w:rsidRPr="00000000">
        <w:rPr>
          <w:sz w:val="22"/>
          <w:szCs w:val="22"/>
          <w:rtl w:val="0"/>
        </w:rPr>
        <w:t xml:space="preserve">Table 8a. Portfolio of the Netherlands (2022)</w:t>
      </w:r>
    </w:p>
    <w:p w:rsidR="00000000" w:rsidDel="00000000" w:rsidP="00000000" w:rsidRDefault="00000000" w:rsidRPr="00000000" w14:paraId="00000167">
      <w:pPr>
        <w:pageBreakBefore w:val="0"/>
        <w:jc w:val="both"/>
        <w:rPr/>
      </w:pPr>
      <w:r w:rsidDel="00000000" w:rsidR="00000000" w:rsidRPr="00000000">
        <w:rPr>
          <w:rtl w:val="0"/>
        </w:rPr>
      </w:r>
    </w:p>
    <w:p w:rsidR="00000000" w:rsidDel="00000000" w:rsidP="00000000" w:rsidRDefault="00000000" w:rsidRPr="00000000" w14:paraId="00000168">
      <w:pPr>
        <w:jc w:val="center"/>
        <w:rPr>
          <w:sz w:val="22"/>
          <w:szCs w:val="22"/>
        </w:rPr>
      </w:pPr>
      <w:r w:rsidDel="00000000" w:rsidR="00000000" w:rsidRPr="00000000">
        <w:rPr>
          <w:rtl w:val="0"/>
        </w:rPr>
      </w:r>
    </w:p>
    <w:p w:rsidR="00000000" w:rsidDel="00000000" w:rsidP="00000000" w:rsidRDefault="00000000" w:rsidRPr="00000000" w14:paraId="00000169">
      <w:pPr>
        <w:jc w:val="center"/>
        <w:rPr>
          <w:sz w:val="22"/>
          <w:szCs w:val="22"/>
        </w:rPr>
      </w:pPr>
      <w:r w:rsidDel="00000000" w:rsidR="00000000" w:rsidRPr="00000000">
        <w:rPr>
          <w:rtl w:val="0"/>
        </w:rPr>
      </w:r>
    </w:p>
    <w:p w:rsidR="00000000" w:rsidDel="00000000" w:rsidP="00000000" w:rsidRDefault="00000000" w:rsidRPr="00000000" w14:paraId="0000016A">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16B">
      <w:pPr>
        <w:pageBreakBefore w:val="0"/>
        <w:spacing w:after="0" w:before="0" w:line="276" w:lineRule="auto"/>
        <w:rPr/>
      </w:pPr>
      <w:r w:rsidDel="00000000" w:rsidR="00000000" w:rsidRPr="00000000">
        <w:rPr>
          <w:rtl w:val="0"/>
        </w:rPr>
        <w:t xml:space="preserve">In the following section, our broad aim is to understand how sensitive </w:t>
      </w:r>
      <w:commentRangeStart w:id="4"/>
      <w:r w:rsidDel="00000000" w:rsidR="00000000" w:rsidRPr="00000000">
        <w:rPr>
          <w:rtl w:val="0"/>
        </w:rPr>
        <w:t xml:space="preserve">[Country]</w:t>
      </w:r>
      <w:commentRangeEnd w:id="4"/>
      <w:r w:rsidDel="00000000" w:rsidR="00000000" w:rsidRPr="00000000">
        <w:commentReference w:id="4"/>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16C">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16D">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6E">
      <w:pPr>
        <w:jc w:val="both"/>
        <w:rPr>
          <w:b w:val="1"/>
          <w:bCs w:val="1"/>
        </w:rPr>
      </w:pPr>
      <w:r w:rsidDel="00000000" w:rsidR="00000000" w:rsidRPr="00000000">
        <w:rPr>
          <w:b w:val="1"/>
          <w:bCs w:val="1"/>
        </w:rPr>
        <w:drawing>
          <wp:inline distB="114300" distT="114300" distL="114300" distR="114300">
            <wp:extent cx="5310188" cy="2519630"/>
            <wp:effectExtent b="0" l="0" r="0" t="0"/>
            <wp:docPr id="8" name="image3.jpg"/>
            <a:graphic>
              <a:graphicData uri="http://schemas.openxmlformats.org/drawingml/2006/picture">
                <pic:pic>
                  <pic:nvPicPr>
                    <pic:cNvPr id="0" name="image3.jpg"/>
                    <pic:cNvPicPr preferRelativeResize="0"/>
                  </pic:nvPicPr>
                  <pic:blipFill>
                    <a:blip r:embed="rId18"/>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170">
      <w:pPr>
        <w:pageBreakBefore w:val="0"/>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171">
      <w:pPr>
        <w:pageBreakBefore w:val="0"/>
        <w:jc w:val="both"/>
        <w:rPr>
          <w:b w:val="1"/>
          <w:bCs w:val="1"/>
        </w:rPr>
      </w:pPr>
      <w:r w:rsidDel="00000000" w:rsidR="00000000" w:rsidRPr="00000000">
        <w:rPr>
          <w:rtl w:val="0"/>
        </w:rPr>
      </w:r>
    </w:p>
    <w:p w:rsidR="00000000" w:rsidDel="00000000" w:rsidP="00000000" w:rsidRDefault="00000000" w:rsidRPr="00000000" w14:paraId="00000172">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173">
      <w:pPr>
        <w:jc w:val="both"/>
        <w:rPr/>
      </w:pPr>
      <w:r w:rsidDel="00000000" w:rsidR="00000000" w:rsidRPr="00000000">
        <w:rPr>
          <w:rtl w:val="0"/>
        </w:rPr>
        <w:t xml:space="preserve">We examine the Netherlands’ ECI Decremental and Incremental Sensitivity Charts for 2022. An increase in Energy Drilling and Mining will lead to the highest change in ECI, followed by Wood Products and Transportation. The significance of Energy Drilling and Mining, not captured in the greedy algorithm, suggests that it is also critical to increasing ECI and consequently developing the Netherlands’ economy. The other two industries are consistent with previous analyses. For the negative shock cases, Machinery and Construction is the most important, followed by Metals and again Energy Drilling and Mining. The rest of the industries do not appear to have the same level of sensitivity. This suggests that even in economic downturns, The Netherlands should continue to invest in Energy Drilling and Mining to avoid additional decreases in ECI.</w:t>
      </w:r>
      <w:r w:rsidDel="00000000" w:rsidR="00000000" w:rsidRPr="00000000">
        <w:rPr>
          <w:rtl w:val="0"/>
        </w:rPr>
      </w:r>
    </w:p>
    <w:p w:rsidR="00000000" w:rsidDel="00000000" w:rsidP="00000000" w:rsidRDefault="00000000" w:rsidRPr="00000000" w14:paraId="00000174">
      <w:pPr>
        <w:pageBreakBefore w:val="0"/>
        <w:jc w:val="center"/>
        <w:rPr/>
      </w:pPr>
      <w:r w:rsidDel="00000000" w:rsidR="00000000" w:rsidRPr="00000000">
        <w:rPr/>
        <w:drawing>
          <wp:inline distB="114300" distT="114300" distL="114300" distR="114300">
            <wp:extent cx="5209982" cy="3709988"/>
            <wp:effectExtent b="0" l="0" r="0" t="0"/>
            <wp:docPr id="9"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209982" cy="3709988"/>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jc w:val="center"/>
        <w:rPr>
          <w:sz w:val="22"/>
          <w:szCs w:val="22"/>
        </w:rPr>
      </w:pPr>
      <w:commentRangeStart w:id="5"/>
      <w:r w:rsidDel="00000000" w:rsidR="00000000" w:rsidRPr="00000000">
        <w:rPr>
          <w:sz w:val="22"/>
          <w:szCs w:val="22"/>
          <w:rtl w:val="0"/>
        </w:rPr>
        <w:t xml:space="preserve">F</w:t>
      </w:r>
      <w:commentRangeEnd w:id="5"/>
      <w:r w:rsidDel="00000000" w:rsidR="00000000" w:rsidRPr="00000000">
        <w:commentReference w:id="5"/>
      </w:r>
      <w:r w:rsidDel="00000000" w:rsidR="00000000" w:rsidRPr="00000000">
        <w:rPr>
          <w:sz w:val="22"/>
          <w:szCs w:val="22"/>
          <w:rtl w:val="0"/>
        </w:rPr>
        <w:t xml:space="preserve">igure 6a. Incremental ECI Sensitivity for </w:t>
      </w:r>
      <w:commentRangeStart w:id="6"/>
      <w:r w:rsidDel="00000000" w:rsidR="00000000" w:rsidRPr="00000000">
        <w:rPr>
          <w:sz w:val="22"/>
          <w:szCs w:val="22"/>
          <w:rtl w:val="0"/>
        </w:rPr>
        <w:t xml:space="preserve">[Country]</w:t>
      </w:r>
      <w:commentRangeEnd w:id="6"/>
      <w:r w:rsidDel="00000000" w:rsidR="00000000" w:rsidRPr="00000000">
        <w:commentReference w:id="6"/>
      </w:r>
      <w:r w:rsidDel="00000000" w:rsidR="00000000" w:rsidRPr="00000000">
        <w:rPr>
          <w:sz w:val="22"/>
          <w:szCs w:val="22"/>
          <w:rtl w:val="0"/>
        </w:rPr>
        <w:t xml:space="preserve"> (2021)</w:t>
      </w:r>
    </w:p>
    <w:p w:rsidR="00000000" w:rsidDel="00000000" w:rsidP="00000000" w:rsidRDefault="00000000" w:rsidRPr="00000000" w14:paraId="00000176">
      <w:pPr>
        <w:jc w:val="center"/>
        <w:rPr>
          <w:sz w:val="22"/>
          <w:szCs w:val="22"/>
        </w:rPr>
      </w:pPr>
      <w:r w:rsidDel="00000000" w:rsidR="00000000" w:rsidRPr="00000000">
        <w:rPr>
          <w:rtl w:val="0"/>
        </w:rPr>
      </w:r>
    </w:p>
    <w:p w:rsidR="00000000" w:rsidDel="00000000" w:rsidP="00000000" w:rsidRDefault="00000000" w:rsidRPr="00000000" w14:paraId="00000177">
      <w:pPr>
        <w:jc w:val="center"/>
        <w:rPr>
          <w:sz w:val="22"/>
          <w:szCs w:val="22"/>
        </w:rPr>
      </w:pPr>
      <w:r w:rsidDel="00000000" w:rsidR="00000000" w:rsidRPr="00000000">
        <w:rPr>
          <w:sz w:val="22"/>
          <w:szCs w:val="22"/>
        </w:rPr>
        <w:drawing>
          <wp:inline distB="114300" distT="114300" distL="114300" distR="114300">
            <wp:extent cx="4915285" cy="3500438"/>
            <wp:effectExtent b="0" l="0" r="0" t="0"/>
            <wp:docPr id="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4915285" cy="3500438"/>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jc w:val="center"/>
        <w:rPr/>
      </w:pPr>
      <w:r w:rsidDel="00000000" w:rsidR="00000000" w:rsidRPr="00000000">
        <w:rPr>
          <w:sz w:val="22"/>
          <w:szCs w:val="22"/>
          <w:rtl w:val="0"/>
        </w:rPr>
        <w:t xml:space="preserve">Figure 6b. Decremental ECI Sensitivity for </w:t>
      </w:r>
      <w:commentRangeStart w:id="7"/>
      <w:r w:rsidDel="00000000" w:rsidR="00000000" w:rsidRPr="00000000">
        <w:rPr>
          <w:sz w:val="22"/>
          <w:szCs w:val="22"/>
          <w:rtl w:val="0"/>
        </w:rPr>
        <w:t xml:space="preserve">[Country]</w:t>
      </w:r>
      <w:commentRangeEnd w:id="7"/>
      <w:r w:rsidDel="00000000" w:rsidR="00000000" w:rsidRPr="00000000">
        <w:commentReference w:id="7"/>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179">
      <w:pPr>
        <w:pageBreakBefore w:val="0"/>
        <w:jc w:val="both"/>
        <w:rPr/>
      </w:pPr>
      <w:r w:rsidDel="00000000" w:rsidR="00000000" w:rsidRPr="00000000">
        <w:rPr>
          <w:rtl w:val="0"/>
        </w:rPr>
      </w:r>
    </w:p>
    <w:p w:rsidR="00000000" w:rsidDel="00000000" w:rsidP="00000000" w:rsidRDefault="00000000" w:rsidRPr="00000000" w14:paraId="0000017A">
      <w:pPr>
        <w:jc w:val="left"/>
        <w:rPr/>
      </w:pPr>
      <w:r w:rsidDel="00000000" w:rsidR="00000000" w:rsidRPr="00000000">
        <w:rPr>
          <w:rtl w:val="0"/>
        </w:rPr>
      </w:r>
    </w:p>
    <w:p w:rsidR="00000000" w:rsidDel="00000000" w:rsidP="00000000" w:rsidRDefault="00000000" w:rsidRPr="00000000" w14:paraId="0000017B">
      <w:pPr>
        <w:pageBreakBefore w:val="0"/>
        <w:jc w:val="center"/>
        <w:rPr>
          <w:sz w:val="28"/>
          <w:szCs w:val="28"/>
        </w:rPr>
      </w:pPr>
      <w:r w:rsidDel="00000000" w:rsidR="00000000" w:rsidRPr="00000000">
        <w:rPr>
          <w:rtl w:val="0"/>
        </w:rPr>
      </w:r>
    </w:p>
    <w:p w:rsidR="00000000" w:rsidDel="00000000" w:rsidP="00000000" w:rsidRDefault="00000000" w:rsidRPr="00000000" w14:paraId="0000017C">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7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7E">
      <w:pPr>
        <w:pageBreakBefore w:val="0"/>
        <w:jc w:val="both"/>
        <w:rPr>
          <w:b w:val="1"/>
          <w:bCs w:val="1"/>
        </w:rPr>
      </w:pPr>
      <w:r w:rsidDel="00000000" w:rsidR="00000000" w:rsidRPr="00000000">
        <w:rPr>
          <w:rtl w:val="0"/>
        </w:rPr>
      </w:r>
    </w:p>
    <w:p w:rsidR="00000000" w:rsidDel="00000000" w:rsidP="00000000" w:rsidRDefault="00000000" w:rsidRPr="00000000" w14:paraId="0000017F">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0">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181">
      <w:pPr>
        <w:pageBreakBefore w:val="0"/>
        <w:jc w:val="both"/>
        <w:rPr/>
      </w:pPr>
      <w:r w:rsidDel="00000000" w:rsidR="00000000" w:rsidRPr="00000000">
        <w:rPr>
          <w:rtl w:val="0"/>
        </w:rPr>
      </w:r>
    </w:p>
    <w:p w:rsidR="00000000" w:rsidDel="00000000" w:rsidP="00000000" w:rsidRDefault="00000000" w:rsidRPr="00000000" w14:paraId="00000182">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weak negative correlation between countries’ SOI and their five-year GDP growth, significant at the 0% level and achieving an adjusted R</w:t>
      </w:r>
      <w:r w:rsidDel="00000000" w:rsidR="00000000" w:rsidRPr="00000000">
        <w:rPr>
          <w:vertAlign w:val="superscript"/>
          <w:rtl w:val="0"/>
        </w:rPr>
        <w:t xml:space="preserve">2</w:t>
      </w:r>
      <w:r w:rsidDel="00000000" w:rsidR="00000000" w:rsidRPr="00000000">
        <w:rPr>
          <w:rtl w:val="0"/>
        </w:rPr>
        <w:t xml:space="preserve"> of</w:t>
      </w:r>
      <w:r w:rsidDel="00000000" w:rsidR="00000000" w:rsidRPr="00000000">
        <w:rPr>
          <w:rtl w:val="0"/>
        </w:rPr>
        <w:t xml:space="preserve"> 1%</w:t>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183">
      <w:pPr>
        <w:pageBreakBefore w:val="0"/>
        <w:jc w:val="both"/>
        <w:rPr/>
      </w:pPr>
      <w:r w:rsidDel="00000000" w:rsidR="00000000" w:rsidRPr="00000000">
        <w:rPr>
          <w:rtl w:val="0"/>
        </w:rPr>
      </w:r>
    </w:p>
    <w:tbl>
      <w:tblPr>
        <w:tblStyle w:val="Table9"/>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184">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86">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87">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0.006008</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88">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0.000</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89">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0.938</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18A">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0.010</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18B">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100</w:t>
            </w:r>
          </w:p>
        </w:tc>
      </w:tr>
    </w:tbl>
    <w:p w:rsidR="00000000" w:rsidDel="00000000" w:rsidP="00000000" w:rsidRDefault="00000000" w:rsidRPr="00000000" w14:paraId="0000018C">
      <w:pPr>
        <w:pageBreakBefore w:val="0"/>
        <w:jc w:val="center"/>
        <w:rPr/>
      </w:pPr>
      <w:r w:rsidDel="00000000" w:rsidR="00000000" w:rsidRPr="00000000">
        <w:rPr>
          <w:rtl w:val="0"/>
        </w:rPr>
      </w:r>
    </w:p>
    <w:p w:rsidR="00000000" w:rsidDel="00000000" w:rsidP="00000000" w:rsidRDefault="00000000" w:rsidRPr="00000000" w14:paraId="0000018D">
      <w:pPr>
        <w:pageBreakBefore w:val="0"/>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603413</wp:posOffset>
            </wp:positionH>
            <wp:positionV relativeFrom="paragraph">
              <wp:posOffset>28575</wp:posOffset>
            </wp:positionV>
            <wp:extent cx="4520925" cy="3005138"/>
            <wp:effectExtent b="0" l="0" r="0" t="0"/>
            <wp:wrapTopAndBottom distB="0" distT="0"/>
            <wp:docPr id="1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18E">
      <w:pPr>
        <w:pageBreakBefore w:val="0"/>
        <w:jc w:val="center"/>
        <w:rPr>
          <w:sz w:val="22"/>
          <w:szCs w:val="22"/>
        </w:rPr>
      </w:pPr>
      <w:commentRangeStart w:id="8"/>
      <w:r w:rsidDel="00000000" w:rsidR="00000000" w:rsidRPr="00000000">
        <w:rPr>
          <w:sz w:val="22"/>
          <w:szCs w:val="22"/>
          <w:rtl w:val="0"/>
        </w:rPr>
        <w:t xml:space="preserve">Fi</w:t>
      </w:r>
      <w:commentRangeEnd w:id="8"/>
      <w:r w:rsidDel="00000000" w:rsidR="00000000" w:rsidRPr="00000000">
        <w:commentReference w:id="8"/>
      </w:r>
      <w:r w:rsidDel="00000000" w:rsidR="00000000" w:rsidRPr="00000000">
        <w:rPr>
          <w:sz w:val="22"/>
          <w:szCs w:val="22"/>
          <w:rtl w:val="0"/>
        </w:rPr>
        <w:t xml:space="preserve">gure 9. Regression of Five-Year GDP Growth over SOI (2013-2018)</w:t>
      </w:r>
      <w:r w:rsidDel="00000000" w:rsidR="00000000" w:rsidRPr="00000000">
        <w:rPr>
          <w:rtl w:val="0"/>
        </w:rPr>
      </w:r>
    </w:p>
    <w:p w:rsidR="00000000" w:rsidDel="00000000" w:rsidP="00000000" w:rsidRDefault="00000000" w:rsidRPr="00000000" w14:paraId="0000018F">
      <w:pPr>
        <w:pageBreakBefore w:val="0"/>
        <w:jc w:val="both"/>
        <w:rPr/>
      </w:pPr>
      <w:r w:rsidDel="00000000" w:rsidR="00000000" w:rsidRPr="00000000">
        <w:rPr>
          <w:rtl w:val="0"/>
        </w:rPr>
      </w:r>
    </w:p>
    <w:p w:rsidR="00000000" w:rsidDel="00000000" w:rsidP="00000000" w:rsidRDefault="00000000" w:rsidRPr="00000000" w14:paraId="00000190">
      <w:pPr>
        <w:pageBreakBefore w:val="0"/>
        <w:jc w:val="both"/>
        <w:rPr>
          <w:b w:val="1"/>
          <w:bCs w:val="1"/>
        </w:rPr>
      </w:pPr>
      <w:r w:rsidDel="00000000" w:rsidR="00000000" w:rsidRPr="00000000">
        <w:rPr>
          <w:b w:val="1"/>
          <w:bCs w:val="1"/>
          <w:rtl w:val="0"/>
        </w:rPr>
        <w:t xml:space="preserve">5.2 SOI of the Netherlands and Its Implications</w:t>
      </w:r>
    </w:p>
    <w:p w:rsidR="00000000" w:rsidDel="00000000" w:rsidP="00000000" w:rsidRDefault="00000000" w:rsidRPr="00000000" w14:paraId="00000191">
      <w:pPr>
        <w:jc w:val="both"/>
        <w:rPr/>
      </w:pPr>
      <w:r w:rsidDel="00000000" w:rsidR="00000000" w:rsidRPr="00000000">
        <w:rPr>
          <w:rtl w:val="0"/>
        </w:rPr>
        <w:t xml:space="preserve">During the first examined period, the Netherlands, for instance, had a low level of structural optimality as compared with its developed peers. As the regression in Figure 10a suggests (the red curve represents export increase and the blue curve stands for opportunity gain of the corresponding industry), the Netherlands demonstrates a low level of correlation with the suggested developmental path, having an adjusted R-square of around 1%. </w:t>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pPr>
      <w:r w:rsidDel="00000000" w:rsidR="00000000" w:rsidRPr="00000000">
        <w:rPr>
          <w:rtl w:val="0"/>
        </w:rPr>
        <w:t xml:space="preserve">The Netherlands ranks in the middle among all countries in terms of SOI and has made a moderate rate of economic progress among its emerging peers from 2019 to 2022 with a 5-year GDP growth rate of 2.2%, which is consistent with the regression result in Figure 4b. Specifically, the Netherlands’ slow economic progress from 2019-2022 can be at least partially explained by a development strategy that demonstrates a considerable but not perfect level of matches with our suggested developmental path. In specific, the Netherlands invested heavily in Chemical Manufacturing and Services and Utilities, while it should have focused more on industry groups such as Energy Drilling and Mining and Precious Stones.</w:t>
      </w:r>
    </w:p>
    <w:p w:rsidR="00000000" w:rsidDel="00000000" w:rsidP="00000000" w:rsidRDefault="00000000" w:rsidRPr="00000000" w14:paraId="00000194">
      <w:pPr>
        <w:pageBreakBefore w:val="0"/>
        <w:jc w:val="both"/>
        <w:rPr/>
      </w:pPr>
      <w:r w:rsidDel="00000000" w:rsidR="00000000" w:rsidRPr="00000000">
        <w:rPr>
          <w:rtl w:val="0"/>
        </w:rPr>
      </w:r>
    </w:p>
    <w:p w:rsidR="00000000" w:rsidDel="00000000" w:rsidP="00000000" w:rsidRDefault="00000000" w:rsidRPr="00000000" w14:paraId="00000195">
      <w:pPr>
        <w:pageBreakBefore w:val="0"/>
        <w:jc w:val="center"/>
        <w:rPr/>
      </w:pPr>
      <w:r w:rsidDel="00000000" w:rsidR="00000000" w:rsidRPr="00000000">
        <w:rPr/>
        <w:drawing>
          <wp:inline distB="114300" distT="114300" distL="114300" distR="114300">
            <wp:extent cx="5731200" cy="2298700"/>
            <wp:effectExtent b="0" l="0" r="0" t="0"/>
            <wp:docPr id="5"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jc w:val="center"/>
        <w:rPr>
          <w:sz w:val="22"/>
          <w:szCs w:val="22"/>
        </w:rPr>
      </w:pPr>
      <w:r w:rsidDel="00000000" w:rsidR="00000000" w:rsidRPr="00000000">
        <w:rPr>
          <w:sz w:val="22"/>
          <w:szCs w:val="22"/>
          <w:rtl w:val="0"/>
        </w:rPr>
        <w:t xml:space="preserve">Figure 10a. SOI of the Netherlands (2019-2022)</w:t>
      </w:r>
    </w:p>
    <w:p w:rsidR="00000000" w:rsidDel="00000000" w:rsidP="00000000" w:rsidRDefault="00000000" w:rsidRPr="00000000" w14:paraId="00000197">
      <w:pPr>
        <w:jc w:val="center"/>
        <w:rPr>
          <w:sz w:val="22"/>
          <w:szCs w:val="22"/>
        </w:rPr>
      </w:pPr>
      <w:r w:rsidDel="00000000" w:rsidR="00000000" w:rsidRPr="00000000">
        <w:rPr>
          <w:rtl w:val="0"/>
        </w:rPr>
      </w:r>
    </w:p>
    <w:p w:rsidR="00000000" w:rsidDel="00000000" w:rsidP="00000000" w:rsidRDefault="00000000" w:rsidRPr="00000000" w14:paraId="00000198">
      <w:pPr>
        <w:jc w:val="center"/>
        <w:rPr>
          <w:sz w:val="22"/>
          <w:szCs w:val="22"/>
        </w:rPr>
      </w:pPr>
      <w:r w:rsidDel="00000000" w:rsidR="00000000" w:rsidRPr="00000000">
        <w:rPr>
          <w:rtl w:val="0"/>
        </w:rPr>
      </w:r>
    </w:p>
    <w:p w:rsidR="00000000" w:rsidDel="00000000" w:rsidP="00000000" w:rsidRDefault="00000000" w:rsidRPr="00000000" w14:paraId="00000199">
      <w:pPr>
        <w:jc w:val="center"/>
        <w:rPr>
          <w:sz w:val="22"/>
          <w:szCs w:val="22"/>
        </w:rPr>
      </w:pPr>
      <w:r w:rsidDel="00000000" w:rsidR="00000000" w:rsidRPr="00000000">
        <w:rPr>
          <w:rtl w:val="0"/>
        </w:rPr>
      </w:r>
    </w:p>
    <w:p w:rsidR="00000000" w:rsidDel="00000000" w:rsidP="00000000" w:rsidRDefault="00000000" w:rsidRPr="00000000" w14:paraId="0000019A">
      <w:pPr>
        <w:pageBreakBefore w:val="0"/>
        <w:jc w:val="both"/>
        <w:rPr>
          <w:b w:val="1"/>
          <w:bCs w:val="1"/>
        </w:rPr>
      </w:pPr>
      <w:r w:rsidDel="00000000" w:rsidR="00000000" w:rsidRPr="00000000">
        <w:rPr>
          <w:rtl w:val="0"/>
        </w:rPr>
      </w:r>
    </w:p>
    <w:p w:rsidR="00000000" w:rsidDel="00000000" w:rsidP="00000000" w:rsidRDefault="00000000" w:rsidRPr="00000000" w14:paraId="0000019B">
      <w:pPr>
        <w:pageBreakBefore w:val="0"/>
        <w:jc w:val="both"/>
        <w:rPr>
          <w:b w:val="1"/>
          <w:bCs w:val="1"/>
        </w:rPr>
      </w:pPr>
      <w:r w:rsidDel="00000000" w:rsidR="00000000" w:rsidRPr="00000000">
        <w:rPr>
          <w:rtl w:val="0"/>
        </w:rPr>
      </w:r>
    </w:p>
    <w:p w:rsidR="00000000" w:rsidDel="00000000" w:rsidP="00000000" w:rsidRDefault="00000000" w:rsidRPr="00000000" w14:paraId="0000019C">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9D">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9E">
      <w:pPr>
        <w:jc w:val="both"/>
        <w:rPr/>
      </w:pPr>
      <w:r w:rsidDel="00000000" w:rsidR="00000000" w:rsidRPr="00000000">
        <w:rPr>
          <w:rtl w:val="0"/>
        </w:rPr>
      </w:r>
    </w:p>
    <w:p w:rsidR="00000000" w:rsidDel="00000000" w:rsidP="00000000" w:rsidRDefault="00000000" w:rsidRPr="00000000" w14:paraId="0000019F">
      <w:pPr>
        <w:jc w:val="both"/>
        <w:rPr/>
      </w:pPr>
      <w:r w:rsidDel="00000000" w:rsidR="00000000" w:rsidRPr="00000000">
        <w:rPr>
          <w:rtl w:val="0"/>
        </w:rPr>
        <w:t xml:space="preserve">In conclusion, the Netherlands has demonstrated a moderate level of economic growth in terms of annual GDP increase during the period from 2019 to 2022, concurrent with an increase in economic complexity as compared with major developed economies. </w:t>
      </w:r>
    </w:p>
    <w:p w:rsidR="00000000" w:rsidDel="00000000" w:rsidP="00000000" w:rsidRDefault="00000000" w:rsidRPr="00000000" w14:paraId="000001A0">
      <w:pPr>
        <w:jc w:val="both"/>
        <w:rPr/>
      </w:pPr>
      <w:r w:rsidDel="00000000" w:rsidR="00000000" w:rsidRPr="00000000">
        <w:rPr>
          <w:rtl w:val="0"/>
        </w:rPr>
      </w:r>
    </w:p>
    <w:p w:rsidR="00000000" w:rsidDel="00000000" w:rsidP="00000000" w:rsidRDefault="00000000" w:rsidRPr="00000000" w14:paraId="000001A1">
      <w:pPr>
        <w:jc w:val="both"/>
        <w:rPr/>
      </w:pPr>
      <w:r w:rsidDel="00000000" w:rsidR="00000000" w:rsidRPr="00000000">
        <w:rPr>
          <w:rtl w:val="0"/>
        </w:rPr>
        <w:t xml:space="preserve">We believe that the mixed progress during this period can be partially explained through the analysis of the economic and product complexity structure of the Netherlands on the industry group level. The product classification system we adopt allows us to measure the realized industry development for various industry groups and to observe that the Netherlands regressed in developing most of its industries during the period. Despite a larger increase in ECI compared to its peers, the Netherlands did not undergo similar GDP growth, which indicates that there is further potential to target specific industries.</w:t>
      </w:r>
    </w:p>
    <w:p w:rsidR="00000000" w:rsidDel="00000000" w:rsidP="00000000" w:rsidRDefault="00000000" w:rsidRPr="00000000" w14:paraId="000001A2">
      <w:pPr>
        <w:jc w:val="both"/>
        <w:rPr/>
      </w:pPr>
      <w:r w:rsidDel="00000000" w:rsidR="00000000" w:rsidRPr="00000000">
        <w:rPr>
          <w:rtl w:val="0"/>
        </w:rPr>
      </w:r>
    </w:p>
    <w:p w:rsidR="00000000" w:rsidDel="00000000" w:rsidP="00000000" w:rsidRDefault="00000000" w:rsidRPr="00000000" w14:paraId="000001A3">
      <w:pPr>
        <w:jc w:val="both"/>
        <w:rPr/>
      </w:pPr>
      <w:r w:rsidDel="00000000" w:rsidR="00000000" w:rsidRPr="00000000">
        <w:rPr>
          <w:rtl w:val="0"/>
        </w:rPr>
        <w:t xml:space="preserve">Based on our analysis of the opportunity gain and sensitivity analysis of major industry groups for 2019-2022, the Netherlands can further its gains by prioritizing Energy Drilling and Mining, Textiles, and Precious Stones. We further note that the Netherlands has a heavily mismatched development strategy that indicates a low level (compared to other developed countries) of structural optimality on the complexity level, having an adjusted R-square of around 1%. Since a positive correlation exists between five-year GDP growth and the structural optimality index of an economy as we define and calculate, the Netherlands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A4">
      <w:pPr>
        <w:jc w:val="both"/>
        <w:rPr/>
      </w:pPr>
      <w:r w:rsidDel="00000000" w:rsidR="00000000" w:rsidRPr="00000000">
        <w:rPr>
          <w:rtl w:val="0"/>
        </w:rPr>
      </w:r>
    </w:p>
    <w:p w:rsidR="00000000" w:rsidDel="00000000" w:rsidP="00000000" w:rsidRDefault="00000000" w:rsidRPr="00000000" w14:paraId="000001A5">
      <w:pPr>
        <w:jc w:val="both"/>
        <w:rPr/>
      </w:pPr>
      <w:r w:rsidDel="00000000" w:rsidR="00000000" w:rsidRPr="00000000">
        <w:rPr>
          <w:rtl w:val="0"/>
        </w:rPr>
        <w:t xml:space="preserve">We infer that during the  COVID-19 period, the Netherlands focused on maintaining higher complexity industries despite a lower demand for these industries given the global economic downturn. With the revised focus, the Netherlands has further potential to advance its economic growth to maintain its position among other countries to continue its ongoing economic expansion.</w:t>
      </w:r>
    </w:p>
    <w:p w:rsidR="00000000" w:rsidDel="00000000" w:rsidP="00000000" w:rsidRDefault="00000000" w:rsidRPr="00000000" w14:paraId="000001A6">
      <w:pPr>
        <w:pageBreakBefore w:val="0"/>
        <w:jc w:val="both"/>
        <w:rPr/>
      </w:pPr>
      <w:r w:rsidDel="00000000" w:rsidR="00000000" w:rsidRPr="00000000">
        <w:rPr>
          <w:rtl w:val="0"/>
        </w:rPr>
      </w:r>
    </w:p>
    <w:p w:rsidR="00000000" w:rsidDel="00000000" w:rsidP="00000000" w:rsidRDefault="00000000" w:rsidRPr="00000000" w14:paraId="000001A7">
      <w:pPr>
        <w:pageBreakBefore w:val="0"/>
        <w:jc w:val="both"/>
        <w:rPr/>
      </w:pPr>
      <w:r w:rsidDel="00000000" w:rsidR="00000000" w:rsidRPr="00000000">
        <w:rPr>
          <w:rtl w:val="0"/>
        </w:rPr>
      </w:r>
    </w:p>
    <w:p w:rsidR="00000000" w:rsidDel="00000000" w:rsidP="00000000" w:rsidRDefault="00000000" w:rsidRPr="00000000" w14:paraId="000001A8">
      <w:pPr>
        <w:pageBreakBefore w:val="0"/>
        <w:jc w:val="both"/>
        <w:rPr/>
      </w:pPr>
      <w:r w:rsidDel="00000000" w:rsidR="00000000" w:rsidRPr="00000000">
        <w:rPr>
          <w:rtl w:val="0"/>
        </w:rPr>
      </w:r>
    </w:p>
    <w:p w:rsidR="00000000" w:rsidDel="00000000" w:rsidP="00000000" w:rsidRDefault="00000000" w:rsidRPr="00000000" w14:paraId="000001A9">
      <w:pPr>
        <w:pageBreakBefore w:val="0"/>
        <w:jc w:val="both"/>
        <w:rPr/>
      </w:pPr>
      <w:r w:rsidDel="00000000" w:rsidR="00000000" w:rsidRPr="00000000">
        <w:rPr>
          <w:rtl w:val="0"/>
        </w:rPr>
      </w:r>
    </w:p>
    <w:p w:rsidR="00000000" w:rsidDel="00000000" w:rsidP="00000000" w:rsidRDefault="00000000" w:rsidRPr="00000000" w14:paraId="000001AA">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AB">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D">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E">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F">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B0">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1">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B2">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3">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B4">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5">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B6">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7">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B8">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9">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A">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B">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C">
      <w:pPr>
        <w:pageBreakBefore w:val="0"/>
        <w:jc w:val="both"/>
        <w:rPr/>
      </w:pPr>
      <w:r w:rsidDel="00000000" w:rsidR="00000000" w:rsidRPr="00000000">
        <w:rPr>
          <w:rtl w:val="0"/>
        </w:rPr>
      </w:r>
    </w:p>
    <w:sectPr>
      <w:headerReference r:id="rId23" w:type="default"/>
      <w:footerReference r:id="rId24" w:type="default"/>
      <w:footerReference r:id="rId25" w:type="first"/>
      <w:footerReference r:id="rId26" w:type="even"/>
      <w:pgSz w:h="16840" w:w="1190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xandra Maria Chang Garcia" w:id="2" w:date="2023-12-27T15:30:31Z">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accordingly</w:t>
      </w:r>
    </w:p>
  </w:comment>
  <w:comment w:author="Margarita Demkina" w:id="8" w:date="2023-04-11T23:22:39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split caption</w:t>
      </w:r>
    </w:p>
  </w:comment>
  <w:comment w:author="Ryo Shibata" w:id="7" w:date="2023-04-05T19:14:41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 w:date="2023-04-05T19:14:36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 w:date="2023-04-05T19:26:17Z">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0" w:date="2023-04-05T19:26:22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 w:date="2023-04-05T19:11:51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rgarita Demkina" w:id="3" w:date="2023-04-11T22:55:25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spacing</w:t>
      </w:r>
    </w:p>
  </w:comment>
  <w:comment w:author="Margarita Demkina" w:id="5" w:date="2023-04-11T23:00:19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split captions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0.png"/><Relationship Id="rId21" Type="http://schemas.openxmlformats.org/officeDocument/2006/relationships/image" Target="media/image1.png"/><Relationship Id="rId24" Type="http://schemas.openxmlformats.org/officeDocument/2006/relationships/footer" Target="foot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4.png"/><Relationship Id="rId26" Type="http://schemas.openxmlformats.org/officeDocument/2006/relationships/footer" Target="footer1.xml"/><Relationship Id="rId25"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13.png"/><Relationship Id="rId11" Type="http://schemas.openxmlformats.org/officeDocument/2006/relationships/image" Target="media/image11.png"/><Relationship Id="rId10" Type="http://schemas.openxmlformats.org/officeDocument/2006/relationships/image" Target="media/image9.png"/><Relationship Id="rId13" Type="http://schemas.openxmlformats.org/officeDocument/2006/relationships/image" Target="media/image5.jpg"/><Relationship Id="rId12" Type="http://schemas.openxmlformats.org/officeDocument/2006/relationships/image" Target="media/image12.png"/><Relationship Id="rId15" Type="http://schemas.openxmlformats.org/officeDocument/2006/relationships/image" Target="media/image16.png"/><Relationship Id="rId14" Type="http://schemas.openxmlformats.org/officeDocument/2006/relationships/image" Target="media/image4.png"/><Relationship Id="rId17" Type="http://schemas.openxmlformats.org/officeDocument/2006/relationships/image" Target="media/image15.png"/><Relationship Id="rId16" Type="http://schemas.openxmlformats.org/officeDocument/2006/relationships/image" Target="media/image8.png"/><Relationship Id="rId19" Type="http://schemas.openxmlformats.org/officeDocument/2006/relationships/image" Target="media/image6.png"/><Relationship Id="rId1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