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 name="image3.png"/>
            <a:graphic>
              <a:graphicData uri="http://schemas.openxmlformats.org/drawingml/2006/picture">
                <pic:pic>
                  <pic:nvPicPr>
                    <pic:cNvPr descr="horizontal line" id="0" name="image3.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9" name="image14.png"/>
            <a:graphic>
              <a:graphicData uri="http://schemas.openxmlformats.org/drawingml/2006/picture">
                <pic:pic>
                  <pic:nvPicPr>
                    <pic:cNvPr id="0" name="image14.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New Zealand</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New Zealand</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New Zealand went through during the period from 2019 to 2022. Specifically, we dive into the topic through a macroeconomic overview of New Zealand from the perspective of Gross Domestic Product (GDP) and Economic Complexity Index (ECI), which reflect countries’ production capability and production structure, respectively. We find that during the period of our interest, New Zealand demonstrated a </w:t>
      </w:r>
      <w:r w:rsidDel="00000000" w:rsidR="00000000" w:rsidRPr="00000000">
        <w:rPr>
          <w:rtl w:val="0"/>
        </w:rPr>
        <w:t xml:space="preserve">moderately</w:t>
      </w:r>
      <w:r w:rsidDel="00000000" w:rsidR="00000000" w:rsidRPr="00000000">
        <w:rPr>
          <w:rtl w:val="0"/>
        </w:rPr>
        <w:t xml:space="preserve"> low level of economic growth with an average annual GDP growth rate of 4.19% between 2019 and 2022, with a similar economic complexity compared to other major developed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mixed progress during the period, we believe, can be partially explained through the analysis of the economic and product complexity structure of New Zealand on the industry group level, as well as the</w:t>
      </w:r>
      <w:r w:rsidDel="00000000" w:rsidR="00000000" w:rsidRPr="00000000">
        <w:rPr>
          <w:rtl w:val="0"/>
        </w:rPr>
        <w:t xml:space="preserve"> improved </w:t>
      </w:r>
      <w:r w:rsidDel="00000000" w:rsidR="00000000" w:rsidRPr="00000000">
        <w:rPr>
          <w:rtl w:val="0"/>
        </w:rPr>
        <w:t xml:space="preserve">macro and microeconomic strategies. The product classification system we adopt allows us to measure the realized industry development for various industry groups and to observe that New Zealand progressed</w:t>
      </w:r>
      <w:r w:rsidDel="00000000" w:rsidR="00000000" w:rsidRPr="00000000">
        <w:rPr>
          <w:rtl w:val="0"/>
        </w:rPr>
        <w:t xml:space="preserve"> </w:t>
      </w:r>
      <w:r w:rsidDel="00000000" w:rsidR="00000000" w:rsidRPr="00000000">
        <w:rPr>
          <w:rtl w:val="0"/>
        </w:rPr>
        <w:t xml:space="preserve">in developing most of its industries during the period while its developed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New Zealand could further its gains by prioritizing </w:t>
      </w:r>
      <w:r w:rsidDel="00000000" w:rsidR="00000000" w:rsidRPr="00000000">
        <w:rPr>
          <w:rtl w:val="0"/>
        </w:rPr>
        <w:t xml:space="preserve">Energy Drilling and Mining and Precious Stones </w:t>
      </w:r>
      <w:r w:rsidDel="00000000" w:rsidR="00000000" w:rsidRPr="00000000">
        <w:rPr>
          <w:rtl w:val="0"/>
        </w:rPr>
        <w:t xml:space="preserve">in 2022. </w:t>
      </w:r>
      <w:r w:rsidDel="00000000" w:rsidR="00000000" w:rsidRPr="00000000">
        <w:rPr>
          <w:rtl w:val="0"/>
        </w:rPr>
        <w:t xml:space="preserve">We further note that New Zealand has a slightly mismatched development strategy that indicates a moderately high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w:t>
      </w:r>
      <w:r w:rsidDel="00000000" w:rsidR="00000000" w:rsidRPr="00000000">
        <w:rPr>
          <w:rtl w:val="0"/>
        </w:rPr>
        <w:t xml:space="preserve"> </w:t>
      </w:r>
      <w:r w:rsidDel="00000000" w:rsidR="00000000" w:rsidRPr="00000000">
        <w:rPr>
          <w:rtl w:val="0"/>
        </w:rPr>
        <w:t xml:space="preserve">16% in 2022, demonstrating </w:t>
      </w:r>
      <w:r w:rsidDel="00000000" w:rsidR="00000000" w:rsidRPr="00000000">
        <w:rPr>
          <w:rtl w:val="0"/>
        </w:rPr>
        <w:t xml:space="preserve">shift and improvemen</w:t>
      </w:r>
      <w:r w:rsidDel="00000000" w:rsidR="00000000" w:rsidRPr="00000000">
        <w:rPr>
          <w:rtl w:val="0"/>
        </w:rPr>
        <w:t xml:space="preserve">t in development.</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New Zealand indeed has a</w:t>
      </w:r>
      <w:r w:rsidDel="00000000" w:rsidR="00000000" w:rsidRPr="00000000">
        <w:rPr>
          <w:rtl w:val="0"/>
        </w:rPr>
        <w:t xml:space="preserve"> relatively 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four years between 2019 and 2022 showed a significant improvement in New Zealand's economic growth, boosting its position on the global scale. Its GDP recovered to above the pre-pandemic levels, and it saw a </w:t>
      </w:r>
      <w:r w:rsidDel="00000000" w:rsidR="00000000" w:rsidRPr="00000000">
        <w:rPr>
          <w:rtl w:val="0"/>
        </w:rPr>
        <w:t xml:space="preserve">significant boost</w:t>
      </w:r>
      <w:r w:rsidDel="00000000" w:rsidR="00000000" w:rsidRPr="00000000">
        <w:rPr>
          <w:rtl w:val="0"/>
        </w:rPr>
        <w:t xml:space="preserve">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New Zealand went through during the period from 2019 to 2022, before and after the COVID pandemic. Specifically, we dive into the topic through a macroeconomic overview of New Zealand from the perspective of Gross Domestic Product (GDP) and Economic Complexity Index (ECI), which reflect countries’ production capability and production structure, respectively. We then analyze the industrial framework and changes of New Zealand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New Zealand,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pageBreakBefore w:val="0"/>
        <w:jc w:val="both"/>
        <w:rPr/>
      </w:pPr>
      <w:r w:rsidDel="00000000" w:rsidR="00000000" w:rsidRPr="00000000">
        <w:rPr>
          <w:rtl w:val="0"/>
        </w:rPr>
        <w:t xml:space="preserve">Figure 1a illustrates the time-series GDP results for New Zealand and </w:t>
      </w:r>
      <w:r w:rsidDel="00000000" w:rsidR="00000000" w:rsidRPr="00000000">
        <w:rPr>
          <w:rtl w:val="0"/>
        </w:rPr>
        <w:t xml:space="preserve">three</w:t>
      </w:r>
      <w:r w:rsidDel="00000000" w:rsidR="00000000" w:rsidRPr="00000000">
        <w:rPr>
          <w:rtl w:val="0"/>
        </w:rPr>
        <w:t xml:space="preserve"> of its peer countries Australia, Canada, and Singapore from 2019 to 2022. Similar to the other countries, New Zealand</w:t>
      </w:r>
      <w:r w:rsidDel="00000000" w:rsidR="00000000" w:rsidRPr="00000000">
        <w:rPr>
          <w:rtl w:val="0"/>
        </w:rPr>
        <w:t xml:space="preserve"> </w:t>
      </w:r>
      <w:r w:rsidDel="00000000" w:rsidR="00000000" w:rsidRPr="00000000">
        <w:rPr>
          <w:rtl w:val="0"/>
        </w:rPr>
        <w:t xml:space="preserve">displayed an eventual upward trend over the period; however, its growth was less consistent than all three comparable countries. New Zealand’s average annual GDP growth rate (4.19%) is the lowest out of the four, as it is less than Australia’s rate (5.15%), Canada’s rate (5.76%) and Singapore’s rate (6.17%).  </w:t>
      </w:r>
    </w:p>
    <w:p w:rsidR="00000000" w:rsidDel="00000000" w:rsidP="00000000" w:rsidRDefault="00000000" w:rsidRPr="00000000" w14:paraId="0000001E">
      <w:pPr>
        <w:pageBreakBefore w:val="0"/>
        <w:jc w:val="center"/>
        <w:rPr/>
      </w:pPr>
      <w:r w:rsidDel="00000000" w:rsidR="00000000" w:rsidRPr="00000000">
        <w:rPr/>
        <w:drawing>
          <wp:inline distB="114300" distT="114300" distL="114300" distR="114300">
            <wp:extent cx="4563900" cy="3425422"/>
            <wp:effectExtent b="0" l="0" r="0" t="0"/>
            <wp:docPr id="8"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4563900" cy="3425422"/>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ageBreakBefore w:val="0"/>
        <w:rPr>
          <w:i w:val="1"/>
          <w:iCs w:val="1"/>
          <w:color w:val="444499"/>
          <w:sz w:val="20"/>
          <w:szCs w:val="20"/>
        </w:rPr>
      </w:pPr>
      <w:r w:rsidDel="00000000" w:rsidR="00000000" w:rsidRPr="00000000">
        <w:rPr>
          <w:rtl w:val="0"/>
        </w:rPr>
      </w:r>
    </w:p>
    <w:p w:rsidR="00000000" w:rsidDel="00000000" w:rsidP="00000000" w:rsidRDefault="00000000" w:rsidRPr="00000000" w14:paraId="00000020">
      <w:pPr>
        <w:pageBreakBefore w:val="0"/>
        <w:jc w:val="center"/>
        <w:rPr>
          <w:sz w:val="22"/>
          <w:szCs w:val="22"/>
        </w:rPr>
      </w:pPr>
      <w:r w:rsidDel="00000000" w:rsidR="00000000" w:rsidRPr="00000000">
        <w:rPr>
          <w:sz w:val="22"/>
          <w:szCs w:val="22"/>
          <w:rtl w:val="0"/>
        </w:rPr>
        <w:t xml:space="preserve">Figure 1. GDP Comparison Among Peer Countries (2019-2022)</w:t>
      </w:r>
    </w:p>
    <w:p w:rsidR="00000000" w:rsidDel="00000000" w:rsidP="00000000" w:rsidRDefault="00000000" w:rsidRPr="00000000" w14:paraId="00000021">
      <w:pPr>
        <w:pageBreakBefore w:val="0"/>
        <w:jc w:val="left"/>
        <w:rPr/>
      </w:pPr>
      <w:r w:rsidDel="00000000" w:rsidR="00000000" w:rsidRPr="00000000">
        <w:rPr>
          <w:rtl w:val="0"/>
        </w:rPr>
      </w:r>
    </w:p>
    <w:p w:rsidR="00000000" w:rsidDel="00000000" w:rsidP="00000000" w:rsidRDefault="00000000" w:rsidRPr="00000000" w14:paraId="00000022">
      <w:pPr>
        <w:pageBreakBefore w:val="0"/>
        <w:jc w:val="left"/>
        <w:rPr/>
      </w:pPr>
      <w:r w:rsidDel="00000000" w:rsidR="00000000" w:rsidRPr="00000000">
        <w:rPr>
          <w:rtl w:val="0"/>
        </w:rPr>
      </w:r>
    </w:p>
    <w:p w:rsidR="00000000" w:rsidDel="00000000" w:rsidP="00000000" w:rsidRDefault="00000000" w:rsidRPr="00000000" w14:paraId="00000023">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4">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5">
      <w:pPr>
        <w:pageBreakBefore w:val="0"/>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As shown, New Zealand exhibits a</w:t>
      </w:r>
      <w:r w:rsidDel="00000000" w:rsidR="00000000" w:rsidRPr="00000000">
        <w:rPr>
          <w:rtl w:val="0"/>
        </w:rPr>
        <w:t xml:space="preserve"> </w:t>
      </w:r>
      <w:r w:rsidDel="00000000" w:rsidR="00000000" w:rsidRPr="00000000">
        <w:rPr>
          <w:rtl w:val="0"/>
        </w:rPr>
        <w:t xml:space="preserve">moderately large increase in production capability from 2019 to 2022. New Zealand is in a moderately strong position in ECI terms, as its ECI change of 165.99% is greater than Singapore’s rate (-298.71%) but lower than Canada’s rate (175.43%) and Australia’s rate (206.15%). This increase in New Zealand may be explained by the government’s consistent support for industries impacted by COVID-19 and skills development in emerging industries.</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pageBreakBefore w:val="0"/>
        <w:jc w:val="center"/>
        <w:rPr/>
      </w:pPr>
      <w:r w:rsidDel="00000000" w:rsidR="00000000" w:rsidRPr="00000000">
        <w:rPr>
          <w:rtl w:val="0"/>
        </w:rPr>
        <w:t xml:space="preserve">    </w:t>
      </w:r>
      <w:r w:rsidDel="00000000" w:rsidR="00000000" w:rsidRPr="00000000">
        <w:rPr>
          <w:rFonts w:ascii="Times" w:cs="Times" w:eastAsia="Times" w:hAnsi="Times"/>
          <w:b w:val="1"/>
          <w:bCs w:val="1"/>
          <w:sz w:val="28"/>
          <w:szCs w:val="28"/>
        </w:rPr>
        <w:drawing>
          <wp:inline distB="114300" distT="114300" distL="114300" distR="114300">
            <wp:extent cx="4430857" cy="3319463"/>
            <wp:effectExtent b="0" l="0" r="0" t="0"/>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430857" cy="331946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jc w:val="center"/>
        <w:rPr/>
      </w:pPr>
      <w:r w:rsidDel="00000000" w:rsidR="00000000" w:rsidRPr="00000000">
        <w:rPr>
          <w:rtl w:val="0"/>
        </w:rPr>
        <w:t xml:space="preserve">   </w:t>
      </w:r>
      <w:r w:rsidDel="00000000" w:rsidR="00000000" w:rsidRPr="00000000">
        <w:rPr>
          <w:sz w:val="22"/>
          <w:szCs w:val="22"/>
          <w:rtl w:val="0"/>
        </w:rPr>
        <w:t xml:space="preserve">    Figure 2. ECI Comparison Among Peer Countries (2019-2022) </w:t>
      </w:r>
      <w:r w:rsidDel="00000000" w:rsidR="00000000" w:rsidRPr="00000000">
        <w:rPr>
          <w:rtl w:val="0"/>
        </w:rPr>
        <w:t xml:space="preserve">                        </w:t>
      </w:r>
    </w:p>
    <w:p w:rsidR="00000000" w:rsidDel="00000000" w:rsidP="00000000" w:rsidRDefault="00000000" w:rsidRPr="00000000" w14:paraId="0000002A">
      <w:pPr>
        <w:pageBreakBefore w:val="0"/>
        <w:jc w:val="left"/>
        <w:rPr/>
      </w:pPr>
      <w:r w:rsidDel="00000000" w:rsidR="00000000" w:rsidRPr="00000000">
        <w:rPr>
          <w:rtl w:val="0"/>
        </w:rPr>
      </w:r>
    </w:p>
    <w:p w:rsidR="00000000" w:rsidDel="00000000" w:rsidP="00000000" w:rsidRDefault="00000000" w:rsidRPr="00000000" w14:paraId="0000002B">
      <w:pPr>
        <w:pageBreakBefore w:val="0"/>
        <w:jc w:val="both"/>
        <w:rPr/>
      </w:pPr>
      <w:r w:rsidDel="00000000" w:rsidR="00000000" w:rsidRPr="00000000">
        <w:rPr>
          <w:rtl w:val="0"/>
        </w:rPr>
        <w:t xml:space="preserve">Figure 3 offers a further comparison of GDP Growth and ECI over the time span from 2019 to 2022 for New Zealand. The GDP growth is accompanied by a similar increase in ECI.  The results show that the economic growth experienced by New Zealand during the period from 2019 to 2022 is </w:t>
      </w:r>
      <w:r w:rsidDel="00000000" w:rsidR="00000000" w:rsidRPr="00000000">
        <w:rPr>
          <w:rtl w:val="0"/>
        </w:rPr>
        <w:t xml:space="preserve">consistent</w:t>
      </w:r>
      <w:r w:rsidDel="00000000" w:rsidR="00000000" w:rsidRPr="00000000">
        <w:rPr>
          <w:rtl w:val="0"/>
        </w:rPr>
        <w:t xml:space="preserve"> with the predictions by ECI and that New Zealand made strong progress towards effectively developing a competitive product space that helps to accumulate complicated knowledge and technology. In order to provide a more concrete answer to why this has happened, we will dive into an analysis of New Zealand’s production structure and its product space designs in the next few sections.</w:t>
      </w:r>
    </w:p>
    <w:p w:rsidR="00000000" w:rsidDel="00000000" w:rsidP="00000000" w:rsidRDefault="00000000" w:rsidRPr="00000000" w14:paraId="0000002C">
      <w:pPr>
        <w:jc w:val="center"/>
        <w:rPr/>
      </w:pPr>
      <w:r w:rsidDel="00000000" w:rsidR="00000000" w:rsidRPr="00000000">
        <w:rPr>
          <w:b w:val="1"/>
          <w:bCs w:val="1"/>
        </w:rPr>
        <w:drawing>
          <wp:inline distB="114300" distT="114300" distL="114300" distR="114300">
            <wp:extent cx="4404352" cy="3309938"/>
            <wp:effectExtent b="0" l="0" r="0" t="0"/>
            <wp:docPr id="6"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404352" cy="330993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rFonts w:ascii="Times" w:cs="Times" w:eastAsia="Times" w:hAnsi="Times"/>
          <w:b w:val="1"/>
          <w:bCs w:val="1"/>
          <w:sz w:val="28"/>
          <w:szCs w:val="28"/>
        </w:rPr>
      </w:pPr>
      <w:r w:rsidDel="00000000" w:rsidR="00000000" w:rsidRPr="00000000">
        <w:rPr>
          <w:sz w:val="22"/>
          <w:szCs w:val="22"/>
          <w:rtl w:val="0"/>
        </w:rPr>
        <w:t xml:space="preserve">Figure 3. GDP Growth and ECI for</w:t>
      </w:r>
      <w:r w:rsidDel="00000000" w:rsidR="00000000" w:rsidRPr="00000000">
        <w:rPr>
          <w:sz w:val="22"/>
          <w:szCs w:val="22"/>
          <w:rtl w:val="0"/>
        </w:rPr>
        <w:t xml:space="preserve"> </w:t>
      </w:r>
      <w:r w:rsidDel="00000000" w:rsidR="00000000" w:rsidRPr="00000000">
        <w:rPr>
          <w:sz w:val="22"/>
          <w:szCs w:val="22"/>
          <w:rtl w:val="0"/>
        </w:rPr>
        <w:t xml:space="preserve">New Zealand (2019-2022)</w:t>
      </w:r>
      <w:r w:rsidDel="00000000" w:rsidR="00000000" w:rsidRPr="00000000">
        <w:rPr>
          <w:rtl w:val="0"/>
        </w:rPr>
      </w:r>
    </w:p>
    <w:p w:rsidR="00000000" w:rsidDel="00000000" w:rsidP="00000000" w:rsidRDefault="00000000" w:rsidRPr="00000000" w14:paraId="0000002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0">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1">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2">
      <w:pPr>
        <w:pageBreakBefore w:val="0"/>
        <w:jc w:val="both"/>
        <w:rPr/>
      </w:pPr>
      <w:r w:rsidDel="00000000" w:rsidR="00000000" w:rsidRPr="00000000">
        <w:rPr>
          <w:rtl w:val="0"/>
        </w:rPr>
      </w:r>
    </w:p>
    <w:p w:rsidR="00000000" w:rsidDel="00000000" w:rsidP="00000000" w:rsidRDefault="00000000" w:rsidRPr="00000000" w14:paraId="00000033">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4">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5">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6">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5">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1">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B">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5C">
      <w:pPr>
        <w:pageBreakBefore w:val="0"/>
        <w:jc w:val="both"/>
        <w:rPr/>
      </w:pPr>
      <w:r w:rsidDel="00000000" w:rsidR="00000000" w:rsidRPr="00000000">
        <w:rPr>
          <w:rtl w:val="0"/>
        </w:rPr>
      </w:r>
    </w:p>
    <w:p w:rsidR="00000000" w:rsidDel="00000000" w:rsidP="00000000" w:rsidRDefault="00000000" w:rsidRPr="00000000" w14:paraId="0000005D">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5E">
      <w:pPr>
        <w:pageBreakBefore w:val="0"/>
        <w:jc w:val="both"/>
        <w:rPr/>
      </w:pPr>
      <w:r w:rsidDel="00000000" w:rsidR="00000000" w:rsidRPr="00000000">
        <w:rPr>
          <w:rtl w:val="0"/>
        </w:rPr>
      </w:r>
    </w:p>
    <w:p w:rsidR="00000000" w:rsidDel="00000000" w:rsidP="00000000" w:rsidRDefault="00000000" w:rsidRPr="00000000" w14:paraId="0000005F">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0">
            <w:pPr>
              <w:pageBreakBefore w:val="0"/>
              <w:jc w:val="center"/>
              <w:rPr/>
            </w:pPr>
            <w:r w:rsidDel="00000000" w:rsidR="00000000" w:rsidRPr="00000000">
              <w:rPr>
                <w:rtl w:val="0"/>
              </w:rPr>
            </w:r>
          </w:p>
        </w:tc>
        <w:tc>
          <w:tcPr/>
          <w:p w:rsidR="00000000" w:rsidDel="00000000" w:rsidP="00000000" w:rsidRDefault="00000000" w:rsidRPr="00000000" w14:paraId="00000061">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2">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4">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5">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6">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7">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8">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9">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6A">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6B">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6C">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D">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6E">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6F">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0">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1">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2">
            <w:pPr>
              <w:pageBreakBefore w:val="0"/>
              <w:jc w:val="center"/>
              <w:rPr/>
            </w:pPr>
            <w:r w:rsidDel="00000000" w:rsidR="00000000" w:rsidRPr="00000000">
              <w:rPr>
                <w:rtl w:val="0"/>
              </w:rPr>
            </w:r>
          </w:p>
        </w:tc>
        <w:tc>
          <w:tcPr/>
          <w:p w:rsidR="00000000" w:rsidDel="00000000" w:rsidP="00000000" w:rsidRDefault="00000000" w:rsidRPr="00000000" w14:paraId="00000073">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4">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5">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6">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7">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8">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9">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7A">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B">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7C">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7D">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7E">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0">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1">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2">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3">
      <w:pPr>
        <w:pageBreakBefore w:val="0"/>
        <w:jc w:val="center"/>
        <w:rPr>
          <w:sz w:val="22"/>
          <w:szCs w:val="22"/>
        </w:rPr>
      </w:pPr>
      <w:r w:rsidDel="00000000" w:rsidR="00000000" w:rsidRPr="00000000">
        <w:rPr>
          <w:rtl w:val="0"/>
        </w:rPr>
      </w:r>
    </w:p>
    <w:p w:rsidR="00000000" w:rsidDel="00000000" w:rsidP="00000000" w:rsidRDefault="00000000" w:rsidRPr="00000000" w14:paraId="00000084">
      <w:pPr>
        <w:pageBreakBefore w:val="0"/>
        <w:jc w:val="both"/>
        <w:rPr>
          <w:b w:val="1"/>
          <w:bCs w:val="1"/>
        </w:rPr>
      </w:pPr>
      <w:r w:rsidDel="00000000" w:rsidR="00000000" w:rsidRPr="00000000">
        <w:rPr>
          <w:rtl w:val="0"/>
        </w:rPr>
      </w:r>
    </w:p>
    <w:p w:rsidR="00000000" w:rsidDel="00000000" w:rsidP="00000000" w:rsidRDefault="00000000" w:rsidRPr="00000000" w14:paraId="00000085">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6">
      <w:pPr>
        <w:pageBreakBefore w:val="0"/>
        <w:jc w:val="both"/>
        <w:rPr/>
      </w:pPr>
      <w:r w:rsidDel="00000000" w:rsidR="00000000" w:rsidRPr="00000000">
        <w:rPr>
          <w:rtl w:val="0"/>
        </w:rPr>
        <w:t xml:space="preserve">Based on the aforementioned product categorization, we aim to capture New Zealand</w:t>
      </w:r>
      <w:r w:rsidDel="00000000" w:rsidR="00000000" w:rsidRPr="00000000">
        <w:rPr>
          <w:rtl w:val="0"/>
        </w:rPr>
        <w:t xml:space="preserve">'</w:t>
      </w:r>
      <w:r w:rsidDel="00000000" w:rsidR="00000000" w:rsidRPr="00000000">
        <w:rPr>
          <w:rtl w:val="0"/>
        </w:rPr>
        <w:t xml:space="preserve">s realized industry production strategy between 2019 and 2022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New Zealand  and the 18 product groups in 2022 through the difference, where a positive RID indicates a shortening of the distance (i.e., advancement of the industry), and a negative RID indicates the reverse. </w:t>
      </w:r>
    </w:p>
    <w:p w:rsidR="00000000" w:rsidDel="00000000" w:rsidP="00000000" w:rsidRDefault="00000000" w:rsidRPr="00000000" w14:paraId="00000087">
      <w:pPr>
        <w:pageBreakBefore w:val="0"/>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tbl>
      <w:tblPr>
        <w:tblStyle w:val="Table4"/>
        <w:tblW w:w="4455.0" w:type="dxa"/>
        <w:jc w:val="center"/>
        <w:tblLayout w:type="fixed"/>
        <w:tblLook w:val="0600"/>
      </w:tblPr>
      <w:tblGrid>
        <w:gridCol w:w="2880"/>
        <w:gridCol w:w="1575"/>
        <w:tblGridChange w:id="0">
          <w:tblGrid>
            <w:gridCol w:w="2880"/>
            <w:gridCol w:w="157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9">
            <w:pPr>
              <w:ind w:left="18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A">
            <w:pPr>
              <w:jc w:val="both"/>
              <w:rPr>
                <w:b w:val="1"/>
                <w:bCs w:val="1"/>
                <w:color w:val="ffffff"/>
                <w:sz w:val="20"/>
                <w:szCs w:val="20"/>
              </w:rPr>
            </w:pPr>
            <w:r w:rsidDel="00000000" w:rsidR="00000000" w:rsidRPr="00000000">
              <w:rPr>
                <w:b w:val="1"/>
                <w:bCs w:val="1"/>
                <w:color w:val="ffffff"/>
                <w:sz w:val="20"/>
                <w:szCs w:val="20"/>
                <w:rtl w:val="0"/>
              </w:rPr>
              <w:t xml:space="preserve">RID (2022)</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B">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-0.02571</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D">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-0.07348</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-0.00556</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widowControl w:val="0"/>
              <w:spacing w:line="276" w:lineRule="auto"/>
              <w:ind w:left="180" w:firstLine="0"/>
              <w:rPr>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-0.03612</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-0.01510</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0</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-0.01214</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-0.04863</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0.00246</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-0.01904</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0.00607</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0.00772</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0.04337</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ind w:left="180" w:firstLine="0"/>
              <w:rPr>
                <w:sz w:val="20"/>
                <w:szCs w:val="20"/>
              </w:rPr>
            </w:pPr>
            <w:r w:rsidDel="00000000" w:rsidR="00000000" w:rsidRPr="00000000">
              <w:rPr>
                <w:color w:val="7b7b7b"/>
                <w:sz w:val="20"/>
                <w:szCs w:val="20"/>
                <w:rtl w:val="0"/>
              </w:rPr>
              <w:t xml:space="preserve">Animal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0.03068</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-0.01124</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0.02811</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-0.0131</w:t>
            </w:r>
          </w:p>
        </w:tc>
      </w:tr>
    </w:tbl>
    <w:p w:rsidR="00000000" w:rsidDel="00000000" w:rsidP="00000000" w:rsidRDefault="00000000" w:rsidRPr="00000000" w14:paraId="000000AD">
      <w:pPr>
        <w:jc w:val="center"/>
        <w:rPr>
          <w:b w:val="1"/>
          <w:bCs w:val="1"/>
        </w:rPr>
      </w:pPr>
      <w:r w:rsidDel="00000000" w:rsidR="00000000" w:rsidRPr="00000000">
        <w:rPr>
          <w:sz w:val="22"/>
          <w:szCs w:val="22"/>
          <w:rtl w:val="0"/>
        </w:rPr>
        <w:t xml:space="preserve">Table 3. Realized Industry Development (RID) of New Zealand</w:t>
      </w:r>
      <w:r w:rsidDel="00000000" w:rsidR="00000000" w:rsidRPr="00000000">
        <w:rPr>
          <w:rtl w:val="0"/>
        </w:rPr>
      </w:r>
    </w:p>
    <w:p w:rsidR="00000000" w:rsidDel="00000000" w:rsidP="00000000" w:rsidRDefault="00000000" w:rsidRPr="00000000" w14:paraId="000000AE">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AF">
      <w:pPr>
        <w:jc w:val="both"/>
        <w:rPr/>
      </w:pPr>
      <w:r w:rsidDel="00000000" w:rsidR="00000000" w:rsidRPr="00000000">
        <w:rPr>
          <w:rtl w:val="0"/>
        </w:rPr>
        <w:t xml:space="preserve">Table 4a below summarizes how the production strategy adopted by New Zealand compares with selected leading economies in the world across different years, as measured in RID. Leading economies such as France, Greece, and Portugal gave a considerable level of attention to more advanced product groups such as Services and Utilities, Energy Drilling and Textiles in 2022.</w:t>
      </w:r>
    </w:p>
    <w:p w:rsidR="00000000" w:rsidDel="00000000" w:rsidP="00000000" w:rsidRDefault="00000000" w:rsidRPr="00000000" w14:paraId="000000B0">
      <w:pPr>
        <w:jc w:val="both"/>
        <w:rPr/>
      </w:pPr>
      <w:r w:rsidDel="00000000" w:rsidR="00000000" w:rsidRPr="00000000">
        <w:rPr>
          <w:rtl w:val="0"/>
        </w:rPr>
      </w:r>
    </w:p>
    <w:tbl>
      <w:tblPr>
        <w:tblStyle w:val="Table5"/>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vAlign w:val="center"/>
          </w:tcPr>
          <w:p w:rsidR="00000000" w:rsidDel="00000000" w:rsidP="00000000" w:rsidRDefault="00000000" w:rsidRPr="00000000" w14:paraId="000000B1">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B2">
            <w:pPr>
              <w:jc w:val="both"/>
              <w:rPr/>
            </w:pPr>
            <w:r w:rsidDel="00000000" w:rsidR="00000000" w:rsidRPr="00000000">
              <w:rPr>
                <w:rtl w:val="0"/>
              </w:rPr>
              <w:t xml:space="preserve">France</w:t>
            </w:r>
          </w:p>
        </w:tc>
        <w:tc>
          <w:tcPr>
            <w:vAlign w:val="center"/>
          </w:tcPr>
          <w:p w:rsidR="00000000" w:rsidDel="00000000" w:rsidP="00000000" w:rsidRDefault="00000000" w:rsidRPr="00000000" w14:paraId="000000B3">
            <w:pPr>
              <w:jc w:val="both"/>
              <w:rPr/>
            </w:pPr>
            <w:r w:rsidDel="00000000" w:rsidR="00000000" w:rsidRPr="00000000">
              <w:rPr>
                <w:rtl w:val="0"/>
              </w:rPr>
              <w:t xml:space="preserve">Greece</w:t>
            </w:r>
          </w:p>
        </w:tc>
        <w:tc>
          <w:tcPr>
            <w:vAlign w:val="center"/>
          </w:tcPr>
          <w:p w:rsidR="00000000" w:rsidDel="00000000" w:rsidP="00000000" w:rsidRDefault="00000000" w:rsidRPr="00000000" w14:paraId="000000B4">
            <w:pPr>
              <w:jc w:val="both"/>
              <w:rPr/>
            </w:pPr>
            <w:r w:rsidDel="00000000" w:rsidR="00000000" w:rsidRPr="00000000">
              <w:rPr>
                <w:rtl w:val="0"/>
              </w:rPr>
              <w:t xml:space="preserve">Portugal</w:t>
            </w:r>
          </w:p>
        </w:tc>
      </w:tr>
      <w:tr>
        <w:trPr>
          <w:cantSplit w:val="0"/>
          <w:tblHeader w:val="0"/>
        </w:trPr>
        <w:tc>
          <w:tcPr>
            <w:vAlign w:val="center"/>
          </w:tcPr>
          <w:p w:rsidR="00000000" w:rsidDel="00000000" w:rsidP="00000000" w:rsidRDefault="00000000" w:rsidRPr="00000000" w14:paraId="000000B5">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B6">
            <w:pPr>
              <w:jc w:val="both"/>
              <w:rPr>
                <w:sz w:val="18"/>
                <w:szCs w:val="18"/>
              </w:rPr>
            </w:pPr>
            <w:r w:rsidDel="00000000" w:rsidR="00000000" w:rsidRPr="00000000">
              <w:rPr>
                <w:color w:val="000000"/>
                <w:sz w:val="22"/>
                <w:szCs w:val="22"/>
                <w:rtl w:val="0"/>
              </w:rPr>
              <w:t xml:space="preserve">Services and Utilities</w:t>
            </w:r>
            <w:r w:rsidDel="00000000" w:rsidR="00000000" w:rsidRPr="00000000">
              <w:rPr>
                <w:rtl w:val="0"/>
              </w:rPr>
            </w:r>
          </w:p>
        </w:tc>
        <w:tc>
          <w:tcPr>
            <w:vAlign w:val="center"/>
          </w:tcPr>
          <w:p w:rsidR="00000000" w:rsidDel="00000000" w:rsidP="00000000" w:rsidRDefault="00000000" w:rsidRPr="00000000" w14:paraId="000000B7">
            <w:pPr>
              <w:jc w:val="both"/>
              <w:rPr>
                <w:sz w:val="18"/>
                <w:szCs w:val="18"/>
              </w:rPr>
            </w:pPr>
            <w:r w:rsidDel="00000000" w:rsidR="00000000" w:rsidRPr="00000000">
              <w:rPr>
                <w:color w:val="000000"/>
                <w:sz w:val="22"/>
                <w:szCs w:val="22"/>
                <w:rtl w:val="0"/>
              </w:rPr>
              <w:t xml:space="preserve">Energy Drilling</w:t>
            </w:r>
            <w:r w:rsidDel="00000000" w:rsidR="00000000" w:rsidRPr="00000000">
              <w:rPr>
                <w:rtl w:val="0"/>
              </w:rPr>
            </w:r>
          </w:p>
        </w:tc>
        <w:tc>
          <w:tcPr>
            <w:vAlign w:val="center"/>
          </w:tcPr>
          <w:p w:rsidR="00000000" w:rsidDel="00000000" w:rsidP="00000000" w:rsidRDefault="00000000" w:rsidRPr="00000000" w14:paraId="000000B8">
            <w:pPr>
              <w:jc w:val="both"/>
              <w:rPr>
                <w:sz w:val="18"/>
                <w:szCs w:val="18"/>
              </w:rPr>
            </w:pPr>
            <w:r w:rsidDel="00000000" w:rsidR="00000000" w:rsidRPr="00000000">
              <w:rPr>
                <w:color w:val="000000"/>
                <w:sz w:val="22"/>
                <w:szCs w:val="22"/>
                <w:rtl w:val="0"/>
              </w:rPr>
              <w:t xml:space="preserve">Textile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BA">
            <w:pPr>
              <w:jc w:val="both"/>
              <w:rPr>
                <w:sz w:val="18"/>
                <w:szCs w:val="18"/>
              </w:rPr>
            </w:pPr>
            <w:r w:rsidDel="00000000" w:rsidR="00000000" w:rsidRPr="00000000">
              <w:rPr>
                <w:color w:val="000000"/>
                <w:sz w:val="22"/>
                <w:szCs w:val="22"/>
                <w:rtl w:val="0"/>
              </w:rPr>
              <w:t xml:space="preserve">Precious Stones</w:t>
            </w:r>
            <w:r w:rsidDel="00000000" w:rsidR="00000000" w:rsidRPr="00000000">
              <w:rPr>
                <w:rtl w:val="0"/>
              </w:rPr>
            </w:r>
          </w:p>
        </w:tc>
        <w:tc>
          <w:tcPr>
            <w:vAlign w:val="center"/>
          </w:tcPr>
          <w:p w:rsidR="00000000" w:rsidDel="00000000" w:rsidP="00000000" w:rsidRDefault="00000000" w:rsidRPr="00000000" w14:paraId="000000BB">
            <w:pPr>
              <w:jc w:val="both"/>
              <w:rPr>
                <w:sz w:val="18"/>
                <w:szCs w:val="18"/>
              </w:rPr>
            </w:pPr>
            <w:r w:rsidDel="00000000" w:rsidR="00000000" w:rsidRPr="00000000">
              <w:rPr>
                <w:color w:val="000000"/>
                <w:sz w:val="22"/>
                <w:szCs w:val="22"/>
                <w:rtl w:val="0"/>
              </w:rPr>
              <w:t xml:space="preserve">Wood Products</w:t>
            </w:r>
            <w:r w:rsidDel="00000000" w:rsidR="00000000" w:rsidRPr="00000000">
              <w:rPr>
                <w:rtl w:val="0"/>
              </w:rPr>
            </w:r>
          </w:p>
        </w:tc>
        <w:tc>
          <w:tcPr>
            <w:vAlign w:val="center"/>
          </w:tcPr>
          <w:p w:rsidR="00000000" w:rsidDel="00000000" w:rsidP="00000000" w:rsidRDefault="00000000" w:rsidRPr="00000000" w14:paraId="000000BC">
            <w:pPr>
              <w:jc w:val="both"/>
              <w:rPr>
                <w:sz w:val="18"/>
                <w:szCs w:val="18"/>
              </w:rPr>
            </w:pPr>
            <w:r w:rsidDel="00000000" w:rsidR="00000000" w:rsidRPr="00000000">
              <w:rPr>
                <w:color w:val="000000"/>
                <w:sz w:val="22"/>
                <w:szCs w:val="22"/>
                <w:rtl w:val="0"/>
              </w:rPr>
              <w:t xml:space="preserve">Fruit and Plants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BE">
            <w:pPr>
              <w:jc w:val="both"/>
              <w:rPr>
                <w:sz w:val="18"/>
                <w:szCs w:val="18"/>
              </w:rPr>
            </w:pPr>
            <w:r w:rsidDel="00000000" w:rsidR="00000000" w:rsidRPr="00000000">
              <w:rPr>
                <w:color w:val="000000"/>
                <w:sz w:val="22"/>
                <w:szCs w:val="22"/>
                <w:rtl w:val="0"/>
              </w:rPr>
              <w:t xml:space="preserve">High-complexity Products</w:t>
            </w:r>
            <w:r w:rsidDel="00000000" w:rsidR="00000000" w:rsidRPr="00000000">
              <w:rPr>
                <w:rtl w:val="0"/>
              </w:rPr>
            </w:r>
          </w:p>
        </w:tc>
        <w:tc>
          <w:tcPr>
            <w:vAlign w:val="center"/>
          </w:tcPr>
          <w:p w:rsidR="00000000" w:rsidDel="00000000" w:rsidP="00000000" w:rsidRDefault="00000000" w:rsidRPr="00000000" w14:paraId="000000BF">
            <w:pPr>
              <w:jc w:val="both"/>
              <w:rPr>
                <w:sz w:val="18"/>
                <w:szCs w:val="18"/>
              </w:rPr>
            </w:pPr>
            <w:r w:rsidDel="00000000" w:rsidR="00000000" w:rsidRPr="00000000">
              <w:rPr>
                <w:color w:val="000000"/>
                <w:sz w:val="22"/>
                <w:szCs w:val="22"/>
                <w:rtl w:val="0"/>
              </w:rPr>
              <w:t xml:space="preserve">Services and Utilities</w:t>
            </w:r>
            <w:r w:rsidDel="00000000" w:rsidR="00000000" w:rsidRPr="00000000">
              <w:rPr>
                <w:rtl w:val="0"/>
              </w:rPr>
            </w:r>
          </w:p>
        </w:tc>
        <w:tc>
          <w:tcPr>
            <w:vAlign w:val="center"/>
          </w:tcPr>
          <w:p w:rsidR="00000000" w:rsidDel="00000000" w:rsidP="00000000" w:rsidRDefault="00000000" w:rsidRPr="00000000" w14:paraId="000000C0">
            <w:pPr>
              <w:jc w:val="both"/>
              <w:rPr>
                <w:sz w:val="18"/>
                <w:szCs w:val="18"/>
              </w:rPr>
            </w:pPr>
            <w:r w:rsidDel="00000000" w:rsidR="00000000" w:rsidRPr="00000000">
              <w:rPr>
                <w:color w:val="000000"/>
                <w:sz w:val="22"/>
                <w:szCs w:val="22"/>
                <w:rtl w:val="0"/>
              </w:rPr>
              <w:t xml:space="preserve">Daily Instruments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C2">
            <w:pPr>
              <w:jc w:val="both"/>
              <w:rPr>
                <w:sz w:val="18"/>
                <w:szCs w:val="18"/>
              </w:rPr>
            </w:pPr>
            <w:r w:rsidDel="00000000" w:rsidR="00000000" w:rsidRPr="00000000">
              <w:rPr>
                <w:color w:val="000000"/>
                <w:sz w:val="22"/>
                <w:szCs w:val="22"/>
                <w:rtl w:val="0"/>
              </w:rPr>
              <w:t xml:space="preserve">Machinery &amp; Construction</w:t>
            </w:r>
            <w:r w:rsidDel="00000000" w:rsidR="00000000" w:rsidRPr="00000000">
              <w:rPr>
                <w:rtl w:val="0"/>
              </w:rPr>
            </w:r>
          </w:p>
        </w:tc>
        <w:tc>
          <w:tcPr>
            <w:vAlign w:val="center"/>
          </w:tcPr>
          <w:p w:rsidR="00000000" w:rsidDel="00000000" w:rsidP="00000000" w:rsidRDefault="00000000" w:rsidRPr="00000000" w14:paraId="000000C3">
            <w:pPr>
              <w:jc w:val="both"/>
              <w:rPr>
                <w:sz w:val="18"/>
                <w:szCs w:val="18"/>
              </w:rPr>
            </w:pPr>
            <w:r w:rsidDel="00000000" w:rsidR="00000000" w:rsidRPr="00000000">
              <w:rPr>
                <w:color w:val="000000"/>
                <w:sz w:val="22"/>
                <w:szCs w:val="22"/>
                <w:rtl w:val="0"/>
              </w:rPr>
              <w:t xml:space="preserve">Clothing &amp; Accessories </w:t>
            </w:r>
            <w:r w:rsidDel="00000000" w:rsidR="00000000" w:rsidRPr="00000000">
              <w:rPr>
                <w:rtl w:val="0"/>
              </w:rPr>
            </w:r>
          </w:p>
        </w:tc>
        <w:tc>
          <w:tcPr>
            <w:vAlign w:val="center"/>
          </w:tcPr>
          <w:p w:rsidR="00000000" w:rsidDel="00000000" w:rsidP="00000000" w:rsidRDefault="00000000" w:rsidRPr="00000000" w14:paraId="000000C4">
            <w:pPr>
              <w:jc w:val="both"/>
              <w:rPr>
                <w:sz w:val="18"/>
                <w:szCs w:val="18"/>
              </w:rPr>
            </w:pPr>
            <w:r w:rsidDel="00000000" w:rsidR="00000000" w:rsidRPr="00000000">
              <w:rPr>
                <w:color w:val="000000"/>
                <w:sz w:val="22"/>
                <w:szCs w:val="22"/>
                <w:rtl w:val="0"/>
              </w:rPr>
              <w:t xml:space="preserve">Clothing&amp; Accessories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C6">
            <w:pPr>
              <w:jc w:val="both"/>
              <w:rPr>
                <w:sz w:val="18"/>
                <w:szCs w:val="18"/>
              </w:rPr>
            </w:pPr>
            <w:r w:rsidDel="00000000" w:rsidR="00000000" w:rsidRPr="00000000">
              <w:rPr>
                <w:color w:val="000000"/>
                <w:sz w:val="22"/>
                <w:szCs w:val="22"/>
                <w:rtl w:val="0"/>
              </w:rPr>
              <w:t xml:space="preserve">Animals and By-products</w:t>
            </w:r>
            <w:r w:rsidDel="00000000" w:rsidR="00000000" w:rsidRPr="00000000">
              <w:rPr>
                <w:rtl w:val="0"/>
              </w:rPr>
            </w:r>
          </w:p>
        </w:tc>
        <w:tc>
          <w:tcPr>
            <w:vAlign w:val="center"/>
          </w:tcPr>
          <w:p w:rsidR="00000000" w:rsidDel="00000000" w:rsidP="00000000" w:rsidRDefault="00000000" w:rsidRPr="00000000" w14:paraId="000000C7">
            <w:pPr>
              <w:jc w:val="both"/>
              <w:rPr>
                <w:sz w:val="18"/>
                <w:szCs w:val="18"/>
              </w:rPr>
            </w:pPr>
            <w:r w:rsidDel="00000000" w:rsidR="00000000" w:rsidRPr="00000000">
              <w:rPr>
                <w:color w:val="000000"/>
                <w:sz w:val="22"/>
                <w:szCs w:val="22"/>
                <w:rtl w:val="0"/>
              </w:rPr>
              <w:t xml:space="preserve">Wood Products</w:t>
            </w:r>
            <w:r w:rsidDel="00000000" w:rsidR="00000000" w:rsidRPr="00000000">
              <w:rPr>
                <w:rtl w:val="0"/>
              </w:rPr>
            </w:r>
          </w:p>
        </w:tc>
        <w:tc>
          <w:tcPr>
            <w:vAlign w:val="center"/>
          </w:tcPr>
          <w:p w:rsidR="00000000" w:rsidDel="00000000" w:rsidP="00000000" w:rsidRDefault="00000000" w:rsidRPr="00000000" w14:paraId="000000C8">
            <w:pPr>
              <w:jc w:val="both"/>
              <w:rPr>
                <w:sz w:val="18"/>
                <w:szCs w:val="18"/>
              </w:rPr>
            </w:pPr>
            <w:r w:rsidDel="00000000" w:rsidR="00000000" w:rsidRPr="00000000">
              <w:rPr>
                <w:color w:val="000000"/>
                <w:sz w:val="22"/>
                <w:szCs w:val="22"/>
                <w:rtl w:val="0"/>
              </w:rPr>
              <w:t xml:space="preserve">Transportation</w:t>
            </w:r>
            <w:r w:rsidDel="00000000" w:rsidR="00000000" w:rsidRPr="00000000">
              <w:rPr>
                <w:rtl w:val="0"/>
              </w:rPr>
            </w:r>
          </w:p>
        </w:tc>
      </w:tr>
    </w:tbl>
    <w:p w:rsidR="00000000" w:rsidDel="00000000" w:rsidP="00000000" w:rsidRDefault="00000000" w:rsidRPr="00000000" w14:paraId="000000C9">
      <w:pPr>
        <w:jc w:val="center"/>
        <w:rPr>
          <w:sz w:val="22"/>
          <w:szCs w:val="22"/>
        </w:rPr>
      </w:pPr>
      <w:r w:rsidDel="00000000" w:rsidR="00000000" w:rsidRPr="00000000">
        <w:rPr>
          <w:sz w:val="22"/>
          <w:szCs w:val="22"/>
          <w:rtl w:val="0"/>
        </w:rPr>
        <w:t xml:space="preserve">Table 4a. RID Comparison across Leading Economies (2022)</w:t>
      </w:r>
    </w:p>
    <w:p w:rsidR="00000000" w:rsidDel="00000000" w:rsidP="00000000" w:rsidRDefault="00000000" w:rsidRPr="00000000" w14:paraId="000000CA">
      <w:pPr>
        <w:jc w:val="center"/>
        <w:rPr/>
      </w:pPr>
      <w:r w:rsidDel="00000000" w:rsidR="00000000" w:rsidRPr="00000000">
        <w:rPr>
          <w:rtl w:val="0"/>
        </w:rPr>
      </w:r>
    </w:p>
    <w:p w:rsidR="00000000" w:rsidDel="00000000" w:rsidP="00000000" w:rsidRDefault="00000000" w:rsidRPr="00000000" w14:paraId="000000CB">
      <w:pPr>
        <w:jc w:val="center"/>
        <w:rPr>
          <w:sz w:val="22"/>
          <w:szCs w:val="22"/>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Table 4b further examines New Zealand’s development strategy against those of emerging economies on a global scale. Reasonably, emerging economies such as China and Singapore have devoted the majority of their efforts to intermediate industry groups, showing moderate shifts in strategies over the course of three years.</w:t>
      </w:r>
    </w:p>
    <w:p w:rsidR="00000000" w:rsidDel="00000000" w:rsidP="00000000" w:rsidRDefault="00000000" w:rsidRPr="00000000" w14:paraId="000000CD">
      <w:pPr>
        <w:jc w:val="both"/>
        <w:rPr/>
      </w:pPr>
      <w:r w:rsidDel="00000000" w:rsidR="00000000" w:rsidRPr="00000000">
        <w:rPr>
          <w:rtl w:val="0"/>
        </w:rPr>
      </w:r>
    </w:p>
    <w:tbl>
      <w:tblPr>
        <w:tblStyle w:val="Table6"/>
        <w:tblW w:w="6515.999999999999" w:type="dxa"/>
        <w:jc w:val="center"/>
        <w:tblLayout w:type="fixed"/>
        <w:tblLook w:val="04A0"/>
      </w:tblPr>
      <w:tblGrid>
        <w:gridCol w:w="1122"/>
        <w:gridCol w:w="2842"/>
        <w:gridCol w:w="2552"/>
        <w:tblGridChange w:id="0">
          <w:tblGrid>
            <w:gridCol w:w="1122"/>
            <w:gridCol w:w="2842"/>
            <w:gridCol w:w="2552"/>
          </w:tblGrid>
        </w:tblGridChange>
      </w:tblGrid>
      <w:tr>
        <w:trPr>
          <w:cantSplit w:val="0"/>
          <w:trHeight w:val="135" w:hRule="atLeast"/>
          <w:tblHeader w:val="0"/>
        </w:trPr>
        <w:tc>
          <w:tcPr/>
          <w:p w:rsidR="00000000" w:rsidDel="00000000" w:rsidP="00000000" w:rsidRDefault="00000000" w:rsidRPr="00000000" w14:paraId="000000CE">
            <w:pPr>
              <w:jc w:val="both"/>
              <w:rPr/>
            </w:pPr>
            <w:r w:rsidDel="00000000" w:rsidR="00000000" w:rsidRPr="00000000">
              <w:rPr>
                <w:rtl w:val="0"/>
              </w:rPr>
              <w:t xml:space="preserve">Ranking</w:t>
            </w:r>
          </w:p>
        </w:tc>
        <w:tc>
          <w:tcPr/>
          <w:p w:rsidR="00000000" w:rsidDel="00000000" w:rsidP="00000000" w:rsidRDefault="00000000" w:rsidRPr="00000000" w14:paraId="000000CF">
            <w:pPr>
              <w:jc w:val="both"/>
              <w:rPr/>
            </w:pPr>
            <w:r w:rsidDel="00000000" w:rsidR="00000000" w:rsidRPr="00000000">
              <w:rPr>
                <w:rtl w:val="0"/>
              </w:rPr>
              <w:t xml:space="preserve">China</w:t>
            </w:r>
          </w:p>
        </w:tc>
        <w:tc>
          <w:tcPr/>
          <w:p w:rsidR="00000000" w:rsidDel="00000000" w:rsidP="00000000" w:rsidRDefault="00000000" w:rsidRPr="00000000" w14:paraId="000000D0">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0D1">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D2">
            <w:pPr>
              <w:jc w:val="both"/>
              <w:rPr>
                <w:color w:val="000000"/>
                <w:sz w:val="22"/>
                <w:szCs w:val="22"/>
              </w:rPr>
            </w:pPr>
            <w:r w:rsidDel="00000000" w:rsidR="00000000" w:rsidRPr="00000000">
              <w:rPr>
                <w:color w:val="000000"/>
                <w:sz w:val="22"/>
                <w:szCs w:val="22"/>
                <w:rtl w:val="0"/>
              </w:rPr>
              <w:t xml:space="preserve">Chemicals</w:t>
            </w:r>
          </w:p>
        </w:tc>
        <w:tc>
          <w:tcPr>
            <w:vAlign w:val="bottom"/>
          </w:tcPr>
          <w:p w:rsidR="00000000" w:rsidDel="00000000" w:rsidP="00000000" w:rsidRDefault="00000000" w:rsidRPr="00000000" w14:paraId="000000D3">
            <w:pPr>
              <w:jc w:val="both"/>
              <w:rPr>
                <w:color w:val="000000"/>
                <w:sz w:val="22"/>
                <w:szCs w:val="22"/>
              </w:rPr>
            </w:pPr>
            <w:r w:rsidDel="00000000" w:rsidR="00000000" w:rsidRPr="00000000">
              <w:rPr>
                <w:color w:val="000000"/>
                <w:sz w:val="22"/>
                <w:szCs w:val="22"/>
                <w:rtl w:val="0"/>
              </w:rPr>
              <w:t xml:space="preserve">Transportation</w:t>
            </w:r>
          </w:p>
        </w:tc>
      </w:tr>
      <w:tr>
        <w:trPr>
          <w:cantSplit w:val="0"/>
          <w:trHeight w:val="275.00000000000006" w:hRule="atLeast"/>
          <w:tblHeader w:val="0"/>
        </w:trPr>
        <w:tc>
          <w:tcPr>
            <w:shd w:fill="ffffff" w:val="clear"/>
          </w:tcPr>
          <w:p w:rsidR="00000000" w:rsidDel="00000000" w:rsidP="00000000" w:rsidRDefault="00000000" w:rsidRPr="00000000" w14:paraId="000000D4">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D5">
            <w:pPr>
              <w:jc w:val="both"/>
              <w:rPr>
                <w:color w:val="000000"/>
                <w:sz w:val="22"/>
                <w:szCs w:val="22"/>
              </w:rPr>
            </w:pPr>
            <w:r w:rsidDel="00000000" w:rsidR="00000000" w:rsidRPr="00000000">
              <w:rPr>
                <w:color w:val="000000"/>
                <w:sz w:val="22"/>
                <w:szCs w:val="22"/>
                <w:rtl w:val="0"/>
              </w:rPr>
              <w:t xml:space="preserve">Daily Instruments</w:t>
            </w:r>
          </w:p>
        </w:tc>
        <w:tc>
          <w:tcPr>
            <w:vAlign w:val="bottom"/>
          </w:tcPr>
          <w:p w:rsidR="00000000" w:rsidDel="00000000" w:rsidP="00000000" w:rsidRDefault="00000000" w:rsidRPr="00000000" w14:paraId="000000D6">
            <w:pPr>
              <w:jc w:val="both"/>
              <w:rPr>
                <w:color w:val="000000"/>
                <w:sz w:val="22"/>
                <w:szCs w:val="22"/>
              </w:rPr>
            </w:pPr>
            <w:r w:rsidDel="00000000" w:rsidR="00000000" w:rsidRPr="00000000">
              <w:rPr>
                <w:color w:val="000000"/>
                <w:sz w:val="22"/>
                <w:szCs w:val="22"/>
                <w:rtl w:val="0"/>
              </w:rPr>
              <w:t xml:space="preserve">High-complexity Products</w:t>
            </w:r>
          </w:p>
        </w:tc>
      </w:tr>
      <w:tr>
        <w:trPr>
          <w:cantSplit w:val="0"/>
          <w:trHeight w:val="275.00000000000006" w:hRule="atLeast"/>
          <w:tblHeader w:val="0"/>
        </w:trPr>
        <w:tc>
          <w:tcPr/>
          <w:p w:rsidR="00000000" w:rsidDel="00000000" w:rsidP="00000000" w:rsidRDefault="00000000" w:rsidRPr="00000000" w14:paraId="000000D7">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D8">
            <w:pPr>
              <w:jc w:val="both"/>
              <w:rPr>
                <w:color w:val="000000"/>
                <w:sz w:val="22"/>
                <w:szCs w:val="22"/>
              </w:rPr>
            </w:pPr>
            <w:r w:rsidDel="00000000" w:rsidR="00000000" w:rsidRPr="00000000">
              <w:rPr>
                <w:color w:val="000000"/>
                <w:sz w:val="22"/>
                <w:szCs w:val="22"/>
                <w:rtl w:val="0"/>
              </w:rPr>
              <w:t xml:space="preserve">Transportation</w:t>
            </w:r>
          </w:p>
        </w:tc>
        <w:tc>
          <w:tcPr>
            <w:vAlign w:val="bottom"/>
          </w:tcPr>
          <w:p w:rsidR="00000000" w:rsidDel="00000000" w:rsidP="00000000" w:rsidRDefault="00000000" w:rsidRPr="00000000" w14:paraId="000000D9">
            <w:pPr>
              <w:jc w:val="both"/>
              <w:rPr>
                <w:color w:val="000000"/>
                <w:sz w:val="22"/>
                <w:szCs w:val="22"/>
              </w:rPr>
            </w:pPr>
            <w:r w:rsidDel="00000000" w:rsidR="00000000" w:rsidRPr="00000000">
              <w:rPr>
                <w:color w:val="000000"/>
                <w:sz w:val="22"/>
                <w:szCs w:val="22"/>
                <w:rtl w:val="0"/>
              </w:rPr>
              <w:t xml:space="preserve">Energy Drilling &amp; Mining</w:t>
            </w:r>
          </w:p>
        </w:tc>
      </w:tr>
      <w:tr>
        <w:trPr>
          <w:cantSplit w:val="0"/>
          <w:trHeight w:val="60" w:hRule="atLeast"/>
          <w:tblHeader w:val="0"/>
        </w:trPr>
        <w:tc>
          <w:tcPr/>
          <w:p w:rsidR="00000000" w:rsidDel="00000000" w:rsidP="00000000" w:rsidRDefault="00000000" w:rsidRPr="00000000" w14:paraId="000000DA">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DB">
            <w:pPr>
              <w:jc w:val="both"/>
              <w:rPr>
                <w:color w:val="000000"/>
                <w:sz w:val="22"/>
                <w:szCs w:val="22"/>
              </w:rPr>
            </w:pPr>
            <w:r w:rsidDel="00000000" w:rsidR="00000000" w:rsidRPr="00000000">
              <w:rPr>
                <w:color w:val="000000"/>
                <w:sz w:val="22"/>
                <w:szCs w:val="22"/>
                <w:rtl w:val="0"/>
              </w:rPr>
              <w:t xml:space="preserve">Raw Manufacturing</w:t>
            </w:r>
          </w:p>
        </w:tc>
        <w:tc>
          <w:tcPr>
            <w:vAlign w:val="bottom"/>
          </w:tcPr>
          <w:p w:rsidR="00000000" w:rsidDel="00000000" w:rsidP="00000000" w:rsidRDefault="00000000" w:rsidRPr="00000000" w14:paraId="000000DC">
            <w:pPr>
              <w:jc w:val="both"/>
              <w:rPr>
                <w:color w:val="000000"/>
                <w:sz w:val="22"/>
                <w:szCs w:val="22"/>
              </w:rPr>
            </w:pPr>
            <w:r w:rsidDel="00000000" w:rsidR="00000000" w:rsidRPr="00000000">
              <w:rPr>
                <w:color w:val="000000"/>
                <w:sz w:val="22"/>
                <w:szCs w:val="22"/>
                <w:rtl w:val="0"/>
              </w:rPr>
              <w:t xml:space="preserve">Machinery&amp; Construction</w:t>
            </w:r>
          </w:p>
        </w:tc>
      </w:tr>
      <w:tr>
        <w:trPr>
          <w:cantSplit w:val="0"/>
          <w:tblHeader w:val="0"/>
        </w:trPr>
        <w:tc>
          <w:tcPr/>
          <w:p w:rsidR="00000000" w:rsidDel="00000000" w:rsidP="00000000" w:rsidRDefault="00000000" w:rsidRPr="00000000" w14:paraId="000000DD">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DE">
            <w:pPr>
              <w:jc w:val="both"/>
              <w:rPr>
                <w:color w:val="000000"/>
                <w:sz w:val="22"/>
                <w:szCs w:val="22"/>
              </w:rPr>
            </w:pPr>
            <w:r w:rsidDel="00000000" w:rsidR="00000000" w:rsidRPr="00000000">
              <w:rPr>
                <w:color w:val="000000"/>
                <w:sz w:val="22"/>
                <w:szCs w:val="22"/>
                <w:rtl w:val="0"/>
              </w:rPr>
              <w:t xml:space="preserve">Weapons</w:t>
            </w:r>
          </w:p>
        </w:tc>
        <w:tc>
          <w:tcPr>
            <w:vAlign w:val="bottom"/>
          </w:tcPr>
          <w:p w:rsidR="00000000" w:rsidDel="00000000" w:rsidP="00000000" w:rsidRDefault="00000000" w:rsidRPr="00000000" w14:paraId="000000DF">
            <w:pPr>
              <w:jc w:val="both"/>
              <w:rPr>
                <w:color w:val="000000"/>
                <w:sz w:val="22"/>
                <w:szCs w:val="22"/>
              </w:rPr>
            </w:pPr>
            <w:r w:rsidDel="00000000" w:rsidR="00000000" w:rsidRPr="00000000">
              <w:rPr>
                <w:color w:val="000000"/>
                <w:sz w:val="22"/>
                <w:szCs w:val="22"/>
                <w:rtl w:val="0"/>
              </w:rPr>
              <w:t xml:space="preserve">Chemical Manufacturing</w:t>
            </w:r>
          </w:p>
        </w:tc>
      </w:tr>
    </w:tbl>
    <w:p w:rsidR="00000000" w:rsidDel="00000000" w:rsidP="00000000" w:rsidRDefault="00000000" w:rsidRPr="00000000" w14:paraId="000000E0">
      <w:pPr>
        <w:jc w:val="center"/>
        <w:rPr/>
      </w:pPr>
      <w:r w:rsidDel="00000000" w:rsidR="00000000" w:rsidRPr="00000000">
        <w:rPr>
          <w:sz w:val="22"/>
          <w:szCs w:val="22"/>
          <w:rtl w:val="0"/>
        </w:rPr>
        <w:t xml:space="preserve">Table 4b. RID Comparison across Emerging Economies (2022)</w:t>
      </w:r>
      <w:r w:rsidDel="00000000" w:rsidR="00000000" w:rsidRPr="00000000">
        <w:rPr>
          <w:rtl w:val="0"/>
        </w:rPr>
      </w:r>
    </w:p>
    <w:p w:rsidR="00000000" w:rsidDel="00000000" w:rsidP="00000000" w:rsidRDefault="00000000" w:rsidRPr="00000000" w14:paraId="000000E1">
      <w:pPr>
        <w:jc w:val="center"/>
        <w:rPr/>
      </w:pPr>
      <w:r w:rsidDel="00000000" w:rsidR="00000000" w:rsidRPr="00000000">
        <w:rPr>
          <w:rtl w:val="0"/>
        </w:rPr>
      </w:r>
    </w:p>
    <w:p w:rsidR="00000000" w:rsidDel="00000000" w:rsidP="00000000" w:rsidRDefault="00000000" w:rsidRPr="00000000" w14:paraId="000000E2">
      <w:pPr>
        <w:pageBreakBefore w:val="0"/>
        <w:jc w:val="center"/>
        <w:rPr>
          <w:sz w:val="22"/>
          <w:szCs w:val="22"/>
        </w:rPr>
      </w:pPr>
      <w:r w:rsidDel="00000000" w:rsidR="00000000" w:rsidRPr="00000000">
        <w:rPr>
          <w:rtl w:val="0"/>
        </w:rPr>
      </w:r>
    </w:p>
    <w:p w:rsidR="00000000" w:rsidDel="00000000" w:rsidP="00000000" w:rsidRDefault="00000000" w:rsidRPr="00000000" w14:paraId="000000E3">
      <w:pPr>
        <w:pageBreakBefore w:val="0"/>
        <w:jc w:val="both"/>
        <w:rPr/>
      </w:pPr>
      <w:r w:rsidDel="00000000" w:rsidR="00000000" w:rsidRPr="00000000">
        <w:rPr>
          <w:rtl w:val="0"/>
        </w:rPr>
      </w:r>
    </w:p>
    <w:p w:rsidR="00000000" w:rsidDel="00000000" w:rsidP="00000000" w:rsidRDefault="00000000" w:rsidRPr="00000000" w14:paraId="000000E4">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5">
      <w:pPr>
        <w:pageBreakBefore w:val="0"/>
        <w:jc w:val="both"/>
        <w:rPr>
          <w:b w:val="1"/>
          <w:bCs w:val="1"/>
        </w:rPr>
      </w:pPr>
      <w:r w:rsidDel="00000000" w:rsidR="00000000" w:rsidRPr="00000000">
        <w:rPr>
          <w:rtl w:val="0"/>
        </w:rPr>
      </w:r>
    </w:p>
    <w:p w:rsidR="00000000" w:rsidDel="00000000" w:rsidP="00000000" w:rsidRDefault="00000000" w:rsidRPr="00000000" w14:paraId="000000E6">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E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9">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EA">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0EB">
      <w:pPr>
        <w:pageBreakBefore w:val="0"/>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Fonts w:ascii="Times" w:cs="Times" w:eastAsia="Times" w:hAnsi="Times"/>
          <w:b w:val="1"/>
          <w:bCs w:val="1"/>
          <w:sz w:val="28"/>
          <w:szCs w:val="28"/>
        </w:rPr>
        <w:drawing>
          <wp:inline distB="114300" distT="114300" distL="114300" distR="114300">
            <wp:extent cx="5731200" cy="2374900"/>
            <wp:effectExtent b="0" l="0" r="0" t="0"/>
            <wp:docPr id="12"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jc w:val="center"/>
        <w:rPr/>
      </w:pPr>
      <w:r w:rsidDel="00000000" w:rsidR="00000000" w:rsidRPr="00000000">
        <w:rPr>
          <w:sz w:val="22"/>
          <w:szCs w:val="22"/>
          <w:rtl w:val="0"/>
        </w:rPr>
        <w:t xml:space="preserve">Table 5. Opportunity Gain Ranking on a Comparable Scale (2022)</w:t>
      </w:r>
      <w:r w:rsidDel="00000000" w:rsidR="00000000" w:rsidRPr="00000000">
        <w:rPr>
          <w:rtl w:val="0"/>
        </w:rPr>
      </w:r>
    </w:p>
    <w:p w:rsidR="00000000" w:rsidDel="00000000" w:rsidP="00000000" w:rsidRDefault="00000000" w:rsidRPr="00000000" w14:paraId="000000EE">
      <w:pPr>
        <w:pageBreakBefore w:val="0"/>
        <w:jc w:val="center"/>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t xml:space="preserve">We define the ranking of opportunity gain for a country c, as the Suggested Development Vector (SDV) of c. Table 5 summarize how the SDV of New Zealand compares with a selected group of comparable and leading economies in the world, with the industry groups ranked in decreasing order of significance. </w:t>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t xml:space="preserve">Dark blue indicates positive opportunity gains,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High-complexity Products and Services and Utilities industries. It can be concluded that New Zealand shares the characteristics of developing countries, with a balanced economic structure that leans towards more complex industries. Although it’s ECI has increased over the past four years, there remains significant room for improvement. </w:t>
      </w:r>
    </w:p>
    <w:p w:rsidR="00000000" w:rsidDel="00000000" w:rsidP="00000000" w:rsidRDefault="00000000" w:rsidRPr="00000000" w14:paraId="000000F2">
      <w:pPr>
        <w:jc w:val="both"/>
        <w:rPr/>
      </w:pPr>
      <w:r w:rsidDel="00000000" w:rsidR="00000000" w:rsidRPr="00000000">
        <w:rPr/>
        <w:drawing>
          <wp:inline distB="114300" distT="114300" distL="114300" distR="114300">
            <wp:extent cx="5731200" cy="2273300"/>
            <wp:effectExtent b="0" l="0" r="0" t="0"/>
            <wp:docPr id="13"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center"/>
        <w:rPr>
          <w:sz w:val="22"/>
          <w:szCs w:val="22"/>
        </w:rPr>
      </w:pPr>
      <w:r w:rsidDel="00000000" w:rsidR="00000000" w:rsidRPr="00000000">
        <w:rPr>
          <w:sz w:val="22"/>
          <w:szCs w:val="22"/>
          <w:rtl w:val="0"/>
        </w:rPr>
        <w:t xml:space="preserve">Table 6. SDV of Other Sample Countries (2013)</w:t>
      </w:r>
    </w:p>
    <w:p w:rsidR="00000000" w:rsidDel="00000000" w:rsidP="00000000" w:rsidRDefault="00000000" w:rsidRPr="00000000" w14:paraId="000000F4">
      <w:pPr>
        <w:pageBreakBefore w:val="0"/>
        <w:jc w:val="center"/>
        <w:rPr/>
      </w:pPr>
      <w:r w:rsidDel="00000000" w:rsidR="00000000" w:rsidRPr="00000000">
        <w:rPr>
          <w:rtl w:val="0"/>
        </w:rPr>
      </w:r>
    </w:p>
    <w:p w:rsidR="00000000" w:rsidDel="00000000" w:rsidP="00000000" w:rsidRDefault="00000000" w:rsidRPr="00000000" w14:paraId="000000F5">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0F6">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F7">
      <w:pPr>
        <w:pageBreakBefore w:val="0"/>
        <w:jc w:val="both"/>
        <w:rPr/>
      </w:pPr>
      <w:r w:rsidDel="00000000" w:rsidR="00000000" w:rsidRPr="00000000">
        <w:rPr>
          <w:rtl w:val="0"/>
        </w:rPr>
      </w:r>
    </w:p>
    <w:p w:rsidR="00000000" w:rsidDel="00000000" w:rsidP="00000000" w:rsidRDefault="00000000" w:rsidRPr="00000000" w14:paraId="000000F8">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pageBreakBefore w:val="0"/>
        <w:jc w:val="center"/>
        <w:rPr/>
      </w:pPr>
      <w:r w:rsidDel="00000000" w:rsidR="00000000" w:rsidRPr="00000000">
        <w:rPr>
          <w:rtl w:val="0"/>
        </w:rPr>
      </w:r>
    </w:p>
    <w:p w:rsidR="00000000" w:rsidDel="00000000" w:rsidP="00000000" w:rsidRDefault="00000000" w:rsidRPr="00000000" w14:paraId="000000FA">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0FB">
      <w:pPr>
        <w:pageBreakBefore w:val="0"/>
        <w:jc w:val="both"/>
        <w:rPr/>
      </w:pPr>
      <w:r w:rsidDel="00000000" w:rsidR="00000000" w:rsidRPr="00000000">
        <w:rPr>
          <w:rtl w:val="0"/>
        </w:rPr>
        <w:t xml:space="preserve"> </w:t>
      </w:r>
    </w:p>
    <w:p w:rsidR="00000000" w:rsidDel="00000000" w:rsidP="00000000" w:rsidRDefault="00000000" w:rsidRPr="00000000" w14:paraId="000000FC">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0FD">
      <w:pPr>
        <w:pageBreakBefore w:val="0"/>
        <w:jc w:val="both"/>
        <w:rPr/>
      </w:pPr>
      <w:r w:rsidDel="00000000" w:rsidR="00000000" w:rsidRPr="00000000">
        <w:rPr>
          <w:rtl w:val="0"/>
        </w:rPr>
        <w:t xml:space="preserve"> </w:t>
      </w:r>
    </w:p>
    <w:p w:rsidR="00000000" w:rsidDel="00000000" w:rsidP="00000000" w:rsidRDefault="00000000" w:rsidRPr="00000000" w14:paraId="000000FE">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FF">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01">
      <w:pPr>
        <w:pageBreakBefore w:val="0"/>
        <w:rPr/>
      </w:pPr>
      <w:r w:rsidDel="00000000" w:rsidR="00000000" w:rsidRPr="00000000">
        <w:rPr>
          <w:rtl w:val="0"/>
        </w:rPr>
      </w:r>
    </w:p>
    <w:p w:rsidR="00000000" w:rsidDel="00000000" w:rsidP="00000000" w:rsidRDefault="00000000" w:rsidRPr="00000000" w14:paraId="00000102">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03">
      <w:pPr>
        <w:pageBreakBefore w:val="0"/>
        <w:rPr/>
      </w:pPr>
      <w:r w:rsidDel="00000000" w:rsidR="00000000" w:rsidRPr="00000000">
        <w:rPr>
          <w:rtl w:val="0"/>
        </w:rPr>
        <w:t xml:space="preserve"> </w:t>
      </w:r>
    </w:p>
    <w:p w:rsidR="00000000" w:rsidDel="00000000" w:rsidP="00000000" w:rsidRDefault="00000000" w:rsidRPr="00000000" w14:paraId="00000104">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107">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pageBreakBefore w:val="0"/>
        <w:jc w:val="both"/>
        <w:rPr>
          <w:b w:val="1"/>
          <w:bCs w:val="1"/>
        </w:rPr>
      </w:pPr>
      <w:r w:rsidDel="00000000" w:rsidR="00000000" w:rsidRPr="00000000">
        <w:rPr>
          <w:rtl w:val="0"/>
        </w:rPr>
      </w:r>
    </w:p>
    <w:p w:rsidR="00000000" w:rsidDel="00000000" w:rsidP="00000000" w:rsidRDefault="00000000" w:rsidRPr="00000000" w14:paraId="0000010A">
      <w:pPr>
        <w:pageBreakBefore w:val="0"/>
        <w:jc w:val="both"/>
        <w:rPr>
          <w:b w:val="1"/>
          <w:bCs w:val="1"/>
        </w:rPr>
      </w:pPr>
      <w:r w:rsidDel="00000000" w:rsidR="00000000" w:rsidRPr="00000000">
        <w:rPr>
          <w:rtl w:val="0"/>
        </w:rPr>
      </w:r>
    </w:p>
    <w:p w:rsidR="00000000" w:rsidDel="00000000" w:rsidP="00000000" w:rsidRDefault="00000000" w:rsidRPr="00000000" w14:paraId="0000010B">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0C">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10D">
      <w:pPr>
        <w:pageBreakBefore w:val="0"/>
        <w:jc w:val="both"/>
        <w:rPr/>
      </w:pPr>
      <w:r w:rsidDel="00000000" w:rsidR="00000000" w:rsidRPr="00000000">
        <w:rPr>
          <w:rtl w:val="0"/>
        </w:rPr>
      </w:r>
    </w:p>
    <w:tbl>
      <w:tblPr>
        <w:tblStyle w:val="Table7"/>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0E">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0F">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34">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135">
      <w:pPr>
        <w:pageBreakBefore w:val="0"/>
        <w:jc w:val="center"/>
        <w:rPr/>
      </w:pPr>
      <w:r w:rsidDel="00000000" w:rsidR="00000000" w:rsidRPr="00000000">
        <w:rPr>
          <w:rtl w:val="0"/>
        </w:rPr>
      </w:r>
    </w:p>
    <w:p w:rsidR="00000000" w:rsidDel="00000000" w:rsidP="00000000" w:rsidRDefault="00000000" w:rsidRPr="00000000" w14:paraId="00000136">
      <w:pPr>
        <w:pageBreakBefore w:val="0"/>
        <w:jc w:val="both"/>
        <w:rPr/>
      </w:pPr>
      <w:r w:rsidDel="00000000" w:rsidR="00000000" w:rsidRPr="00000000">
        <w:rPr>
          <w:rtl w:val="0"/>
        </w:rPr>
        <w:t xml:space="preserve">Figure 4 shows an</w:t>
      </w:r>
      <w:r w:rsidDel="00000000" w:rsidR="00000000" w:rsidRPr="00000000">
        <w:rPr>
          <w:rtl w:val="0"/>
        </w:rPr>
        <w:t xml:space="preserve"> economic panel fo</w:t>
      </w:r>
      <w:r w:rsidDel="00000000" w:rsidR="00000000" w:rsidRPr="00000000">
        <w:rPr>
          <w:rtl w:val="0"/>
        </w:rPr>
        <w:t xml:space="preserve">r New Zealand in 2022. We can see that for different percentages of heuristic total export growth, the ECIs of New Zealand have different increments, although relatively consistent with Energy Drilling and Mining and Precious Stones composing 100% of the Growth Optimization Result, and Energy Drilling and Mining accounting for greater than 50% for all increments in 2022.</w:t>
      </w:r>
    </w:p>
    <w:p w:rsidR="00000000" w:rsidDel="00000000" w:rsidP="00000000" w:rsidRDefault="00000000" w:rsidRPr="00000000" w14:paraId="00000137">
      <w:pPr>
        <w:pageBreakBefore w:val="0"/>
        <w:jc w:val="both"/>
        <w:rPr/>
      </w:pPr>
      <w:r w:rsidDel="00000000" w:rsidR="00000000" w:rsidRPr="00000000">
        <w:rPr>
          <w:rtl w:val="0"/>
        </w:rPr>
        <w:t xml:space="preserve"> </w:t>
      </w:r>
    </w:p>
    <w:p w:rsidR="00000000" w:rsidDel="00000000" w:rsidP="00000000" w:rsidRDefault="00000000" w:rsidRPr="00000000" w14:paraId="00000138">
      <w:pPr>
        <w:pageBreakBefore w:val="0"/>
        <w:jc w:val="both"/>
        <w:rPr/>
      </w:pPr>
      <w:r w:rsidDel="00000000" w:rsidR="00000000" w:rsidRPr="00000000">
        <w:rPr>
          <w:rtl w:val="0"/>
        </w:rPr>
        <w:t xml:space="preserve">A more detailed numerical representation of the portfolio is shown in Table 8a. The increased ECI row suggests that 15% and 20% yield a higher increased ECI value than 5% and 10%, which means that New Zealand should focus on 15% and 20%. Thus, for optimal development, New Zealand should invest firstly in Energy Drilling and Mining, followed by Precious Stones.</w:t>
      </w:r>
    </w:p>
    <w:p w:rsidR="00000000" w:rsidDel="00000000" w:rsidP="00000000" w:rsidRDefault="00000000" w:rsidRPr="00000000" w14:paraId="00000139">
      <w:pPr>
        <w:pageBreakBefore w:val="0"/>
        <w:jc w:val="both"/>
        <w:rPr/>
      </w:pPr>
      <w:r w:rsidDel="00000000" w:rsidR="00000000" w:rsidRPr="00000000">
        <w:rPr/>
        <w:drawing>
          <wp:inline distB="114300" distT="114300" distL="114300" distR="114300">
            <wp:extent cx="5731200" cy="2870200"/>
            <wp:effectExtent b="0" l="0" r="0" t="0"/>
            <wp:docPr id="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jc w:val="both"/>
        <w:rPr>
          <w:b w:val="0"/>
          <w:bCs w:val="0"/>
          <w:i w:val="1"/>
          <w:iCs w:val="1"/>
          <w:color w:val="444499"/>
          <w:sz w:val="20"/>
          <w:szCs w:val="20"/>
        </w:rPr>
      </w:pPr>
      <w:r w:rsidDel="00000000" w:rsidR="00000000" w:rsidRPr="00000000">
        <w:rPr/>
        <w:drawing>
          <wp:inline distB="114300" distT="114300" distL="114300" distR="114300">
            <wp:extent cx="5731200" cy="2159000"/>
            <wp:effectExtent b="0" l="0" r="0" t="0"/>
            <wp:docPr id="1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ageBreakBefore w:val="0"/>
        <w:jc w:val="both"/>
        <w:rPr/>
      </w:pPr>
      <w:r w:rsidDel="00000000" w:rsidR="00000000" w:rsidRPr="00000000">
        <w:rPr>
          <w:rtl w:val="0"/>
        </w:rPr>
      </w:r>
    </w:p>
    <w:p w:rsidR="00000000" w:rsidDel="00000000" w:rsidP="00000000" w:rsidRDefault="00000000" w:rsidRPr="00000000" w14:paraId="0000013C">
      <w:pPr>
        <w:pageBreakBefore w:val="0"/>
        <w:jc w:val="center"/>
        <w:rPr>
          <w:sz w:val="22"/>
          <w:szCs w:val="22"/>
        </w:rPr>
      </w:pPr>
      <w:r w:rsidDel="00000000" w:rsidR="00000000" w:rsidRPr="00000000">
        <w:rPr>
          <w:sz w:val="22"/>
          <w:szCs w:val="22"/>
          <w:rtl w:val="0"/>
        </w:rPr>
        <w:t xml:space="preserve">Figure 4a. Greedy-Based ECI Improvement Results of New Zealand with Different Budgets (2022)</w:t>
      </w:r>
    </w:p>
    <w:p w:rsidR="00000000" w:rsidDel="00000000" w:rsidP="00000000" w:rsidRDefault="00000000" w:rsidRPr="00000000" w14:paraId="0000013D">
      <w:pPr>
        <w:jc w:val="center"/>
        <w:rPr/>
      </w:pPr>
      <w:r w:rsidDel="00000000" w:rsidR="00000000" w:rsidRPr="00000000">
        <w:rPr>
          <w:rtl w:val="0"/>
        </w:rPr>
      </w:r>
    </w:p>
    <w:tbl>
      <w:tblPr>
        <w:tblStyle w:val="Table8"/>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13E">
            <w:pPr>
              <w:jc w:val="center"/>
              <w:rPr>
                <w:sz w:val="20"/>
                <w:szCs w:val="20"/>
              </w:rPr>
            </w:pPr>
            <w:r w:rsidDel="00000000" w:rsidR="00000000" w:rsidRPr="00000000">
              <w:rPr>
                <w:b w:val="1"/>
                <w:bCs w:val="1"/>
                <w:sz w:val="20"/>
                <w:szCs w:val="20"/>
                <w:rtl w:val="0"/>
              </w:rPr>
              <w:t xml:space="preserve">New Zealand (2022)</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43">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44">
            <w:pPr>
              <w:jc w:val="center"/>
              <w:rPr>
                <w:sz w:val="20"/>
                <w:szCs w:val="20"/>
              </w:rPr>
            </w:pPr>
            <w:r w:rsidDel="00000000" w:rsidR="00000000" w:rsidRPr="00000000">
              <w:rPr>
                <w:b w:val="1"/>
                <w:bCs w:val="1"/>
                <w:sz w:val="20"/>
                <w:szCs w:val="20"/>
                <w:rtl w:val="0"/>
              </w:rPr>
              <w:t xml:space="preserve">[V]</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48">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49">
            <w:pPr>
              <w:widowControl w:val="0"/>
              <w:spacing w:line="276" w:lineRule="auto"/>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4A">
            <w:pPr>
              <w:widowControl w:val="0"/>
              <w:spacing w:line="276" w:lineRule="auto"/>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4B">
            <w:pPr>
              <w:widowControl w:val="0"/>
              <w:spacing w:line="276" w:lineRule="auto"/>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4C">
            <w:pPr>
              <w:widowControl w:val="0"/>
              <w:spacing w:line="276" w:lineRule="auto"/>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Energy Drilling &amp; Mining</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4E">
            <w:pPr>
              <w:widowControl w:val="0"/>
              <w:jc w:val="center"/>
              <w:rPr>
                <w:sz w:val="20"/>
                <w:szCs w:val="20"/>
              </w:rPr>
            </w:pPr>
            <w:r w:rsidDel="00000000" w:rsidR="00000000" w:rsidRPr="00000000">
              <w:rPr>
                <w:sz w:val="20"/>
                <w:szCs w:val="20"/>
                <w:rtl w:val="0"/>
              </w:rPr>
              <w:t xml:space="preserve">1.35E+09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3.65E+09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0">
            <w:pPr>
              <w:widowControl w:val="0"/>
              <w:spacing w:line="276" w:lineRule="auto"/>
              <w:rPr>
                <w:sz w:val="18"/>
                <w:szCs w:val="18"/>
              </w:rPr>
            </w:pPr>
            <w:r w:rsidDel="00000000" w:rsidR="00000000" w:rsidRPr="00000000">
              <w:rPr>
                <w:sz w:val="18"/>
                <w:szCs w:val="18"/>
                <w:rtl w:val="0"/>
              </w:rPr>
              <w:t xml:space="preserve">6.66E+09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1">
            <w:pPr>
              <w:widowControl w:val="0"/>
              <w:spacing w:line="276" w:lineRule="auto"/>
              <w:rPr>
                <w:sz w:val="18"/>
                <w:szCs w:val="18"/>
              </w:rPr>
            </w:pPr>
            <w:r w:rsidDel="00000000" w:rsidR="00000000" w:rsidRPr="00000000">
              <w:rPr>
                <w:sz w:val="18"/>
                <w:szCs w:val="18"/>
                <w:rtl w:val="0"/>
              </w:rPr>
              <w:t xml:space="preserve">6.47E+09</w:t>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Precious Stones</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1.03E+09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1.11E+09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55">
            <w:pPr>
              <w:widowControl w:val="0"/>
              <w:spacing w:line="276" w:lineRule="auto"/>
              <w:rPr>
                <w:sz w:val="18"/>
                <w:szCs w:val="18"/>
              </w:rPr>
            </w:pPr>
            <w:r w:rsidDel="00000000" w:rsidR="00000000" w:rsidRPr="00000000">
              <w:rPr>
                <w:sz w:val="18"/>
                <w:szCs w:val="18"/>
                <w:rtl w:val="0"/>
              </w:rPr>
              <w:t xml:space="preserve">1.67E+09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56">
            <w:pPr>
              <w:widowControl w:val="0"/>
              <w:spacing w:line="276" w:lineRule="auto"/>
              <w:rPr>
                <w:sz w:val="18"/>
                <w:szCs w:val="18"/>
              </w:rPr>
            </w:pPr>
            <w:r w:rsidDel="00000000" w:rsidR="00000000" w:rsidRPr="00000000">
              <w:rPr>
                <w:sz w:val="18"/>
                <w:szCs w:val="18"/>
                <w:rtl w:val="0"/>
              </w:rPr>
              <w:t xml:space="preserve">4.31E+09</w:t>
            </w:r>
          </w:p>
        </w:tc>
      </w:tr>
      <w:tr>
        <w:trPr>
          <w:cantSplit w:val="0"/>
          <w:trHeight w:val="225" w:hRule="atLeast"/>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7">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8">
            <w:pPr>
              <w:widowControl w:val="0"/>
              <w:spacing w:line="276" w:lineRule="auto"/>
              <w:rPr>
                <w:b w:val="1"/>
                <w:bCs w:val="1"/>
                <w:sz w:val="20"/>
                <w:szCs w:val="20"/>
              </w:rPr>
            </w:pPr>
            <w:r w:rsidDel="00000000" w:rsidR="00000000" w:rsidRPr="00000000">
              <w:rPr>
                <w:b w:val="1"/>
                <w:bCs w:val="1"/>
                <w:sz w:val="20"/>
                <w:szCs w:val="20"/>
                <w:rtl w:val="0"/>
              </w:rPr>
              <w:t xml:space="preserve">8.15E-01</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9">
            <w:pPr>
              <w:widowControl w:val="0"/>
              <w:spacing w:line="276" w:lineRule="auto"/>
              <w:rPr>
                <w:b w:val="1"/>
                <w:bCs w:val="1"/>
                <w:sz w:val="20"/>
                <w:szCs w:val="20"/>
              </w:rPr>
            </w:pPr>
            <w:r w:rsidDel="00000000" w:rsidR="00000000" w:rsidRPr="00000000">
              <w:rPr>
                <w:b w:val="1"/>
                <w:bCs w:val="1"/>
                <w:sz w:val="20"/>
                <w:szCs w:val="20"/>
                <w:rtl w:val="0"/>
              </w:rPr>
              <w:t xml:space="preserve">8.15E-01</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A">
            <w:pPr>
              <w:widowControl w:val="0"/>
              <w:spacing w:line="276" w:lineRule="auto"/>
              <w:rPr>
                <w:b w:val="1"/>
                <w:bCs w:val="1"/>
                <w:sz w:val="20"/>
                <w:szCs w:val="20"/>
              </w:rPr>
            </w:pPr>
            <w:r w:rsidDel="00000000" w:rsidR="00000000" w:rsidRPr="00000000">
              <w:rPr>
                <w:b w:val="1"/>
                <w:bCs w:val="1"/>
                <w:sz w:val="20"/>
                <w:szCs w:val="20"/>
                <w:rtl w:val="0"/>
              </w:rPr>
              <w:t xml:space="preserve">1.03E+00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B">
            <w:pPr>
              <w:widowControl w:val="0"/>
              <w:spacing w:line="276" w:lineRule="auto"/>
              <w:rPr>
                <w:b w:val="1"/>
                <w:bCs w:val="1"/>
                <w:sz w:val="20"/>
                <w:szCs w:val="20"/>
              </w:rPr>
            </w:pPr>
            <w:r w:rsidDel="00000000" w:rsidR="00000000" w:rsidRPr="00000000">
              <w:rPr>
                <w:b w:val="1"/>
                <w:bCs w:val="1"/>
                <w:sz w:val="20"/>
                <w:szCs w:val="20"/>
                <w:rtl w:val="0"/>
              </w:rPr>
              <w:t xml:space="preserve">1.03E+00</w:t>
            </w:r>
          </w:p>
        </w:tc>
      </w:tr>
    </w:tbl>
    <w:p w:rsidR="00000000" w:rsidDel="00000000" w:rsidP="00000000" w:rsidRDefault="00000000" w:rsidRPr="00000000" w14:paraId="0000015C">
      <w:pPr>
        <w:jc w:val="center"/>
        <w:rPr>
          <w:sz w:val="22"/>
          <w:szCs w:val="22"/>
        </w:rPr>
      </w:pPr>
      <w:r w:rsidDel="00000000" w:rsidR="00000000" w:rsidRPr="00000000">
        <w:rPr>
          <w:sz w:val="22"/>
          <w:szCs w:val="22"/>
          <w:rtl w:val="0"/>
        </w:rPr>
        <w:t xml:space="preserve">Table 8a. Portfolio of New Zealand (2022)</w:t>
      </w:r>
    </w:p>
    <w:p w:rsidR="00000000" w:rsidDel="00000000" w:rsidP="00000000" w:rsidRDefault="00000000" w:rsidRPr="00000000" w14:paraId="0000015D">
      <w:pPr>
        <w:jc w:val="left"/>
        <w:rPr>
          <w:sz w:val="22"/>
          <w:szCs w:val="22"/>
        </w:rPr>
      </w:pPr>
      <w:r w:rsidDel="00000000" w:rsidR="00000000" w:rsidRPr="00000000">
        <w:rPr>
          <w:rtl w:val="0"/>
        </w:rPr>
      </w:r>
    </w:p>
    <w:p w:rsidR="00000000" w:rsidDel="00000000" w:rsidP="00000000" w:rsidRDefault="00000000" w:rsidRPr="00000000" w14:paraId="0000015E">
      <w:pPr>
        <w:pageBreakBefore w:val="0"/>
        <w:spacing w:after="0" w:before="0" w:line="276" w:lineRule="auto"/>
        <w:rPr>
          <w:b w:val="1"/>
          <w:bCs w:val="1"/>
        </w:rPr>
      </w:pPr>
      <w:r w:rsidDel="00000000" w:rsidR="00000000" w:rsidRPr="00000000">
        <w:rPr>
          <w:rtl w:val="0"/>
        </w:rPr>
      </w:r>
    </w:p>
    <w:p w:rsidR="00000000" w:rsidDel="00000000" w:rsidP="00000000" w:rsidRDefault="00000000" w:rsidRPr="00000000" w14:paraId="0000015F">
      <w:pPr>
        <w:pageBreakBefore w:val="0"/>
        <w:spacing w:after="0" w:before="0" w:line="276" w:lineRule="auto"/>
        <w:rPr>
          <w:b w:val="1"/>
          <w:bCs w:val="1"/>
        </w:rPr>
      </w:pPr>
      <w:r w:rsidDel="00000000" w:rsidR="00000000" w:rsidRPr="00000000">
        <w:rPr>
          <w:b w:val="1"/>
          <w:bCs w:val="1"/>
          <w:rtl w:val="0"/>
        </w:rPr>
        <w:t xml:space="preserve">4.3  Sensitivity Analysis</w:t>
      </w:r>
    </w:p>
    <w:p w:rsidR="00000000" w:rsidDel="00000000" w:rsidP="00000000" w:rsidRDefault="00000000" w:rsidRPr="00000000" w14:paraId="00000160">
      <w:pPr>
        <w:pageBreakBefore w:val="0"/>
        <w:spacing w:after="0" w:before="0" w:line="276" w:lineRule="auto"/>
        <w:rPr/>
      </w:pPr>
      <w:r w:rsidDel="00000000" w:rsidR="00000000" w:rsidRPr="00000000">
        <w:rPr>
          <w:rtl w:val="0"/>
        </w:rPr>
        <w:t xml:space="preserve">In the following section, our broad aim is to understand how sensitive New Zealand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161">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162">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63">
      <w:pPr>
        <w:jc w:val="both"/>
        <w:rPr>
          <w:b w:val="1"/>
          <w:bCs w:val="1"/>
        </w:rPr>
      </w:pPr>
      <w:r w:rsidDel="00000000" w:rsidR="00000000" w:rsidRPr="00000000">
        <w:rPr>
          <w:b w:val="1"/>
          <w:bCs w:val="1"/>
        </w:rPr>
        <w:drawing>
          <wp:inline distB="114300" distT="114300" distL="114300" distR="114300">
            <wp:extent cx="5310188" cy="2519630"/>
            <wp:effectExtent b="0" l="0" r="0" t="0"/>
            <wp:docPr id="7" name="image2.jpg"/>
            <a:graphic>
              <a:graphicData uri="http://schemas.openxmlformats.org/drawingml/2006/picture">
                <pic:pic>
                  <pic:nvPicPr>
                    <pic:cNvPr id="0" name="image2.jpg"/>
                    <pic:cNvPicPr preferRelativeResize="0"/>
                  </pic:nvPicPr>
                  <pic:blipFill>
                    <a:blip r:embed="rId17"/>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165">
      <w:pPr>
        <w:pageBreakBefore w:val="0"/>
        <w:spacing w:after="240" w:before="240" w:line="276" w:lineRule="auto"/>
        <w:rPr>
          <w:b w:val="1"/>
          <w:bCs w:val="1"/>
          <w:sz w:val="28"/>
          <w:szCs w:val="28"/>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166">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167">
      <w:pPr>
        <w:pageBreakBefore w:val="0"/>
        <w:jc w:val="both"/>
        <w:rPr/>
      </w:pPr>
      <w:r w:rsidDel="00000000" w:rsidR="00000000" w:rsidRPr="00000000">
        <w:rPr>
          <w:rtl w:val="0"/>
        </w:rPr>
        <w:t xml:space="preserve">We examine New Zealand's ECI Decremental and Incremental Sensitivity Charts for 2022. An increase in Precious Stones will lead to the highest change in ECI, followed by Textiles and Animals and By-products.  The significance of Textiles and Animals and By-products, not captured in the greedy algorithm, suggests that it is also critical to increasing ECI and consequently developing New Zealand’s economy. The Precious Stones industry remains consistent with previous analyses. For the negative shock cases, Metals becomes most impactful, a </w:t>
      </w:r>
      <w:r w:rsidDel="00000000" w:rsidR="00000000" w:rsidRPr="00000000">
        <w:rPr>
          <w:rtl w:val="0"/>
        </w:rPr>
        <w:t xml:space="preserve">new trend across the data emerging from the previous years</w:t>
      </w:r>
      <w:r w:rsidDel="00000000" w:rsidR="00000000" w:rsidRPr="00000000">
        <w:rPr>
          <w:rtl w:val="0"/>
        </w:rPr>
        <w:t xml:space="preserve">. The rest of the industries do not appear to have the same level of sensitivity. This suggests that in economic downturns, Australia should invest in Metals to avoid additional decreases in ECI.</w:t>
      </w:r>
    </w:p>
    <w:p w:rsidR="00000000" w:rsidDel="00000000" w:rsidP="00000000" w:rsidRDefault="00000000" w:rsidRPr="00000000" w14:paraId="00000168">
      <w:pPr>
        <w:pageBreakBefore w:val="0"/>
        <w:jc w:val="both"/>
        <w:rPr/>
      </w:pPr>
      <w:r w:rsidDel="00000000" w:rsidR="00000000" w:rsidRPr="00000000">
        <w:rPr>
          <w:rtl w:val="0"/>
        </w:rPr>
      </w:r>
    </w:p>
    <w:p w:rsidR="00000000" w:rsidDel="00000000" w:rsidP="00000000" w:rsidRDefault="00000000" w:rsidRPr="00000000" w14:paraId="00000169">
      <w:pPr>
        <w:pageBreakBefore w:val="0"/>
        <w:jc w:val="both"/>
        <w:rPr/>
      </w:pPr>
      <w:r w:rsidDel="00000000" w:rsidR="00000000" w:rsidRPr="00000000">
        <w:rPr>
          <w:rtl w:val="0"/>
        </w:rPr>
      </w:r>
    </w:p>
    <w:p w:rsidR="00000000" w:rsidDel="00000000" w:rsidP="00000000" w:rsidRDefault="00000000" w:rsidRPr="00000000" w14:paraId="0000016A">
      <w:pPr>
        <w:jc w:val="center"/>
        <w:rPr/>
      </w:pPr>
      <w:r w:rsidDel="00000000" w:rsidR="00000000" w:rsidRPr="00000000">
        <w:rPr>
          <w:sz w:val="22"/>
          <w:szCs w:val="22"/>
        </w:rPr>
        <w:drawing>
          <wp:inline distB="114300" distT="114300" distL="114300" distR="114300">
            <wp:extent cx="5731200" cy="2006600"/>
            <wp:effectExtent b="0" l="0" r="0" t="0"/>
            <wp:docPr id="1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New Zealand (2022)</w:t>
      </w:r>
    </w:p>
    <w:p w:rsidR="00000000" w:rsidDel="00000000" w:rsidP="00000000" w:rsidRDefault="00000000" w:rsidRPr="00000000" w14:paraId="0000016C">
      <w:pPr>
        <w:jc w:val="center"/>
        <w:rPr>
          <w:sz w:val="22"/>
          <w:szCs w:val="22"/>
        </w:rPr>
      </w:pPr>
      <w:r w:rsidDel="00000000" w:rsidR="00000000" w:rsidRPr="00000000">
        <w:rPr>
          <w:sz w:val="22"/>
          <w:szCs w:val="22"/>
        </w:rPr>
        <w:drawing>
          <wp:inline distB="114300" distT="114300" distL="114300" distR="114300">
            <wp:extent cx="5731200" cy="2006600"/>
            <wp:effectExtent b="0" l="0" r="0" t="0"/>
            <wp:docPr id="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jc w:val="center"/>
        <w:rPr/>
      </w:pPr>
      <w:r w:rsidDel="00000000" w:rsidR="00000000" w:rsidRPr="00000000">
        <w:rPr>
          <w:sz w:val="22"/>
          <w:szCs w:val="22"/>
          <w:rtl w:val="0"/>
        </w:rPr>
        <w:t xml:space="preserve">Figure 6b. Decremental ECI Sensitivity for New Zealand (2022)</w:t>
      </w:r>
      <w:r w:rsidDel="00000000" w:rsidR="00000000" w:rsidRPr="00000000">
        <w:rPr>
          <w:rtl w:val="0"/>
        </w:rPr>
      </w:r>
    </w:p>
    <w:p w:rsidR="00000000" w:rsidDel="00000000" w:rsidP="00000000" w:rsidRDefault="00000000" w:rsidRPr="00000000" w14:paraId="0000016E">
      <w:pPr>
        <w:pageBreakBefore w:val="0"/>
        <w:jc w:val="both"/>
        <w:rPr/>
      </w:pPr>
      <w:r w:rsidDel="00000000" w:rsidR="00000000" w:rsidRPr="00000000">
        <w:rPr>
          <w:rtl w:val="0"/>
        </w:rPr>
      </w:r>
    </w:p>
    <w:p w:rsidR="00000000" w:rsidDel="00000000" w:rsidP="00000000" w:rsidRDefault="00000000" w:rsidRPr="00000000" w14:paraId="0000016F">
      <w:pPr>
        <w:jc w:val="left"/>
        <w:rPr/>
      </w:pPr>
      <w:r w:rsidDel="00000000" w:rsidR="00000000" w:rsidRPr="00000000">
        <w:rPr>
          <w:rtl w:val="0"/>
        </w:rPr>
      </w:r>
    </w:p>
    <w:p w:rsidR="00000000" w:rsidDel="00000000" w:rsidP="00000000" w:rsidRDefault="00000000" w:rsidRPr="00000000" w14:paraId="00000170">
      <w:pPr>
        <w:pageBreakBefore w:val="0"/>
        <w:jc w:val="center"/>
        <w:rPr>
          <w:sz w:val="28"/>
          <w:szCs w:val="28"/>
        </w:rPr>
      </w:pPr>
      <w:r w:rsidDel="00000000" w:rsidR="00000000" w:rsidRPr="00000000">
        <w:rPr>
          <w:rtl w:val="0"/>
        </w:rPr>
      </w:r>
    </w:p>
    <w:p w:rsidR="00000000" w:rsidDel="00000000" w:rsidP="00000000" w:rsidRDefault="00000000" w:rsidRPr="00000000" w14:paraId="00000171">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72">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73">
      <w:pPr>
        <w:pageBreakBefore w:val="0"/>
        <w:jc w:val="both"/>
        <w:rPr>
          <w:b w:val="1"/>
          <w:bCs w:val="1"/>
        </w:rPr>
      </w:pPr>
      <w:r w:rsidDel="00000000" w:rsidR="00000000" w:rsidRPr="00000000">
        <w:rPr>
          <w:rtl w:val="0"/>
        </w:rPr>
      </w:r>
    </w:p>
    <w:p w:rsidR="00000000" w:rsidDel="00000000" w:rsidP="00000000" w:rsidRDefault="00000000" w:rsidRPr="00000000" w14:paraId="00000174">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75">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76">
      <w:pPr>
        <w:pageBreakBefore w:val="0"/>
        <w:jc w:val="both"/>
        <w:rPr/>
      </w:pPr>
      <w:r w:rsidDel="00000000" w:rsidR="00000000" w:rsidRPr="00000000">
        <w:rPr>
          <w:rtl w:val="0"/>
        </w:rPr>
      </w:r>
    </w:p>
    <w:p w:rsidR="00000000" w:rsidDel="00000000" w:rsidP="00000000" w:rsidRDefault="00000000" w:rsidRPr="00000000" w14:paraId="00000177">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5.4%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4.5%</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178">
      <w:pPr>
        <w:pageBreakBefore w:val="0"/>
        <w:jc w:val="both"/>
        <w:rPr/>
      </w:pPr>
      <w:r w:rsidDel="00000000" w:rsidR="00000000" w:rsidRPr="00000000">
        <w:rPr>
          <w:rtl w:val="0"/>
        </w:rPr>
      </w:r>
    </w:p>
    <w:tbl>
      <w:tblPr>
        <w:tblStyle w:val="Table9"/>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179">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7B">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7C">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7D">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0.16</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7E">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7F">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0.16</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80">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181">
      <w:pPr>
        <w:pageBreakBefore w:val="0"/>
        <w:jc w:val="left"/>
        <w:rPr/>
      </w:pPr>
      <w:r w:rsidDel="00000000" w:rsidR="00000000" w:rsidRPr="00000000">
        <w:rPr>
          <w:rtl w:val="0"/>
        </w:rPr>
      </w:r>
    </w:p>
    <w:p w:rsidR="00000000" w:rsidDel="00000000" w:rsidP="00000000" w:rsidRDefault="00000000" w:rsidRPr="00000000" w14:paraId="00000182">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619125</wp:posOffset>
            </wp:positionH>
            <wp:positionV relativeFrom="paragraph">
              <wp:posOffset>38100</wp:posOffset>
            </wp:positionV>
            <wp:extent cx="4520925" cy="3005138"/>
            <wp:effectExtent b="0" l="0" r="0" t="0"/>
            <wp:wrapTopAndBottom distB="0" distT="0"/>
            <wp:docPr id="15"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520925" cy="3005138"/>
                    </a:xfrm>
                    <a:prstGeom prst="rect"/>
                    <a:ln/>
                  </pic:spPr>
                </pic:pic>
              </a:graphicData>
            </a:graphic>
          </wp:anchor>
        </w:drawing>
      </w:r>
    </w:p>
    <w:p w:rsidR="00000000" w:rsidDel="00000000" w:rsidP="00000000" w:rsidRDefault="00000000" w:rsidRPr="00000000" w14:paraId="00000183">
      <w:pPr>
        <w:pageBreakBefore w:val="0"/>
        <w:jc w:val="both"/>
        <w:rPr/>
      </w:pPr>
      <w:r w:rsidDel="00000000" w:rsidR="00000000" w:rsidRPr="00000000">
        <w:rPr>
          <w:rtl w:val="0"/>
        </w:rPr>
      </w:r>
    </w:p>
    <w:p w:rsidR="00000000" w:rsidDel="00000000" w:rsidP="00000000" w:rsidRDefault="00000000" w:rsidRPr="00000000" w14:paraId="00000184">
      <w:pPr>
        <w:pageBreakBefore w:val="0"/>
        <w:jc w:val="both"/>
        <w:rPr>
          <w:b w:val="1"/>
          <w:bCs w:val="1"/>
        </w:rPr>
      </w:pPr>
      <w:r w:rsidDel="00000000" w:rsidR="00000000" w:rsidRPr="00000000">
        <w:rPr>
          <w:b w:val="1"/>
          <w:bCs w:val="1"/>
          <w:rtl w:val="0"/>
        </w:rPr>
        <w:t xml:space="preserve">5.2 SOI of New Zealand and Its Implications</w:t>
      </w:r>
    </w:p>
    <w:p w:rsidR="00000000" w:rsidDel="00000000" w:rsidP="00000000" w:rsidRDefault="00000000" w:rsidRPr="00000000" w14:paraId="00000185">
      <w:pPr>
        <w:pageBreakBefore w:val="0"/>
        <w:jc w:val="both"/>
        <w:rPr/>
      </w:pPr>
      <w:r w:rsidDel="00000000" w:rsidR="00000000" w:rsidRPr="00000000">
        <w:rPr>
          <w:rtl w:val="0"/>
        </w:rPr>
        <w:t xml:space="preserve">During the first examined period, New Zealand, for instance, has a </w:t>
      </w:r>
      <w:r w:rsidDel="00000000" w:rsidR="00000000" w:rsidRPr="00000000">
        <w:rPr>
          <w:u w:val="single"/>
          <w:rtl w:val="0"/>
        </w:rPr>
        <w:t xml:space="preserve">low</w:t>
      </w:r>
      <w:r w:rsidDel="00000000" w:rsidR="00000000" w:rsidRPr="00000000">
        <w:rPr>
          <w:rtl w:val="0"/>
        </w:rPr>
        <w:t xml:space="preserve"> level of structural optimality as compared with its developed peers. As the regression in Figure 10a suggests (the red curve represents export increase and the blue curve stands for opportunity gain of the corresponding industry), </w:t>
      </w:r>
      <w:r w:rsidDel="00000000" w:rsidR="00000000" w:rsidRPr="00000000">
        <w:rPr>
          <w:rtl w:val="0"/>
        </w:rPr>
        <w:t xml:space="preserve">New Zealand</w:t>
      </w:r>
      <w:r w:rsidDel="00000000" w:rsidR="00000000" w:rsidRPr="00000000">
        <w:rPr>
          <w:rtl w:val="0"/>
        </w:rPr>
        <w:t xml:space="preserve"> demonstrates a high level of correlation with the suggested developmental path, having an adjusted R-square of around  16%. </w:t>
      </w:r>
    </w:p>
    <w:p w:rsidR="00000000" w:rsidDel="00000000" w:rsidP="00000000" w:rsidRDefault="00000000" w:rsidRPr="00000000" w14:paraId="00000186">
      <w:pPr>
        <w:pageBreakBefore w:val="0"/>
        <w:jc w:val="both"/>
        <w:rPr/>
      </w:pPr>
      <w:r w:rsidDel="00000000" w:rsidR="00000000" w:rsidRPr="00000000">
        <w:rPr>
          <w:rtl w:val="0"/>
        </w:rPr>
      </w:r>
    </w:p>
    <w:p w:rsidR="00000000" w:rsidDel="00000000" w:rsidP="00000000" w:rsidRDefault="00000000" w:rsidRPr="00000000" w14:paraId="00000187">
      <w:pPr>
        <w:pageBreakBefore w:val="0"/>
        <w:jc w:val="both"/>
        <w:rPr/>
      </w:pPr>
      <w:r w:rsidDel="00000000" w:rsidR="00000000" w:rsidRPr="00000000">
        <w:rPr>
          <w:rtl w:val="0"/>
        </w:rPr>
        <w:t xml:space="preserve">New Zealand ranks in the upper middle quartile among all countries in terms of SOI and has made a moderate rate of economic progress among its peers from 2019 to 2022 with a</w:t>
      </w:r>
      <w:r w:rsidDel="00000000" w:rsidR="00000000" w:rsidRPr="00000000">
        <w:rPr>
          <w:rtl w:val="0"/>
        </w:rPr>
        <w:t xml:space="preserve"> 5-year GDP growth rate of</w:t>
      </w:r>
      <w:r w:rsidDel="00000000" w:rsidR="00000000" w:rsidRPr="00000000">
        <w:rPr>
          <w:rtl w:val="0"/>
        </w:rPr>
        <w:t xml:space="preserve"> 4.19%, which is consistent with the regression result in Figure 4b. Specifically, New Zealand's moderately slow economic progress from 2019 to 2022 can be at least partially explained by a development strategy that demonstrates a considerable but not perfect level of matches with our suggested developmental path. In specific, </w:t>
      </w:r>
      <w:r w:rsidDel="00000000" w:rsidR="00000000" w:rsidRPr="00000000">
        <w:rPr>
          <w:rtl w:val="0"/>
        </w:rPr>
        <w:t xml:space="preserve">New Zealand</w:t>
      </w:r>
      <w:r w:rsidDel="00000000" w:rsidR="00000000" w:rsidRPr="00000000">
        <w:rPr>
          <w:sz w:val="26"/>
          <w:szCs w:val="26"/>
          <w:rtl w:val="0"/>
        </w:rPr>
        <w:t xml:space="preserve"> </w:t>
      </w:r>
      <w:r w:rsidDel="00000000" w:rsidR="00000000" w:rsidRPr="00000000">
        <w:rPr>
          <w:rtl w:val="0"/>
        </w:rPr>
        <w:t xml:space="preserve">invested heavily in the Precious Stones, Wood Products, and Transportation industry, while it should have focused more on industry groups such as Animals and By-products and Machinery and Construction.</w:t>
      </w:r>
    </w:p>
    <w:p w:rsidR="00000000" w:rsidDel="00000000" w:rsidP="00000000" w:rsidRDefault="00000000" w:rsidRPr="00000000" w14:paraId="00000188">
      <w:pPr>
        <w:pageBreakBefore w:val="0"/>
        <w:jc w:val="both"/>
        <w:rPr/>
      </w:pPr>
      <w:r w:rsidDel="00000000" w:rsidR="00000000" w:rsidRPr="00000000">
        <w:rPr>
          <w:rtl w:val="0"/>
        </w:rPr>
      </w:r>
    </w:p>
    <w:p w:rsidR="00000000" w:rsidDel="00000000" w:rsidP="00000000" w:rsidRDefault="00000000" w:rsidRPr="00000000" w14:paraId="00000189">
      <w:pPr>
        <w:pageBreakBefore w:val="0"/>
        <w:jc w:val="both"/>
        <w:rPr/>
      </w:pPr>
      <w:r w:rsidDel="00000000" w:rsidR="00000000" w:rsidRPr="00000000">
        <w:rPr/>
        <w:drawing>
          <wp:inline distB="114300" distT="114300" distL="114300" distR="114300">
            <wp:extent cx="6137275" cy="2456949"/>
            <wp:effectExtent b="0" l="0" r="0" t="0"/>
            <wp:docPr id="2"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6137275" cy="2456949"/>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jc w:val="center"/>
        <w:rPr>
          <w:sz w:val="22"/>
          <w:szCs w:val="22"/>
        </w:rPr>
      </w:pPr>
      <w:r w:rsidDel="00000000" w:rsidR="00000000" w:rsidRPr="00000000">
        <w:rPr>
          <w:sz w:val="22"/>
          <w:szCs w:val="22"/>
          <w:rtl w:val="0"/>
        </w:rPr>
        <w:t xml:space="preserve">Figure 10a. SOI of New Zealand (2019-2022)</w:t>
      </w:r>
    </w:p>
    <w:p w:rsidR="00000000" w:rsidDel="00000000" w:rsidP="00000000" w:rsidRDefault="00000000" w:rsidRPr="00000000" w14:paraId="0000018B">
      <w:pPr>
        <w:jc w:val="center"/>
        <w:rPr>
          <w:sz w:val="22"/>
          <w:szCs w:val="22"/>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ageBreakBefore w:val="0"/>
        <w:jc w:val="both"/>
        <w:rPr>
          <w:b w:val="1"/>
          <w:bCs w:val="1"/>
        </w:rPr>
      </w:pPr>
      <w:r w:rsidDel="00000000" w:rsidR="00000000" w:rsidRPr="00000000">
        <w:rPr>
          <w:rtl w:val="0"/>
        </w:rPr>
      </w:r>
    </w:p>
    <w:p w:rsidR="00000000" w:rsidDel="00000000" w:rsidP="00000000" w:rsidRDefault="00000000" w:rsidRPr="00000000" w14:paraId="0000018E">
      <w:pPr>
        <w:pageBreakBefore w:val="0"/>
        <w:jc w:val="both"/>
        <w:rPr>
          <w:b w:val="1"/>
          <w:bCs w:val="1"/>
        </w:rPr>
      </w:pPr>
      <w:r w:rsidDel="00000000" w:rsidR="00000000" w:rsidRPr="00000000">
        <w:rPr>
          <w:rtl w:val="0"/>
        </w:rPr>
      </w:r>
    </w:p>
    <w:p w:rsidR="00000000" w:rsidDel="00000000" w:rsidP="00000000" w:rsidRDefault="00000000" w:rsidRPr="00000000" w14:paraId="0000018F">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90">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91">
      <w:pPr>
        <w:pageBreakBefore w:val="0"/>
        <w:jc w:val="both"/>
        <w:rPr/>
      </w:pPr>
      <w:r w:rsidDel="00000000" w:rsidR="00000000" w:rsidRPr="00000000">
        <w:rPr>
          <w:rtl w:val="0"/>
        </w:rPr>
      </w:r>
    </w:p>
    <w:p w:rsidR="00000000" w:rsidDel="00000000" w:rsidP="00000000" w:rsidRDefault="00000000" w:rsidRPr="00000000" w14:paraId="00000192">
      <w:pPr>
        <w:pageBreakBefore w:val="0"/>
        <w:jc w:val="both"/>
        <w:rPr/>
      </w:pPr>
      <w:r w:rsidDel="00000000" w:rsidR="00000000" w:rsidRPr="00000000">
        <w:rPr>
          <w:rtl w:val="0"/>
        </w:rPr>
        <w:t xml:space="preserve">In conclusion, New Zealand has demonstrated a moderate level of economic growth in terms of annual GDP increase during the period from 2019 to 2022, concurrent with an increase in economic complexity as compared with major developed economies. </w:t>
      </w:r>
    </w:p>
    <w:p w:rsidR="00000000" w:rsidDel="00000000" w:rsidP="00000000" w:rsidRDefault="00000000" w:rsidRPr="00000000" w14:paraId="00000193">
      <w:pPr>
        <w:pageBreakBefore w:val="0"/>
        <w:jc w:val="both"/>
        <w:rPr/>
      </w:pPr>
      <w:r w:rsidDel="00000000" w:rsidR="00000000" w:rsidRPr="00000000">
        <w:rPr>
          <w:rtl w:val="0"/>
        </w:rPr>
      </w:r>
    </w:p>
    <w:p w:rsidR="00000000" w:rsidDel="00000000" w:rsidP="00000000" w:rsidRDefault="00000000" w:rsidRPr="00000000" w14:paraId="00000194">
      <w:pPr>
        <w:pageBreakBefore w:val="0"/>
        <w:jc w:val="both"/>
        <w:rPr/>
      </w:pPr>
      <w:r w:rsidDel="00000000" w:rsidR="00000000" w:rsidRPr="00000000">
        <w:rPr>
          <w:rtl w:val="0"/>
        </w:rPr>
        <w:t xml:space="preserve">We believe that the mixed progress during the first period can be partially explained through the analysis of the economic and product complexity structure of New Zealand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New Zealand progresed in developing </w:t>
      </w:r>
      <w:r w:rsidDel="00000000" w:rsidR="00000000" w:rsidRPr="00000000">
        <w:rPr>
          <w:rtl w:val="0"/>
        </w:rPr>
        <w:t xml:space="preserve">most of its industries during the period</w:t>
      </w:r>
      <w:r w:rsidDel="00000000" w:rsidR="00000000" w:rsidRPr="00000000">
        <w:rPr>
          <w:rtl w:val="0"/>
        </w:rPr>
        <w:t xml:space="preserve">. Despite a larger increase in ECI, New Zealand did not undergo similar GDP growth, which indicates that there is further potential to target specific industries.</w:t>
      </w:r>
    </w:p>
    <w:p w:rsidR="00000000" w:rsidDel="00000000" w:rsidP="00000000" w:rsidRDefault="00000000" w:rsidRPr="00000000" w14:paraId="00000195">
      <w:pPr>
        <w:pageBreakBefore w:val="0"/>
        <w:jc w:val="both"/>
        <w:rPr/>
      </w:pPr>
      <w:r w:rsidDel="00000000" w:rsidR="00000000" w:rsidRPr="00000000">
        <w:rPr>
          <w:rtl w:val="0"/>
        </w:rPr>
      </w:r>
    </w:p>
    <w:p w:rsidR="00000000" w:rsidDel="00000000" w:rsidP="00000000" w:rsidRDefault="00000000" w:rsidRPr="00000000" w14:paraId="00000196">
      <w:pPr>
        <w:pageBreakBefore w:val="0"/>
        <w:jc w:val="both"/>
        <w:rPr/>
      </w:pPr>
      <w:r w:rsidDel="00000000" w:rsidR="00000000" w:rsidRPr="00000000">
        <w:rPr>
          <w:rtl w:val="0"/>
        </w:rPr>
      </w:r>
    </w:p>
    <w:p w:rsidR="00000000" w:rsidDel="00000000" w:rsidP="00000000" w:rsidRDefault="00000000" w:rsidRPr="00000000" w14:paraId="00000197">
      <w:pPr>
        <w:pageBreakBefore w:val="0"/>
        <w:jc w:val="both"/>
        <w:rPr/>
      </w:pPr>
      <w:r w:rsidDel="00000000" w:rsidR="00000000" w:rsidRPr="00000000">
        <w:rPr>
          <w:rtl w:val="0"/>
        </w:rPr>
        <w:t xml:space="preserve">Based on our analysis of the opportunity gain and sensitivity analysis of major industry groups for 2019-2022, New Zealand can further its gains by prioritizing Energy Drilling and Mining and Precious Stones. We further note that New Zealand has a relatively </w:t>
      </w:r>
      <w:r w:rsidDel="00000000" w:rsidR="00000000" w:rsidRPr="00000000">
        <w:rPr>
          <w:rtl w:val="0"/>
        </w:rPr>
        <w:t xml:space="preserve">balanced development strategy</w:t>
      </w:r>
      <w:r w:rsidDel="00000000" w:rsidR="00000000" w:rsidRPr="00000000">
        <w:rPr>
          <w:rtl w:val="0"/>
        </w:rPr>
        <w:t xml:space="preserve"> that indicates a </w:t>
      </w:r>
      <w:r w:rsidDel="00000000" w:rsidR="00000000" w:rsidRPr="00000000">
        <w:rPr>
          <w:rtl w:val="0"/>
        </w:rPr>
        <w:t xml:space="preserve">high</w:t>
      </w:r>
      <w:r w:rsidDel="00000000" w:rsidR="00000000" w:rsidRPr="00000000">
        <w:rPr>
          <w:rtl w:val="0"/>
        </w:rPr>
        <w:t xml:space="preserve">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16%. Since a positive correlation exists between five-year GDP growth and the structural optimality index of an economy as we define and calculate, New Zealand indeed has an 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98">
      <w:pPr>
        <w:pageBreakBefore w:val="0"/>
        <w:jc w:val="both"/>
        <w:rPr/>
      </w:pPr>
      <w:r w:rsidDel="00000000" w:rsidR="00000000" w:rsidRPr="00000000">
        <w:rPr>
          <w:rtl w:val="0"/>
        </w:rPr>
      </w:r>
    </w:p>
    <w:p w:rsidR="00000000" w:rsidDel="00000000" w:rsidP="00000000" w:rsidRDefault="00000000" w:rsidRPr="00000000" w14:paraId="00000199">
      <w:pPr>
        <w:jc w:val="both"/>
        <w:rPr/>
      </w:pPr>
      <w:r w:rsidDel="00000000" w:rsidR="00000000" w:rsidRPr="00000000">
        <w:rPr>
          <w:rtl w:val="0"/>
        </w:rPr>
        <w:t xml:space="preserve">We infer that during the  COVID-19 period, New Zealand focused on maintaining certain industries with a lower demand given the global economic downturn. With the revised focus, New Zealand has further potential to advance its economic growth to maintain its position among other countries to continue its ongoing economic expansion.</w:t>
      </w:r>
    </w:p>
    <w:p w:rsidR="00000000" w:rsidDel="00000000" w:rsidP="00000000" w:rsidRDefault="00000000" w:rsidRPr="00000000" w14:paraId="0000019A">
      <w:pPr>
        <w:pageBreakBefore w:val="0"/>
        <w:jc w:val="both"/>
        <w:rPr/>
      </w:pPr>
      <w:r w:rsidDel="00000000" w:rsidR="00000000" w:rsidRPr="00000000">
        <w:rPr>
          <w:rtl w:val="0"/>
        </w:rPr>
      </w:r>
    </w:p>
    <w:p w:rsidR="00000000" w:rsidDel="00000000" w:rsidP="00000000" w:rsidRDefault="00000000" w:rsidRPr="00000000" w14:paraId="0000019B">
      <w:pPr>
        <w:pageBreakBefore w:val="0"/>
        <w:jc w:val="both"/>
        <w:rPr/>
      </w:pPr>
      <w:r w:rsidDel="00000000" w:rsidR="00000000" w:rsidRPr="00000000">
        <w:rPr>
          <w:rtl w:val="0"/>
        </w:rPr>
      </w:r>
    </w:p>
    <w:p w:rsidR="00000000" w:rsidDel="00000000" w:rsidP="00000000" w:rsidRDefault="00000000" w:rsidRPr="00000000" w14:paraId="0000019C">
      <w:pPr>
        <w:pageBreakBefore w:val="0"/>
        <w:jc w:val="both"/>
        <w:rPr/>
      </w:pPr>
      <w:r w:rsidDel="00000000" w:rsidR="00000000" w:rsidRPr="00000000">
        <w:rPr>
          <w:rtl w:val="0"/>
        </w:rPr>
      </w:r>
    </w:p>
    <w:p w:rsidR="00000000" w:rsidDel="00000000" w:rsidP="00000000" w:rsidRDefault="00000000" w:rsidRPr="00000000" w14:paraId="0000019D">
      <w:pPr>
        <w:pageBreakBefore w:val="0"/>
        <w:jc w:val="both"/>
        <w:rPr/>
      </w:pPr>
      <w:r w:rsidDel="00000000" w:rsidR="00000000" w:rsidRPr="00000000">
        <w:rPr>
          <w:rtl w:val="0"/>
        </w:rPr>
      </w:r>
    </w:p>
    <w:p w:rsidR="00000000" w:rsidDel="00000000" w:rsidP="00000000" w:rsidRDefault="00000000" w:rsidRPr="00000000" w14:paraId="0000019E">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9F">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A0">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1">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A2">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3">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A4">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5">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A6">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7">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A8">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9">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AA">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B">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AC">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D">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AE">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F">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B0">
      <w:pPr>
        <w:pageBreakBefore w:val="0"/>
        <w:jc w:val="both"/>
        <w:rPr/>
      </w:pPr>
      <w:r w:rsidDel="00000000" w:rsidR="00000000" w:rsidRPr="00000000">
        <w:rPr>
          <w:rtl w:val="0"/>
        </w:rPr>
      </w:r>
    </w:p>
    <w:sectPr>
      <w:headerReference r:id="rId22" w:type="default"/>
      <w:footerReference r:id="rId23" w:type="default"/>
      <w:footerReference r:id="rId24" w:type="first"/>
      <w:footerReference r:id="rId25"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header" Target="header1.xml"/><Relationship Id="rId21" Type="http://schemas.openxmlformats.org/officeDocument/2006/relationships/image" Target="media/image10.png"/><Relationship Id="rId24" Type="http://schemas.openxmlformats.org/officeDocument/2006/relationships/footer" Target="footer3.xm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4.png"/><Relationship Id="rId8" Type="http://schemas.openxmlformats.org/officeDocument/2006/relationships/image" Target="media/image13.png"/><Relationship Id="rId11" Type="http://schemas.openxmlformats.org/officeDocument/2006/relationships/image" Target="media/image16.png"/><Relationship Id="rId10" Type="http://schemas.openxmlformats.org/officeDocument/2006/relationships/image" Target="media/image15.png"/><Relationship Id="rId13" Type="http://schemas.openxmlformats.org/officeDocument/2006/relationships/image" Target="media/image6.png"/><Relationship Id="rId12" Type="http://schemas.openxmlformats.org/officeDocument/2006/relationships/image" Target="media/image5.jp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image" Target="media/image2.jpg"/><Relationship Id="rId16" Type="http://schemas.openxmlformats.org/officeDocument/2006/relationships/image" Target="media/image8.png"/><Relationship Id="rId19" Type="http://schemas.openxmlformats.org/officeDocument/2006/relationships/image" Target="media/image12.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