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3" name="image1.png"/>
            <a:graphic>
              <a:graphicData uri="http://schemas.openxmlformats.org/drawingml/2006/picture">
                <pic:pic>
                  <pic:nvPicPr>
                    <pic:cNvPr descr="horizontal line" id="0" name="image1.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9" name="image15.png"/>
            <a:graphic>
              <a:graphicData uri="http://schemas.openxmlformats.org/drawingml/2006/picture">
                <pic:pic>
                  <pic:nvPicPr>
                    <pic:cNvPr id="0" name="image15.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South Africa</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w:t>
      </w:r>
      <w:r w:rsidDel="00000000" w:rsidR="00000000" w:rsidRPr="00000000">
        <w:rPr>
          <w:sz w:val="40"/>
          <w:szCs w:val="40"/>
          <w:rtl w:val="0"/>
        </w:rPr>
        <w:t xml:space="preserve">South Africa</w:t>
      </w:r>
      <w:r w:rsidDel="00000000" w:rsidR="00000000" w:rsidRPr="00000000">
        <w:rPr>
          <w:rtl w:val="0"/>
        </w:rPr>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In this report, we aim to uncover the economic path South Africa went through during the period from 2019 to 2022, including the impacts of the COVID-19 pandemic. Specifically, we dive into the topic through a macroeconomic overview of South Africa from the perspective of Gross Domestic Product (GDP) and Economic Complexity Index (ECI), which reflect countries’ production capability and production structure, respectively. We find that during the period of our interest, South Africa demonstrated a moderate level of economic growth with an average annual GDP growth rate of 1.94% between 2019 and 2022, with an increased economic complexity compared to other major developed economies.</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The mixed progress during the period, we believe, can be partially explained through the analysis of the economic and product complexity structure of South Africa on the industry group level, as well as the improved macro and microeconomic strategies. The product classification system we adopt allows us to measure the realized industry development for various industry groups and to observe that South Africa regressed in developing most of its industries during the period while its developed counterparts and economies around the globe also adopted complex and progressive paths with variable degrees of success.</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Based on our analysis of the opportunity gain and sensitivity analysis of major industry groups, South Africa could further its gains by prioritizing High-complexity Products and Textiles in 2022. We further note that South Africa has a heavily mismatched development strategy that indicates a low level (compared to other developed countries) of structural optimality on the complexity level, having an adjusted R-square of around </w:t>
      </w:r>
      <w:r w:rsidDel="00000000" w:rsidR="00000000" w:rsidRPr="00000000">
        <w:rPr>
          <w:highlight w:val="white"/>
          <w:rtl w:val="0"/>
        </w:rPr>
        <w:t xml:space="preserve">1.26</w:t>
      </w:r>
      <w:r w:rsidDel="00000000" w:rsidR="00000000" w:rsidRPr="00000000">
        <w:rPr>
          <w:rtl w:val="0"/>
        </w:rPr>
        <w:t xml:space="preserve">% in 2022. Since a significant positive correlation exists between GDP growth and the structural optimality index of an economy as we define and calculate, South Africa indeed has a suboptimal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The four years between 2019 and 2022 showed a significant improvement in South Africa's economic growth, boosting its position on the global scale. Its GDP recovered to above the pre-pandemic levels, and it saw a significant boost in the ECI, particularly compared to its peer countries. Its current strategy still has the viable potential upside to increase its performance and optimize its structure further.</w:t>
      </w:r>
      <w:r w:rsidDel="00000000" w:rsidR="00000000" w:rsidRPr="00000000">
        <w:br w:type="page"/>
      </w:r>
      <w:r w:rsidDel="00000000" w:rsidR="00000000" w:rsidRPr="00000000">
        <w:rPr>
          <w:rtl w:val="0"/>
        </w:rPr>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6">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South Africa</w:t>
      </w:r>
      <w:r w:rsidDel="00000000" w:rsidR="00000000" w:rsidRPr="00000000">
        <w:rPr>
          <w:rtl w:val="0"/>
        </w:rPr>
        <w:t xml:space="preserve"> went through during the period from 2019 to 2022, including the COVID-pandemic. Specifically, we dive into the topic through a macroeconomic overview of </w:t>
      </w:r>
      <w:r w:rsidDel="00000000" w:rsidR="00000000" w:rsidRPr="00000000">
        <w:rPr>
          <w:rtl w:val="0"/>
        </w:rPr>
        <w:t xml:space="preserve">South Africa</w:t>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r w:rsidDel="00000000" w:rsidR="00000000" w:rsidRPr="00000000">
        <w:rPr>
          <w:rtl w:val="0"/>
        </w:rPr>
        <w:t xml:space="preserve">South Africa</w:t>
      </w:r>
      <w:r w:rsidDel="00000000" w:rsidR="00000000" w:rsidRPr="00000000">
        <w:rPr>
          <w:rtl w:val="0"/>
        </w:rPr>
        <w:t xml:space="preserv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r w:rsidDel="00000000" w:rsidR="00000000" w:rsidRPr="00000000">
        <w:rPr>
          <w:rtl w:val="0"/>
        </w:rPr>
        <w:t xml:space="preserve">South Africa</w:t>
      </w:r>
      <w:r w:rsidDel="00000000" w:rsidR="00000000" w:rsidRPr="00000000">
        <w:rPr>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7">
      <w:pPr>
        <w:pageBreakBefore w:val="0"/>
        <w:jc w:val="both"/>
        <w:rPr/>
      </w:pPr>
      <w:r w:rsidDel="00000000" w:rsidR="00000000" w:rsidRPr="00000000">
        <w:rPr>
          <w:rtl w:val="0"/>
        </w:rPr>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B">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C">
      <w:pPr>
        <w:pageBreakBefore w:val="0"/>
        <w:jc w:val="both"/>
        <w:rPr/>
      </w:pPr>
      <w:r w:rsidDel="00000000" w:rsidR="00000000" w:rsidRPr="00000000">
        <w:rPr>
          <w:rtl w:val="0"/>
        </w:rPr>
        <w:t xml:space="preserve">Figure 1 illustrates the time-series GDP results for </w:t>
      </w:r>
      <w:r w:rsidDel="00000000" w:rsidR="00000000" w:rsidRPr="00000000">
        <w:rPr>
          <w:rtl w:val="0"/>
        </w:rPr>
        <w:t xml:space="preserve">South Africa</w:t>
      </w:r>
      <w:r w:rsidDel="00000000" w:rsidR="00000000" w:rsidRPr="00000000">
        <w:rPr>
          <w:rtl w:val="0"/>
        </w:rPr>
        <w:t xml:space="preserve"> and three of its peer countries Argentina, Bolivia, and Chile from 2019 to 2022. Similar to the other countries, </w:t>
      </w:r>
      <w:r w:rsidDel="00000000" w:rsidR="00000000" w:rsidRPr="00000000">
        <w:rPr>
          <w:rtl w:val="0"/>
        </w:rPr>
        <w:t xml:space="preserve">South Africa </w:t>
      </w:r>
      <w:r w:rsidDel="00000000" w:rsidR="00000000" w:rsidRPr="00000000">
        <w:rPr>
          <w:rtl w:val="0"/>
        </w:rPr>
        <w:t xml:space="preserve">displayed a general upward trend after stagnation in 2020 due to COVID-19; however, its growth was not as consistent as Argentina’s. </w:t>
      </w:r>
      <w:r w:rsidDel="00000000" w:rsidR="00000000" w:rsidRPr="00000000">
        <w:rPr>
          <w:rtl w:val="0"/>
        </w:rPr>
        <w:t xml:space="preserve">South Africa</w:t>
      </w:r>
      <w:r w:rsidDel="00000000" w:rsidR="00000000" w:rsidRPr="00000000">
        <w:rPr>
          <w:rtl w:val="0"/>
        </w:rPr>
        <w:t xml:space="preserve">’s average annual GDP growth rate of 1.94%</w:t>
      </w:r>
      <w:r w:rsidDel="00000000" w:rsidR="00000000" w:rsidRPr="00000000">
        <w:rPr>
          <w:rtl w:val="0"/>
        </w:rPr>
        <w:t xml:space="preserve">, which puts it lower than Argentina's 10.58% and Chile's 2.78% but higher than Bolivia's 1.62%. </w:t>
      </w:r>
    </w:p>
    <w:p w:rsidR="00000000" w:rsidDel="00000000" w:rsidP="00000000" w:rsidRDefault="00000000" w:rsidRPr="00000000" w14:paraId="0000001D">
      <w:pPr>
        <w:jc w:val="center"/>
        <w:rPr/>
      </w:pPr>
      <w:r w:rsidDel="00000000" w:rsidR="00000000" w:rsidRPr="00000000">
        <w:rPr/>
        <w:drawing>
          <wp:inline distB="114300" distT="114300" distL="114300" distR="114300">
            <wp:extent cx="2908286" cy="2176463"/>
            <wp:effectExtent b="0" l="0" r="0" t="0"/>
            <wp:docPr id="10"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908286" cy="217646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ageBreakBefore w:val="0"/>
        <w:jc w:val="center"/>
        <w:rPr>
          <w:sz w:val="22"/>
          <w:szCs w:val="22"/>
        </w:rPr>
      </w:pPr>
      <w:r w:rsidDel="00000000" w:rsidR="00000000" w:rsidRPr="00000000">
        <w:rPr>
          <w:sz w:val="22"/>
          <w:szCs w:val="22"/>
          <w:rtl w:val="0"/>
        </w:rPr>
        <w:t xml:space="preserve">Figure 1. GDP Comparison Among Peer Countries (2019-2022)</w:t>
      </w:r>
    </w:p>
    <w:p w:rsidR="00000000" w:rsidDel="00000000" w:rsidP="00000000" w:rsidRDefault="00000000" w:rsidRPr="00000000" w14:paraId="0000001F">
      <w:pPr>
        <w:pageBreakBefore w:val="0"/>
        <w:jc w:val="left"/>
        <w:rPr/>
      </w:pPr>
      <w:r w:rsidDel="00000000" w:rsidR="00000000" w:rsidRPr="00000000">
        <w:rPr>
          <w:rtl w:val="0"/>
        </w:rPr>
      </w:r>
    </w:p>
    <w:p w:rsidR="00000000" w:rsidDel="00000000" w:rsidP="00000000" w:rsidRDefault="00000000" w:rsidRPr="00000000" w14:paraId="00000020">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1">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w:t>
      </w:r>
    </w:p>
    <w:p w:rsidR="00000000" w:rsidDel="00000000" w:rsidP="00000000" w:rsidRDefault="00000000" w:rsidRPr="00000000" w14:paraId="00000022">
      <w:pPr>
        <w:pageBreakBefore w:val="0"/>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As shown, </w:t>
      </w:r>
      <w:r w:rsidDel="00000000" w:rsidR="00000000" w:rsidRPr="00000000">
        <w:rPr>
          <w:rtl w:val="0"/>
        </w:rPr>
        <w:t xml:space="preserve">South Africa</w:t>
      </w:r>
      <w:r w:rsidDel="00000000" w:rsidR="00000000" w:rsidRPr="00000000">
        <w:rPr>
          <w:rtl w:val="0"/>
        </w:rPr>
        <w:t xml:space="preserve"> exhibits a</w:t>
      </w:r>
      <w:r w:rsidDel="00000000" w:rsidR="00000000" w:rsidRPr="00000000">
        <w:rPr>
          <w:rtl w:val="0"/>
        </w:rPr>
        <w:t xml:space="preserve"> </w:t>
      </w:r>
      <w:r w:rsidDel="00000000" w:rsidR="00000000" w:rsidRPr="00000000">
        <w:rPr>
          <w:rtl w:val="0"/>
        </w:rPr>
        <w:t xml:space="preserve">large increase in production capability from 2019 to 2022. </w:t>
      </w:r>
      <w:r w:rsidDel="00000000" w:rsidR="00000000" w:rsidRPr="00000000">
        <w:rPr>
          <w:rtl w:val="0"/>
        </w:rPr>
        <w:t xml:space="preserve">South Africa</w:t>
      </w:r>
      <w:r w:rsidDel="00000000" w:rsidR="00000000" w:rsidRPr="00000000">
        <w:rPr>
          <w:rtl w:val="0"/>
        </w:rPr>
        <w:t xml:space="preserve"> is in a strong position in ECI terms, as its ECI change of 171% is greater than</w:t>
      </w:r>
      <w:r w:rsidDel="00000000" w:rsidR="00000000" w:rsidRPr="00000000">
        <w:rPr>
          <w:rtl w:val="0"/>
        </w:rPr>
        <w:t xml:space="preserve"> Argentina’s 84% but lower than Bolivia’s 197%, and Chile’s 210%. South Africa, Argentina, Bolivia, and Chile all experienced a drastic jump between 2020-2021.</w:t>
      </w:r>
      <w:r w:rsidDel="00000000" w:rsidR="00000000" w:rsidRPr="00000000">
        <w:rPr>
          <w:rtl w:val="0"/>
        </w:rPr>
        <w:t xml:space="preserve"> </w:t>
      </w:r>
      <w:r w:rsidDel="00000000" w:rsidR="00000000" w:rsidRPr="00000000">
        <w:rPr>
          <w:rtl w:val="0"/>
        </w:rPr>
        <w:t xml:space="preserve">The increase in South Africa may be explained by the government’s consistent support for industries impacted by COVID-19 and skills development in emerging industries.</w:t>
      </w:r>
      <w:r w:rsidDel="00000000" w:rsidR="00000000" w:rsidRPr="00000000">
        <w:rPr>
          <w:rtl w:val="0"/>
        </w:rPr>
      </w:r>
    </w:p>
    <w:p w:rsidR="00000000" w:rsidDel="00000000" w:rsidP="00000000" w:rsidRDefault="00000000" w:rsidRPr="00000000" w14:paraId="00000024">
      <w:pPr>
        <w:pageBreakBefore w:val="0"/>
        <w:jc w:val="center"/>
        <w:rPr/>
      </w:pPr>
      <w:r w:rsidDel="00000000" w:rsidR="00000000" w:rsidRPr="00000000">
        <w:rPr>
          <w:rtl w:val="0"/>
        </w:rPr>
        <w:t xml:space="preserve">    </w:t>
      </w:r>
      <w:r w:rsidDel="00000000" w:rsidR="00000000" w:rsidRPr="00000000">
        <w:rPr/>
        <w:drawing>
          <wp:inline distB="114300" distT="114300" distL="114300" distR="114300">
            <wp:extent cx="2711130" cy="2024063"/>
            <wp:effectExtent b="0" l="0" r="0" t="0"/>
            <wp:docPr id="1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2711130" cy="202406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jc w:val="center"/>
        <w:rPr/>
      </w:pPr>
      <w:r w:rsidDel="00000000" w:rsidR="00000000" w:rsidRPr="00000000">
        <w:rPr>
          <w:rtl w:val="0"/>
        </w:rPr>
        <w:t xml:space="preserve">   </w:t>
      </w:r>
      <w:r w:rsidDel="00000000" w:rsidR="00000000" w:rsidRPr="00000000">
        <w:rPr>
          <w:sz w:val="22"/>
          <w:szCs w:val="22"/>
          <w:rtl w:val="0"/>
        </w:rPr>
        <w:t xml:space="preserve">    Figure 2. ECI Comparison Among Peer Countries (2019-2022)</w:t>
      </w:r>
      <w:r w:rsidDel="00000000" w:rsidR="00000000" w:rsidRPr="00000000">
        <w:rPr>
          <w:rtl w:val="0"/>
        </w:rPr>
        <w:t xml:space="preserve">                       </w:t>
      </w:r>
    </w:p>
    <w:p w:rsidR="00000000" w:rsidDel="00000000" w:rsidP="00000000" w:rsidRDefault="00000000" w:rsidRPr="00000000" w14:paraId="00000026">
      <w:pPr>
        <w:pageBreakBefore w:val="0"/>
        <w:jc w:val="left"/>
        <w:rPr/>
      </w:pPr>
      <w:r w:rsidDel="00000000" w:rsidR="00000000" w:rsidRPr="00000000">
        <w:rPr>
          <w:rtl w:val="0"/>
        </w:rPr>
      </w:r>
    </w:p>
    <w:p w:rsidR="00000000" w:rsidDel="00000000" w:rsidP="00000000" w:rsidRDefault="00000000" w:rsidRPr="00000000" w14:paraId="00000027">
      <w:pPr>
        <w:pageBreakBefore w:val="0"/>
        <w:jc w:val="both"/>
        <w:rPr/>
      </w:pPr>
      <w:r w:rsidDel="00000000" w:rsidR="00000000" w:rsidRPr="00000000">
        <w:rPr>
          <w:rtl w:val="0"/>
        </w:rPr>
        <w:t xml:space="preserve">Figures 3 offer a further comparison of GDP Growth and ECI over the time span from 2019 to 2022 for </w:t>
      </w:r>
      <w:r w:rsidDel="00000000" w:rsidR="00000000" w:rsidRPr="00000000">
        <w:rPr>
          <w:rtl w:val="0"/>
        </w:rPr>
        <w:t xml:space="preserve">South Africa</w:t>
      </w:r>
      <w:r w:rsidDel="00000000" w:rsidR="00000000" w:rsidRPr="00000000">
        <w:rPr>
          <w:rtl w:val="0"/>
        </w:rPr>
        <w:t xml:space="preserve">. T</w:t>
      </w:r>
      <w:r w:rsidDel="00000000" w:rsidR="00000000" w:rsidRPr="00000000">
        <w:rPr>
          <w:rtl w:val="0"/>
        </w:rPr>
        <w:t xml:space="preserve">he GDP growth is accompanied by a similar increase in ECI.</w:t>
      </w:r>
      <w:r w:rsidDel="00000000" w:rsidR="00000000" w:rsidRPr="00000000">
        <w:rPr>
          <w:rtl w:val="0"/>
        </w:rPr>
        <w:t xml:space="preserve"> The results show that the economic growth experienced by </w:t>
      </w:r>
      <w:r w:rsidDel="00000000" w:rsidR="00000000" w:rsidRPr="00000000">
        <w:rPr>
          <w:rtl w:val="0"/>
        </w:rPr>
        <w:t xml:space="preserve">South Africa</w:t>
      </w:r>
      <w:r w:rsidDel="00000000" w:rsidR="00000000" w:rsidRPr="00000000">
        <w:rPr>
          <w:rtl w:val="0"/>
        </w:rPr>
        <w:t xml:space="preserve"> during the period from 2019 to 2022 is consistent with the predictions by ECI and that </w:t>
      </w:r>
      <w:r w:rsidDel="00000000" w:rsidR="00000000" w:rsidRPr="00000000">
        <w:rPr>
          <w:rtl w:val="0"/>
        </w:rPr>
        <w:t xml:space="preserve">South Africa</w:t>
      </w:r>
      <w:r w:rsidDel="00000000" w:rsidR="00000000" w:rsidRPr="00000000">
        <w:rPr>
          <w:rtl w:val="0"/>
        </w:rPr>
        <w:t xml:space="preserve"> made strong progress towards effectively developing a competitive product space that helps to accumulate complicated knowledge and technology. In order to provide a more concrete answer to why this has happened, we will dive into an analysis of </w:t>
      </w:r>
      <w:r w:rsidDel="00000000" w:rsidR="00000000" w:rsidRPr="00000000">
        <w:rPr>
          <w:rtl w:val="0"/>
        </w:rPr>
        <w:t xml:space="preserve">South Africa</w:t>
      </w:r>
      <w:r w:rsidDel="00000000" w:rsidR="00000000" w:rsidRPr="00000000">
        <w:rPr>
          <w:rtl w:val="0"/>
        </w:rPr>
        <w:t xml:space="preserve">’s production structure and its product space designs in the next few sections.</w:t>
      </w:r>
      <w:r w:rsidDel="00000000" w:rsidR="00000000" w:rsidRPr="00000000">
        <w:rPr>
          <w:rtl w:val="0"/>
        </w:rPr>
      </w:r>
    </w:p>
    <w:p w:rsidR="00000000" w:rsidDel="00000000" w:rsidP="00000000" w:rsidRDefault="00000000" w:rsidRPr="00000000" w14:paraId="00000028">
      <w:pPr>
        <w:pageBreakBefore w:val="0"/>
        <w:jc w:val="both"/>
        <w:rPr/>
      </w:pPr>
      <w:r w:rsidDel="00000000" w:rsidR="00000000" w:rsidRPr="00000000">
        <w:rPr>
          <w:rtl w:val="0"/>
        </w:rPr>
      </w:r>
    </w:p>
    <w:p w:rsidR="00000000" w:rsidDel="00000000" w:rsidP="00000000" w:rsidRDefault="00000000" w:rsidRPr="00000000" w14:paraId="00000029">
      <w:pPr>
        <w:ind w:firstLine="720"/>
        <w:jc w:val="center"/>
        <w:rPr/>
      </w:pPr>
      <w:r w:rsidDel="00000000" w:rsidR="00000000" w:rsidRPr="00000000">
        <w:rPr/>
        <w:drawing>
          <wp:inline distB="114300" distT="114300" distL="114300" distR="114300">
            <wp:extent cx="2773200" cy="2082477"/>
            <wp:effectExtent b="0" l="0" r="0" t="0"/>
            <wp:docPr id="1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773200" cy="2082477"/>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center"/>
        <w:rPr>
          <w:b w:val="0"/>
          <w:bCs w:val="0"/>
          <w:i w:val="1"/>
          <w:iCs w:val="1"/>
          <w:color w:val="444499"/>
          <w:sz w:val="20"/>
          <w:szCs w:val="20"/>
        </w:rPr>
      </w:pPr>
      <w:r w:rsidDel="00000000" w:rsidR="00000000" w:rsidRPr="00000000">
        <w:rPr>
          <w:sz w:val="22"/>
          <w:szCs w:val="22"/>
          <w:rtl w:val="0"/>
        </w:rPr>
        <w:t xml:space="preserve">Figure</w:t>
      </w:r>
      <w:r w:rsidDel="00000000" w:rsidR="00000000" w:rsidRPr="00000000">
        <w:rPr>
          <w:sz w:val="22"/>
          <w:szCs w:val="22"/>
          <w:rtl w:val="0"/>
        </w:rPr>
        <w:t xml:space="preserve"> 3. GDP Growth and ECI for</w:t>
      </w:r>
      <w:r w:rsidDel="00000000" w:rsidR="00000000" w:rsidRPr="00000000">
        <w:rPr>
          <w:sz w:val="22"/>
          <w:szCs w:val="22"/>
          <w:rtl w:val="0"/>
        </w:rPr>
        <w:t xml:space="preserve"> South Africa</w:t>
      </w:r>
      <w:r w:rsidDel="00000000" w:rsidR="00000000" w:rsidRPr="00000000">
        <w:rPr>
          <w:sz w:val="22"/>
          <w:szCs w:val="22"/>
          <w:rtl w:val="0"/>
        </w:rPr>
        <w:t xml:space="preserve"> (2019-2022)</w:t>
      </w:r>
      <w:r w:rsidDel="00000000" w:rsidR="00000000" w:rsidRPr="00000000">
        <w:rPr>
          <w:rtl w:val="0"/>
        </w:rPr>
      </w:r>
    </w:p>
    <w:p w:rsidR="00000000" w:rsidDel="00000000" w:rsidP="00000000" w:rsidRDefault="00000000" w:rsidRPr="00000000" w14:paraId="0000002B">
      <w:pPr>
        <w:pageBreakBefore w:val="0"/>
        <w:jc w:val="both"/>
        <w:rPr>
          <w:b w:val="1"/>
          <w:bCs w:val="1"/>
        </w:rPr>
      </w:pPr>
      <w:r w:rsidDel="00000000" w:rsidR="00000000" w:rsidRPr="00000000">
        <w:rPr>
          <w:rtl w:val="0"/>
        </w:rPr>
      </w:r>
    </w:p>
    <w:p w:rsidR="00000000" w:rsidDel="00000000" w:rsidP="00000000" w:rsidRDefault="00000000" w:rsidRPr="00000000" w14:paraId="0000002C">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D">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E">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F">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0">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1">
      <w:pPr>
        <w:pageBreakBefore w:val="0"/>
        <w:jc w:val="both"/>
        <w:rPr/>
      </w:pPr>
      <w:r w:rsidDel="00000000" w:rsidR="00000000" w:rsidRPr="00000000">
        <w:rPr>
          <w:rtl w:val="0"/>
        </w:rPr>
      </w:r>
    </w:p>
    <w:p w:rsidR="00000000" w:rsidDel="00000000" w:rsidP="00000000" w:rsidRDefault="00000000" w:rsidRPr="00000000" w14:paraId="00000032">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3">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4">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5">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6">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7">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4">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0">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A">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5B">
      <w:pPr>
        <w:pageBreakBefore w:val="0"/>
        <w:jc w:val="both"/>
        <w:rPr/>
      </w:pPr>
      <w:r w:rsidDel="00000000" w:rsidR="00000000" w:rsidRPr="00000000">
        <w:rPr>
          <w:rtl w:val="0"/>
        </w:rPr>
      </w:r>
    </w:p>
    <w:p w:rsidR="00000000" w:rsidDel="00000000" w:rsidP="00000000" w:rsidRDefault="00000000" w:rsidRPr="00000000" w14:paraId="0000005C">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5D">
      <w:pPr>
        <w:pageBreakBefore w:val="0"/>
        <w:jc w:val="both"/>
        <w:rPr/>
      </w:pPr>
      <w:r w:rsidDel="00000000" w:rsidR="00000000" w:rsidRPr="00000000">
        <w:rPr>
          <w:rtl w:val="0"/>
        </w:rPr>
      </w:r>
    </w:p>
    <w:p w:rsidR="00000000" w:rsidDel="00000000" w:rsidP="00000000" w:rsidRDefault="00000000" w:rsidRPr="00000000" w14:paraId="0000005E">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5F">
            <w:pPr>
              <w:pageBreakBefore w:val="0"/>
              <w:jc w:val="center"/>
              <w:rPr/>
            </w:pPr>
            <w:r w:rsidDel="00000000" w:rsidR="00000000" w:rsidRPr="00000000">
              <w:rPr>
                <w:rtl w:val="0"/>
              </w:rPr>
            </w:r>
          </w:p>
        </w:tc>
        <w:tc>
          <w:tcPr/>
          <w:p w:rsidR="00000000" w:rsidDel="00000000" w:rsidP="00000000" w:rsidRDefault="00000000" w:rsidRPr="00000000" w14:paraId="00000060">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1">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2">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3">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4">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5">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6">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7">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8">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69">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6A">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6B">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C">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6D">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6E">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6F">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0">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1">
            <w:pPr>
              <w:pageBreakBefore w:val="0"/>
              <w:jc w:val="center"/>
              <w:rPr/>
            </w:pPr>
            <w:r w:rsidDel="00000000" w:rsidR="00000000" w:rsidRPr="00000000">
              <w:rPr>
                <w:rtl w:val="0"/>
              </w:rPr>
            </w:r>
          </w:p>
        </w:tc>
        <w:tc>
          <w:tcPr/>
          <w:p w:rsidR="00000000" w:rsidDel="00000000" w:rsidP="00000000" w:rsidRDefault="00000000" w:rsidRPr="00000000" w14:paraId="00000072">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3">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4">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5">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6">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7">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78">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79">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A">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7B">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7C">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E">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7F">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0">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1">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2">
      <w:pPr>
        <w:pageBreakBefore w:val="0"/>
        <w:jc w:val="both"/>
        <w:rPr>
          <w:b w:val="1"/>
          <w:bCs w:val="1"/>
        </w:rPr>
      </w:pPr>
      <w:r w:rsidDel="00000000" w:rsidR="00000000" w:rsidRPr="00000000">
        <w:rPr>
          <w:rtl w:val="0"/>
        </w:rPr>
      </w:r>
    </w:p>
    <w:p w:rsidR="00000000" w:rsidDel="00000000" w:rsidP="00000000" w:rsidRDefault="00000000" w:rsidRPr="00000000" w14:paraId="00000083">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4">
      <w:pPr>
        <w:pageBreakBefore w:val="0"/>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South Africa'</w:t>
      </w:r>
      <w:r w:rsidDel="00000000" w:rsidR="00000000" w:rsidRPr="00000000">
        <w:rPr>
          <w:rtl w:val="0"/>
        </w:rPr>
        <w:t xml:space="preserve">s realized industry production strategy between 2019 and 2022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South Africa</w:t>
      </w:r>
      <w:r w:rsidDel="00000000" w:rsidR="00000000" w:rsidRPr="00000000">
        <w:rPr>
          <w:rtl w:val="0"/>
        </w:rPr>
        <w:t xml:space="preserve"> and the 18 product groups in 2022 through the difference, where a positive RID indicates a shortening of the distance (i.e., advancement of the industry), and a negative RID indicates the reverse. </w:t>
      </w:r>
    </w:p>
    <w:p w:rsidR="00000000" w:rsidDel="00000000" w:rsidP="00000000" w:rsidRDefault="00000000" w:rsidRPr="00000000" w14:paraId="00000085">
      <w:pPr>
        <w:pageBreakBefore w:val="0"/>
        <w:jc w:val="both"/>
        <w:rPr/>
      </w:pPr>
      <w:r w:rsidDel="00000000" w:rsidR="00000000" w:rsidRPr="00000000">
        <w:rPr>
          <w:rtl w:val="0"/>
        </w:rPr>
      </w:r>
    </w:p>
    <w:tbl>
      <w:tblPr>
        <w:tblStyle w:val="Table4"/>
        <w:tblW w:w="4455.0" w:type="dxa"/>
        <w:jc w:val="center"/>
        <w:tblLayout w:type="fixed"/>
        <w:tblLook w:val="0600"/>
      </w:tblPr>
      <w:tblGrid>
        <w:gridCol w:w="2880"/>
        <w:gridCol w:w="1575"/>
        <w:tblGridChange w:id="0">
          <w:tblGrid>
            <w:gridCol w:w="2880"/>
            <w:gridCol w:w="1575"/>
          </w:tblGrid>
        </w:tblGridChange>
      </w:tblGrid>
      <w:tr>
        <w:trPr>
          <w:cantSplit w:val="0"/>
          <w:trHeight w:val="315" w:hRule="atLeast"/>
          <w:tblHeader w:val="1"/>
        </w:trPr>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(2022)</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8">
            <w:pPr>
              <w:widowControl w:val="0"/>
              <w:spacing w:line="276" w:lineRule="auto"/>
              <w:ind w:left="180" w:firstLine="0"/>
              <w:rPr>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-0.10744</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A">
            <w:pPr>
              <w:widowControl w:val="0"/>
              <w:spacing w:line="276" w:lineRule="auto"/>
              <w:ind w:left="180" w:firstLine="0"/>
              <w:rPr>
                <w:sz w:val="20"/>
                <w:szCs w:val="20"/>
              </w:rPr>
            </w:pPr>
            <w:r w:rsidDel="00000000" w:rsidR="00000000" w:rsidRPr="00000000">
              <w:rPr>
                <w:color w:val="7b7b7b"/>
                <w:sz w:val="20"/>
                <w:szCs w:val="20"/>
                <w:rtl w:val="0"/>
              </w:rPr>
              <w:t xml:space="preserve">Weapons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-0.15176</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C">
            <w:pPr>
              <w:widowControl w:val="0"/>
              <w:spacing w:line="276" w:lineRule="auto"/>
              <w:ind w:left="180" w:firstLine="0"/>
              <w:rPr>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-0.07277</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E">
            <w:pPr>
              <w:widowControl w:val="0"/>
              <w:spacing w:line="276" w:lineRule="auto"/>
              <w:ind w:left="180" w:firstLine="0"/>
              <w:rPr>
                <w:sz w:val="20"/>
                <w:szCs w:val="20"/>
              </w:rPr>
            </w:pPr>
            <w:r w:rsidDel="00000000" w:rsidR="00000000" w:rsidRPr="00000000">
              <w:rPr>
                <w:color w:val="7b7b7b"/>
                <w:sz w:val="20"/>
                <w:szCs w:val="20"/>
                <w:rtl w:val="0"/>
              </w:rPr>
              <w:t xml:space="preserve">Daily Instruments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-0.12008</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0">
            <w:pPr>
              <w:widowControl w:val="0"/>
              <w:spacing w:line="276" w:lineRule="auto"/>
              <w:ind w:left="180" w:firstLine="0"/>
              <w:rPr>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-0.08767</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2">
            <w:pPr>
              <w:widowControl w:val="0"/>
              <w:spacing w:line="276" w:lineRule="auto"/>
              <w:ind w:left="180" w:firstLine="0"/>
              <w:rPr>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-0.08182</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4">
            <w:pPr>
              <w:widowControl w:val="0"/>
              <w:spacing w:line="276" w:lineRule="auto"/>
              <w:ind w:left="180" w:firstLine="0"/>
              <w:rPr>
                <w:sz w:val="20"/>
                <w:szCs w:val="20"/>
              </w:rPr>
            </w:pPr>
            <w:r w:rsidDel="00000000" w:rsidR="00000000" w:rsidRPr="00000000">
              <w:rPr>
                <w:color w:val="7b7b7b"/>
                <w:sz w:val="20"/>
                <w:szCs w:val="20"/>
                <w:rtl w:val="0"/>
              </w:rPr>
              <w:t xml:space="preserve">Chemicals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-0.05315</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6">
            <w:pPr>
              <w:widowControl w:val="0"/>
              <w:spacing w:line="276" w:lineRule="auto"/>
              <w:ind w:left="180" w:firstLine="0"/>
              <w:rPr>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-0.05624</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8">
            <w:pPr>
              <w:widowControl w:val="0"/>
              <w:spacing w:line="276" w:lineRule="auto"/>
              <w:ind w:left="180" w:firstLine="0"/>
              <w:rPr>
                <w:sz w:val="20"/>
                <w:szCs w:val="20"/>
              </w:rPr>
            </w:pPr>
            <w:r w:rsidDel="00000000" w:rsidR="00000000" w:rsidRPr="00000000">
              <w:rPr>
                <w:color w:val="7b7b7b"/>
                <w:sz w:val="20"/>
                <w:szCs w:val="20"/>
                <w:rtl w:val="0"/>
              </w:rPr>
              <w:t xml:space="preserve">Textile</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-0.09098</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A">
            <w:pPr>
              <w:widowControl w:val="0"/>
              <w:spacing w:line="276" w:lineRule="auto"/>
              <w:ind w:left="180" w:firstLine="0"/>
              <w:rPr>
                <w:sz w:val="20"/>
                <w:szCs w:val="20"/>
              </w:rPr>
            </w:pPr>
            <w:r w:rsidDel="00000000" w:rsidR="00000000" w:rsidRPr="00000000">
              <w:rPr>
                <w:color w:val="7b7b7b"/>
                <w:sz w:val="20"/>
                <w:szCs w:val="20"/>
                <w:rtl w:val="0"/>
              </w:rPr>
              <w:t xml:space="preserve">Metals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-0.97420</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C">
            <w:pPr>
              <w:widowControl w:val="0"/>
              <w:spacing w:line="276" w:lineRule="auto"/>
              <w:ind w:left="180" w:firstLine="0"/>
              <w:rPr>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-0.07244</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E">
            <w:pPr>
              <w:widowControl w:val="0"/>
              <w:spacing w:line="276" w:lineRule="auto"/>
              <w:ind w:left="180" w:firstLine="0"/>
              <w:rPr>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-0.09986</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0">
            <w:pPr>
              <w:widowControl w:val="0"/>
              <w:spacing w:line="276" w:lineRule="auto"/>
              <w:ind w:left="180" w:firstLine="0"/>
              <w:rPr>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-0.02882</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2">
            <w:pPr>
              <w:widowControl w:val="0"/>
              <w:spacing w:line="276" w:lineRule="auto"/>
              <w:ind w:left="180" w:firstLine="0"/>
              <w:rPr>
                <w:sz w:val="20"/>
                <w:szCs w:val="20"/>
              </w:rPr>
            </w:pPr>
            <w:r w:rsidDel="00000000" w:rsidR="00000000" w:rsidRPr="00000000">
              <w:rPr>
                <w:color w:val="7b7b7b"/>
                <w:sz w:val="20"/>
                <w:szCs w:val="20"/>
                <w:rtl w:val="0"/>
              </w:rPr>
              <w:t xml:space="preserve">Animal and By-products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-0.11875</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4">
            <w:pPr>
              <w:widowControl w:val="0"/>
              <w:spacing w:line="276" w:lineRule="auto"/>
              <w:ind w:left="180" w:firstLine="0"/>
              <w:rPr>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-0.07465</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6">
            <w:pPr>
              <w:widowControl w:val="0"/>
              <w:spacing w:line="276" w:lineRule="auto"/>
              <w:ind w:left="180" w:firstLine="0"/>
              <w:rPr>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-0.10165</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8">
            <w:pPr>
              <w:widowControl w:val="0"/>
              <w:spacing w:line="276" w:lineRule="auto"/>
              <w:ind w:left="180" w:firstLine="0"/>
              <w:rPr>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-0.08767</w:t>
            </w:r>
          </w:p>
        </w:tc>
      </w:tr>
      <w:tr>
        <w:trPr>
          <w:cantSplit w:val="0"/>
          <w:trHeight w:val="246.24" w:hRule="atLeast"/>
          <w:tblHeader w:val="0"/>
        </w:trPr>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A">
            <w:pPr>
              <w:widowControl w:val="0"/>
              <w:spacing w:line="276" w:lineRule="auto"/>
              <w:ind w:left="180" w:firstLine="0"/>
              <w:rPr>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-0.00991</w:t>
            </w:r>
          </w:p>
        </w:tc>
      </w:tr>
    </w:tbl>
    <w:p w:rsidR="00000000" w:rsidDel="00000000" w:rsidP="00000000" w:rsidRDefault="00000000" w:rsidRPr="00000000" w14:paraId="000000AC">
      <w:pPr>
        <w:pageBreakBefore w:val="0"/>
        <w:jc w:val="center"/>
        <w:rPr>
          <w:b w:val="1"/>
          <w:bCs w:val="1"/>
        </w:rPr>
      </w:pPr>
      <w:r w:rsidDel="00000000" w:rsidR="00000000" w:rsidRPr="00000000">
        <w:rPr>
          <w:sz w:val="22"/>
          <w:szCs w:val="22"/>
          <w:rtl w:val="0"/>
        </w:rPr>
        <w:t xml:space="preserve">Table 3. Realized Industry Development (RID) of </w:t>
      </w:r>
      <w:r w:rsidDel="00000000" w:rsidR="00000000" w:rsidRPr="00000000">
        <w:rPr>
          <w:sz w:val="22"/>
          <w:szCs w:val="22"/>
          <w:rtl w:val="0"/>
        </w:rPr>
        <w:t xml:space="preserve">South Africa</w:t>
      </w:r>
      <w:r w:rsidDel="00000000" w:rsidR="00000000" w:rsidRPr="00000000">
        <w:rPr>
          <w:rtl w:val="0"/>
        </w:rPr>
      </w:r>
    </w:p>
    <w:p w:rsidR="00000000" w:rsidDel="00000000" w:rsidP="00000000" w:rsidRDefault="00000000" w:rsidRPr="00000000" w14:paraId="000000AD">
      <w:pPr>
        <w:pageBreakBefore w:val="0"/>
        <w:jc w:val="both"/>
        <w:rPr>
          <w:b w:val="1"/>
          <w:bCs w:val="1"/>
        </w:rPr>
      </w:pPr>
      <w:r w:rsidDel="00000000" w:rsidR="00000000" w:rsidRPr="00000000">
        <w:rPr>
          <w:rtl w:val="0"/>
        </w:rPr>
      </w:r>
    </w:p>
    <w:p w:rsidR="00000000" w:rsidDel="00000000" w:rsidP="00000000" w:rsidRDefault="00000000" w:rsidRPr="00000000" w14:paraId="000000AE">
      <w:pPr>
        <w:pageBreakBefore w:val="0"/>
        <w:jc w:val="both"/>
        <w:rPr>
          <w:b w:val="1"/>
          <w:bCs w:val="1"/>
        </w:rPr>
      </w:pPr>
      <w:r w:rsidDel="00000000" w:rsidR="00000000" w:rsidRPr="00000000">
        <w:rPr>
          <w:rtl w:val="0"/>
        </w:rPr>
      </w:r>
    </w:p>
    <w:p w:rsidR="00000000" w:rsidDel="00000000" w:rsidP="00000000" w:rsidRDefault="00000000" w:rsidRPr="00000000" w14:paraId="000000AF">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B0">
      <w:pPr>
        <w:jc w:val="both"/>
        <w:rPr/>
      </w:pPr>
      <w:r w:rsidDel="00000000" w:rsidR="00000000" w:rsidRPr="00000000">
        <w:rPr>
          <w:rtl w:val="0"/>
        </w:rPr>
        <w:t xml:space="preserve">Table 4a below summarize how the production strategy adopted by South Africa compares with selected leading economies in the world across different years, as measured in RID. Leading economies such as France, USA, and UAE gave a considerable level of attention to more advanced product groups such as Services and Utilities, Energy Drilling and Textiles in 2022.</w:t>
      </w:r>
    </w:p>
    <w:p w:rsidR="00000000" w:rsidDel="00000000" w:rsidP="00000000" w:rsidRDefault="00000000" w:rsidRPr="00000000" w14:paraId="000000B1">
      <w:pPr>
        <w:jc w:val="both"/>
        <w:rPr/>
      </w:pPr>
      <w:r w:rsidDel="00000000" w:rsidR="00000000" w:rsidRPr="00000000">
        <w:rPr>
          <w:rtl w:val="0"/>
        </w:rPr>
      </w:r>
    </w:p>
    <w:tbl>
      <w:tblPr>
        <w:tblStyle w:val="Table5"/>
        <w:tblW w:w="8955.0" w:type="dxa"/>
        <w:jc w:val="center"/>
        <w:tblLayout w:type="fixed"/>
        <w:tblLook w:val="04A0"/>
      </w:tblPr>
      <w:tblGrid>
        <w:gridCol w:w="1110"/>
        <w:gridCol w:w="2625"/>
        <w:gridCol w:w="2580"/>
        <w:gridCol w:w="2640"/>
        <w:tblGridChange w:id="0">
          <w:tblGrid>
            <w:gridCol w:w="1110"/>
            <w:gridCol w:w="2625"/>
            <w:gridCol w:w="2580"/>
            <w:gridCol w:w="2640"/>
          </w:tblGrid>
        </w:tblGridChange>
      </w:tblGrid>
      <w:tr>
        <w:trPr>
          <w:cantSplit w:val="0"/>
          <w:tblHeader w:val="0"/>
        </w:trPr>
        <w:tc>
          <w:tcPr>
            <w:vAlign w:val="center"/>
          </w:tcPr>
          <w:p w:rsidR="00000000" w:rsidDel="00000000" w:rsidP="00000000" w:rsidRDefault="00000000" w:rsidRPr="00000000" w14:paraId="000000B2">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B3">
            <w:pPr>
              <w:jc w:val="both"/>
              <w:rPr/>
            </w:pPr>
            <w:r w:rsidDel="00000000" w:rsidR="00000000" w:rsidRPr="00000000">
              <w:rPr>
                <w:rtl w:val="0"/>
              </w:rPr>
              <w:t xml:space="preserve">France</w:t>
            </w:r>
          </w:p>
        </w:tc>
        <w:tc>
          <w:tcPr>
            <w:vAlign w:val="center"/>
          </w:tcPr>
          <w:p w:rsidR="00000000" w:rsidDel="00000000" w:rsidP="00000000" w:rsidRDefault="00000000" w:rsidRPr="00000000" w14:paraId="000000B4">
            <w:pPr>
              <w:jc w:val="both"/>
              <w:rPr/>
            </w:pPr>
            <w:r w:rsidDel="00000000" w:rsidR="00000000" w:rsidRPr="00000000">
              <w:rPr>
                <w:rtl w:val="0"/>
              </w:rPr>
              <w:t xml:space="preserve">USA</w:t>
            </w:r>
          </w:p>
        </w:tc>
        <w:tc>
          <w:tcPr>
            <w:vAlign w:val="center"/>
          </w:tcPr>
          <w:p w:rsidR="00000000" w:rsidDel="00000000" w:rsidP="00000000" w:rsidRDefault="00000000" w:rsidRPr="00000000" w14:paraId="000000B5">
            <w:pPr>
              <w:jc w:val="both"/>
              <w:rPr/>
            </w:pPr>
            <w:r w:rsidDel="00000000" w:rsidR="00000000" w:rsidRPr="00000000">
              <w:rPr>
                <w:rtl w:val="0"/>
              </w:rPr>
              <w:t xml:space="preserve">United Arab Emirates</w:t>
            </w:r>
          </w:p>
        </w:tc>
      </w:tr>
      <w:tr>
        <w:trPr>
          <w:cantSplit w:val="0"/>
          <w:tblHeader w:val="0"/>
        </w:trPr>
        <w:tc>
          <w:tcPr>
            <w:vAlign w:val="center"/>
          </w:tcPr>
          <w:p w:rsidR="00000000" w:rsidDel="00000000" w:rsidP="00000000" w:rsidRDefault="00000000" w:rsidRPr="00000000" w14:paraId="000000B6">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B7">
            <w:pPr>
              <w:jc w:val="both"/>
              <w:rPr>
                <w:sz w:val="18"/>
                <w:szCs w:val="18"/>
              </w:rPr>
            </w:pPr>
            <w:r w:rsidDel="00000000" w:rsidR="00000000" w:rsidRPr="00000000">
              <w:rPr>
                <w:color w:val="000000"/>
                <w:sz w:val="22"/>
                <w:szCs w:val="22"/>
                <w:rtl w:val="0"/>
              </w:rPr>
              <w:t xml:space="preserve">Machinery &amp; Construction</w:t>
            </w:r>
            <w:r w:rsidDel="00000000" w:rsidR="00000000" w:rsidRPr="00000000">
              <w:rPr>
                <w:rtl w:val="0"/>
              </w:rPr>
            </w:r>
          </w:p>
        </w:tc>
        <w:tc>
          <w:tcPr>
            <w:vAlign w:val="center"/>
          </w:tcPr>
          <w:p w:rsidR="00000000" w:rsidDel="00000000" w:rsidP="00000000" w:rsidRDefault="00000000" w:rsidRPr="00000000" w14:paraId="000000B8">
            <w:pPr>
              <w:jc w:val="both"/>
              <w:rPr>
                <w:sz w:val="18"/>
                <w:szCs w:val="18"/>
              </w:rPr>
            </w:pPr>
            <w:r w:rsidDel="00000000" w:rsidR="00000000" w:rsidRPr="00000000">
              <w:rPr>
                <w:color w:val="000000"/>
                <w:sz w:val="22"/>
                <w:szCs w:val="22"/>
                <w:rtl w:val="0"/>
              </w:rPr>
              <w:t xml:space="preserve">Wood Products</w:t>
            </w:r>
            <w:r w:rsidDel="00000000" w:rsidR="00000000" w:rsidRPr="00000000">
              <w:rPr>
                <w:rtl w:val="0"/>
              </w:rPr>
            </w:r>
          </w:p>
        </w:tc>
        <w:tc>
          <w:tcPr>
            <w:vAlign w:val="center"/>
          </w:tcPr>
          <w:p w:rsidR="00000000" w:rsidDel="00000000" w:rsidP="00000000" w:rsidRDefault="00000000" w:rsidRPr="00000000" w14:paraId="000000B9">
            <w:pPr>
              <w:jc w:val="both"/>
              <w:rPr>
                <w:color w:val="000000"/>
                <w:sz w:val="22"/>
                <w:szCs w:val="22"/>
              </w:rPr>
            </w:pPr>
            <w:r w:rsidDel="00000000" w:rsidR="00000000" w:rsidRPr="00000000">
              <w:rPr>
                <w:color w:val="000000"/>
                <w:sz w:val="22"/>
                <w:szCs w:val="22"/>
                <w:rtl w:val="0"/>
              </w:rPr>
              <w:t xml:space="preserve">Chemical Manufacturing</w:t>
            </w:r>
          </w:p>
        </w:tc>
      </w:tr>
      <w:tr>
        <w:trPr>
          <w:cantSplit w:val="0"/>
          <w:tblHeader w:val="0"/>
        </w:trPr>
        <w:tc>
          <w:tcPr>
            <w:vAlign w:val="center"/>
          </w:tcPr>
          <w:p w:rsidR="00000000" w:rsidDel="00000000" w:rsidP="00000000" w:rsidRDefault="00000000" w:rsidRPr="00000000" w14:paraId="000000BA">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BB">
            <w:pPr>
              <w:jc w:val="both"/>
              <w:rPr>
                <w:sz w:val="18"/>
                <w:szCs w:val="18"/>
              </w:rPr>
            </w:pPr>
            <w:r w:rsidDel="00000000" w:rsidR="00000000" w:rsidRPr="00000000">
              <w:rPr>
                <w:color w:val="000000"/>
                <w:sz w:val="22"/>
                <w:szCs w:val="22"/>
                <w:rtl w:val="0"/>
              </w:rPr>
              <w:t xml:space="preserve">Services &amp; Utilities</w:t>
            </w:r>
            <w:r w:rsidDel="00000000" w:rsidR="00000000" w:rsidRPr="00000000">
              <w:rPr>
                <w:rtl w:val="0"/>
              </w:rPr>
            </w:r>
          </w:p>
        </w:tc>
        <w:tc>
          <w:tcPr>
            <w:vAlign w:val="center"/>
          </w:tcPr>
          <w:p w:rsidR="00000000" w:rsidDel="00000000" w:rsidP="00000000" w:rsidRDefault="00000000" w:rsidRPr="00000000" w14:paraId="000000BC">
            <w:pPr>
              <w:jc w:val="both"/>
              <w:rPr>
                <w:sz w:val="18"/>
                <w:szCs w:val="18"/>
              </w:rPr>
            </w:pPr>
            <w:r w:rsidDel="00000000" w:rsidR="00000000" w:rsidRPr="00000000">
              <w:rPr>
                <w:color w:val="000000"/>
                <w:sz w:val="22"/>
                <w:szCs w:val="22"/>
                <w:rtl w:val="0"/>
              </w:rPr>
              <w:t xml:space="preserve">Precious Stones</w:t>
            </w:r>
            <w:r w:rsidDel="00000000" w:rsidR="00000000" w:rsidRPr="00000000">
              <w:rPr>
                <w:rtl w:val="0"/>
              </w:rPr>
            </w:r>
          </w:p>
        </w:tc>
        <w:tc>
          <w:tcPr>
            <w:vAlign w:val="center"/>
          </w:tcPr>
          <w:p w:rsidR="00000000" w:rsidDel="00000000" w:rsidP="00000000" w:rsidRDefault="00000000" w:rsidRPr="00000000" w14:paraId="000000BD">
            <w:pPr>
              <w:jc w:val="both"/>
              <w:rPr>
                <w:sz w:val="18"/>
                <w:szCs w:val="18"/>
              </w:rPr>
            </w:pPr>
            <w:r w:rsidDel="00000000" w:rsidR="00000000" w:rsidRPr="00000000">
              <w:rPr>
                <w:color w:val="000000"/>
                <w:sz w:val="22"/>
                <w:szCs w:val="22"/>
                <w:rtl w:val="0"/>
              </w:rPr>
              <w:t xml:space="preserve">Machinery &amp; Construction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E">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BF">
            <w:pPr>
              <w:jc w:val="both"/>
              <w:rPr>
                <w:sz w:val="18"/>
                <w:szCs w:val="18"/>
              </w:rPr>
            </w:pPr>
            <w:r w:rsidDel="00000000" w:rsidR="00000000" w:rsidRPr="00000000">
              <w:rPr>
                <w:color w:val="000000"/>
                <w:sz w:val="22"/>
                <w:szCs w:val="22"/>
                <w:rtl w:val="0"/>
              </w:rPr>
              <w:t xml:space="preserve">High-complexity Products</w:t>
            </w:r>
            <w:r w:rsidDel="00000000" w:rsidR="00000000" w:rsidRPr="00000000">
              <w:rPr>
                <w:rtl w:val="0"/>
              </w:rPr>
            </w:r>
          </w:p>
        </w:tc>
        <w:tc>
          <w:tcPr>
            <w:vAlign w:val="center"/>
          </w:tcPr>
          <w:p w:rsidR="00000000" w:rsidDel="00000000" w:rsidP="00000000" w:rsidRDefault="00000000" w:rsidRPr="00000000" w14:paraId="000000C0">
            <w:pPr>
              <w:jc w:val="both"/>
              <w:rPr>
                <w:sz w:val="18"/>
                <w:szCs w:val="18"/>
              </w:rPr>
            </w:pPr>
            <w:r w:rsidDel="00000000" w:rsidR="00000000" w:rsidRPr="00000000">
              <w:rPr>
                <w:color w:val="000000"/>
                <w:sz w:val="22"/>
                <w:szCs w:val="22"/>
                <w:rtl w:val="0"/>
              </w:rPr>
              <w:t xml:space="preserve">Machinery &amp; Construction</w:t>
            </w:r>
            <w:r w:rsidDel="00000000" w:rsidR="00000000" w:rsidRPr="00000000">
              <w:rPr>
                <w:rtl w:val="0"/>
              </w:rPr>
            </w:r>
          </w:p>
        </w:tc>
        <w:tc>
          <w:tcPr>
            <w:vAlign w:val="center"/>
          </w:tcPr>
          <w:p w:rsidR="00000000" w:rsidDel="00000000" w:rsidP="00000000" w:rsidRDefault="00000000" w:rsidRPr="00000000" w14:paraId="000000C1">
            <w:pPr>
              <w:jc w:val="both"/>
              <w:rPr>
                <w:sz w:val="18"/>
                <w:szCs w:val="18"/>
              </w:rPr>
            </w:pPr>
            <w:r w:rsidDel="00000000" w:rsidR="00000000" w:rsidRPr="00000000">
              <w:rPr>
                <w:color w:val="000000"/>
                <w:sz w:val="22"/>
                <w:szCs w:val="22"/>
                <w:rtl w:val="0"/>
              </w:rPr>
              <w:t xml:space="preserve">Energy Drilling &amp; Mining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C3">
            <w:pPr>
              <w:jc w:val="both"/>
              <w:rPr>
                <w:color w:val="000000"/>
                <w:sz w:val="22"/>
                <w:szCs w:val="22"/>
              </w:rPr>
            </w:pPr>
            <w:r w:rsidDel="00000000" w:rsidR="00000000" w:rsidRPr="00000000">
              <w:rPr>
                <w:color w:val="000000"/>
                <w:sz w:val="22"/>
                <w:szCs w:val="22"/>
                <w:rtl w:val="0"/>
              </w:rPr>
              <w:t xml:space="preserve">Wood Products</w:t>
            </w:r>
          </w:p>
        </w:tc>
        <w:tc>
          <w:tcPr>
            <w:vAlign w:val="center"/>
          </w:tcPr>
          <w:p w:rsidR="00000000" w:rsidDel="00000000" w:rsidP="00000000" w:rsidRDefault="00000000" w:rsidRPr="00000000" w14:paraId="000000C4">
            <w:pPr>
              <w:jc w:val="both"/>
              <w:rPr>
                <w:sz w:val="18"/>
                <w:szCs w:val="18"/>
              </w:rPr>
            </w:pPr>
            <w:r w:rsidDel="00000000" w:rsidR="00000000" w:rsidRPr="00000000">
              <w:rPr>
                <w:color w:val="000000"/>
                <w:sz w:val="22"/>
                <w:szCs w:val="22"/>
                <w:rtl w:val="0"/>
              </w:rPr>
              <w:t xml:space="preserve">High-complexity Products</w:t>
            </w:r>
            <w:r w:rsidDel="00000000" w:rsidR="00000000" w:rsidRPr="00000000">
              <w:rPr>
                <w:rtl w:val="0"/>
              </w:rPr>
            </w:r>
          </w:p>
        </w:tc>
        <w:tc>
          <w:tcPr>
            <w:vAlign w:val="center"/>
          </w:tcPr>
          <w:p w:rsidR="00000000" w:rsidDel="00000000" w:rsidP="00000000" w:rsidRDefault="00000000" w:rsidRPr="00000000" w14:paraId="000000C5">
            <w:pPr>
              <w:jc w:val="both"/>
              <w:rPr>
                <w:sz w:val="18"/>
                <w:szCs w:val="18"/>
              </w:rPr>
            </w:pPr>
            <w:r w:rsidDel="00000000" w:rsidR="00000000" w:rsidRPr="00000000">
              <w:rPr>
                <w:color w:val="000000"/>
                <w:sz w:val="22"/>
                <w:szCs w:val="22"/>
                <w:rtl w:val="0"/>
              </w:rPr>
              <w:t xml:space="preserve">Metals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6">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C7">
            <w:pPr>
              <w:jc w:val="both"/>
              <w:rPr>
                <w:sz w:val="18"/>
                <w:szCs w:val="18"/>
              </w:rPr>
            </w:pPr>
            <w:r w:rsidDel="00000000" w:rsidR="00000000" w:rsidRPr="00000000">
              <w:rPr>
                <w:color w:val="000000"/>
                <w:sz w:val="22"/>
                <w:szCs w:val="22"/>
                <w:rtl w:val="0"/>
              </w:rPr>
              <w:t xml:space="preserve">Textile</w:t>
            </w:r>
            <w:r w:rsidDel="00000000" w:rsidR="00000000" w:rsidRPr="00000000">
              <w:rPr>
                <w:rtl w:val="0"/>
              </w:rPr>
            </w:r>
          </w:p>
        </w:tc>
        <w:tc>
          <w:tcPr>
            <w:vAlign w:val="center"/>
          </w:tcPr>
          <w:p w:rsidR="00000000" w:rsidDel="00000000" w:rsidP="00000000" w:rsidRDefault="00000000" w:rsidRPr="00000000" w14:paraId="000000C8">
            <w:pPr>
              <w:jc w:val="both"/>
              <w:rPr>
                <w:sz w:val="18"/>
                <w:szCs w:val="18"/>
              </w:rPr>
            </w:pPr>
            <w:r w:rsidDel="00000000" w:rsidR="00000000" w:rsidRPr="00000000">
              <w:rPr>
                <w:color w:val="000000"/>
                <w:sz w:val="22"/>
                <w:szCs w:val="22"/>
                <w:rtl w:val="0"/>
              </w:rPr>
              <w:t xml:space="preserve">Transportation</w:t>
            </w:r>
            <w:r w:rsidDel="00000000" w:rsidR="00000000" w:rsidRPr="00000000">
              <w:rPr>
                <w:rtl w:val="0"/>
              </w:rPr>
            </w:r>
          </w:p>
        </w:tc>
        <w:tc>
          <w:tcPr>
            <w:vAlign w:val="center"/>
          </w:tcPr>
          <w:p w:rsidR="00000000" w:rsidDel="00000000" w:rsidP="00000000" w:rsidRDefault="00000000" w:rsidRPr="00000000" w14:paraId="000000C9">
            <w:pPr>
              <w:jc w:val="both"/>
              <w:rPr>
                <w:sz w:val="18"/>
                <w:szCs w:val="18"/>
              </w:rPr>
            </w:pPr>
            <w:r w:rsidDel="00000000" w:rsidR="00000000" w:rsidRPr="00000000">
              <w:rPr>
                <w:color w:val="000000"/>
                <w:sz w:val="22"/>
                <w:szCs w:val="22"/>
                <w:rtl w:val="0"/>
              </w:rPr>
              <w:t xml:space="preserve">Vegetables, Fruits &amp; Plants</w:t>
            </w:r>
            <w:r w:rsidDel="00000000" w:rsidR="00000000" w:rsidRPr="00000000">
              <w:rPr>
                <w:rtl w:val="0"/>
              </w:rPr>
            </w:r>
          </w:p>
        </w:tc>
      </w:tr>
    </w:tbl>
    <w:p w:rsidR="00000000" w:rsidDel="00000000" w:rsidP="00000000" w:rsidRDefault="00000000" w:rsidRPr="00000000" w14:paraId="000000CA">
      <w:pPr>
        <w:jc w:val="center"/>
        <w:rPr/>
      </w:pPr>
      <w:r w:rsidDel="00000000" w:rsidR="00000000" w:rsidRPr="00000000">
        <w:rPr>
          <w:sz w:val="22"/>
          <w:szCs w:val="22"/>
          <w:rtl w:val="0"/>
        </w:rPr>
        <w:t xml:space="preserve">Table 4a. RID Comparison across Leading Economies (2022)</w:t>
      </w:r>
      <w:r w:rsidDel="00000000" w:rsidR="00000000" w:rsidRPr="00000000">
        <w:rPr>
          <w:rtl w:val="0"/>
        </w:rPr>
      </w:r>
    </w:p>
    <w:p w:rsidR="00000000" w:rsidDel="00000000" w:rsidP="00000000" w:rsidRDefault="00000000" w:rsidRPr="00000000" w14:paraId="000000CB">
      <w:pPr>
        <w:jc w:val="center"/>
        <w:rPr>
          <w:sz w:val="22"/>
          <w:szCs w:val="22"/>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t xml:space="preserve">Table 4b further examines South Africa’s development strategy against those of emerging economies on a global scale. Reasonably, emerging economies such as China and Singapore have devoted the majority of their efforts to intermediate industry groups, showing moderate shifts in strategies over the course of three years.</w:t>
      </w:r>
    </w:p>
    <w:p w:rsidR="00000000" w:rsidDel="00000000" w:rsidP="00000000" w:rsidRDefault="00000000" w:rsidRPr="00000000" w14:paraId="000000CD">
      <w:pPr>
        <w:jc w:val="both"/>
        <w:rPr/>
      </w:pPr>
      <w:r w:rsidDel="00000000" w:rsidR="00000000" w:rsidRPr="00000000">
        <w:rPr>
          <w:rtl w:val="0"/>
        </w:rPr>
      </w:r>
    </w:p>
    <w:tbl>
      <w:tblPr>
        <w:tblStyle w:val="Table6"/>
        <w:tblW w:w="6515.999999999999" w:type="dxa"/>
        <w:jc w:val="center"/>
        <w:tblLayout w:type="fixed"/>
        <w:tblLook w:val="04A0"/>
      </w:tblPr>
      <w:tblGrid>
        <w:gridCol w:w="1122"/>
        <w:gridCol w:w="2842"/>
        <w:gridCol w:w="2552"/>
        <w:tblGridChange w:id="0">
          <w:tblGrid>
            <w:gridCol w:w="1122"/>
            <w:gridCol w:w="2842"/>
            <w:gridCol w:w="2552"/>
          </w:tblGrid>
        </w:tblGridChange>
      </w:tblGrid>
      <w:tr>
        <w:trPr>
          <w:cantSplit w:val="0"/>
          <w:trHeight w:val="135" w:hRule="atLeast"/>
          <w:tblHeader w:val="0"/>
        </w:trPr>
        <w:tc>
          <w:tcPr/>
          <w:p w:rsidR="00000000" w:rsidDel="00000000" w:rsidP="00000000" w:rsidRDefault="00000000" w:rsidRPr="00000000" w14:paraId="000000CE">
            <w:pPr>
              <w:jc w:val="both"/>
              <w:rPr/>
            </w:pPr>
            <w:r w:rsidDel="00000000" w:rsidR="00000000" w:rsidRPr="00000000">
              <w:rPr>
                <w:rtl w:val="0"/>
              </w:rPr>
              <w:t xml:space="preserve">Ranking</w:t>
            </w:r>
          </w:p>
        </w:tc>
        <w:tc>
          <w:tcPr/>
          <w:p w:rsidR="00000000" w:rsidDel="00000000" w:rsidP="00000000" w:rsidRDefault="00000000" w:rsidRPr="00000000" w14:paraId="000000CF">
            <w:pPr>
              <w:jc w:val="both"/>
              <w:rPr/>
            </w:pPr>
            <w:r w:rsidDel="00000000" w:rsidR="00000000" w:rsidRPr="00000000">
              <w:rPr>
                <w:rtl w:val="0"/>
              </w:rPr>
              <w:t xml:space="preserve">China</w:t>
            </w:r>
          </w:p>
        </w:tc>
        <w:tc>
          <w:tcPr/>
          <w:p w:rsidR="00000000" w:rsidDel="00000000" w:rsidP="00000000" w:rsidRDefault="00000000" w:rsidRPr="00000000" w14:paraId="000000D0">
            <w:pPr>
              <w:jc w:val="both"/>
              <w:rPr/>
            </w:pPr>
            <w:r w:rsidDel="00000000" w:rsidR="00000000" w:rsidRPr="00000000">
              <w:rPr>
                <w:rtl w:val="0"/>
              </w:rPr>
              <w:t xml:space="preserve">Singapore</w:t>
            </w:r>
          </w:p>
        </w:tc>
      </w:tr>
      <w:tr>
        <w:trPr>
          <w:cantSplit w:val="0"/>
          <w:trHeight w:val="275.00000000000006" w:hRule="atLeast"/>
          <w:tblHeader w:val="0"/>
        </w:trPr>
        <w:tc>
          <w:tcPr/>
          <w:p w:rsidR="00000000" w:rsidDel="00000000" w:rsidP="00000000" w:rsidRDefault="00000000" w:rsidRPr="00000000" w14:paraId="000000D1">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D2">
            <w:pPr>
              <w:jc w:val="both"/>
              <w:rPr>
                <w:color w:val="000000"/>
                <w:sz w:val="22"/>
                <w:szCs w:val="22"/>
              </w:rPr>
            </w:pPr>
            <w:r w:rsidDel="00000000" w:rsidR="00000000" w:rsidRPr="00000000">
              <w:rPr>
                <w:color w:val="000000"/>
                <w:sz w:val="22"/>
                <w:szCs w:val="22"/>
                <w:rtl w:val="0"/>
              </w:rPr>
              <w:t xml:space="preserve">Weapons</w:t>
            </w:r>
          </w:p>
        </w:tc>
        <w:tc>
          <w:tcPr>
            <w:vAlign w:val="bottom"/>
          </w:tcPr>
          <w:p w:rsidR="00000000" w:rsidDel="00000000" w:rsidP="00000000" w:rsidRDefault="00000000" w:rsidRPr="00000000" w14:paraId="000000D3">
            <w:pPr>
              <w:jc w:val="both"/>
              <w:rPr>
                <w:color w:val="000000"/>
                <w:sz w:val="22"/>
                <w:szCs w:val="22"/>
              </w:rPr>
            </w:pPr>
            <w:r w:rsidDel="00000000" w:rsidR="00000000" w:rsidRPr="00000000">
              <w:rPr>
                <w:color w:val="000000"/>
                <w:sz w:val="22"/>
                <w:szCs w:val="22"/>
                <w:rtl w:val="0"/>
              </w:rPr>
              <w:t xml:space="preserve">Energy Drilling &amp; Mining</w:t>
            </w:r>
          </w:p>
        </w:tc>
      </w:tr>
      <w:tr>
        <w:trPr>
          <w:cantSplit w:val="0"/>
          <w:trHeight w:val="275.00000000000006" w:hRule="atLeast"/>
          <w:tblHeader w:val="0"/>
        </w:trPr>
        <w:tc>
          <w:tcPr>
            <w:shd w:fill="ffffff" w:val="clear"/>
          </w:tcPr>
          <w:p w:rsidR="00000000" w:rsidDel="00000000" w:rsidP="00000000" w:rsidRDefault="00000000" w:rsidRPr="00000000" w14:paraId="000000D4">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D5">
            <w:pPr>
              <w:jc w:val="both"/>
              <w:rPr>
                <w:color w:val="000000"/>
                <w:sz w:val="22"/>
                <w:szCs w:val="22"/>
              </w:rPr>
            </w:pPr>
            <w:r w:rsidDel="00000000" w:rsidR="00000000" w:rsidRPr="00000000">
              <w:rPr>
                <w:color w:val="000000"/>
                <w:sz w:val="22"/>
                <w:szCs w:val="22"/>
                <w:rtl w:val="0"/>
              </w:rPr>
              <w:t xml:space="preserve">Machinery &amp; Construction</w:t>
            </w:r>
          </w:p>
        </w:tc>
        <w:tc>
          <w:tcPr>
            <w:vAlign w:val="bottom"/>
          </w:tcPr>
          <w:p w:rsidR="00000000" w:rsidDel="00000000" w:rsidP="00000000" w:rsidRDefault="00000000" w:rsidRPr="00000000" w14:paraId="000000D6">
            <w:pPr>
              <w:jc w:val="both"/>
              <w:rPr>
                <w:color w:val="000000"/>
                <w:sz w:val="22"/>
                <w:szCs w:val="22"/>
              </w:rPr>
            </w:pPr>
            <w:r w:rsidDel="00000000" w:rsidR="00000000" w:rsidRPr="00000000">
              <w:rPr>
                <w:color w:val="000000"/>
                <w:sz w:val="22"/>
                <w:szCs w:val="22"/>
                <w:rtl w:val="0"/>
              </w:rPr>
              <w:t xml:space="preserve">Weapons</w:t>
            </w:r>
          </w:p>
        </w:tc>
      </w:tr>
      <w:tr>
        <w:trPr>
          <w:cantSplit w:val="0"/>
          <w:trHeight w:val="275.00000000000006" w:hRule="atLeast"/>
          <w:tblHeader w:val="0"/>
        </w:trPr>
        <w:tc>
          <w:tcPr/>
          <w:p w:rsidR="00000000" w:rsidDel="00000000" w:rsidP="00000000" w:rsidRDefault="00000000" w:rsidRPr="00000000" w14:paraId="000000D7">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D8">
            <w:pPr>
              <w:jc w:val="both"/>
              <w:rPr>
                <w:color w:val="000000"/>
                <w:sz w:val="22"/>
                <w:szCs w:val="22"/>
              </w:rPr>
            </w:pPr>
            <w:r w:rsidDel="00000000" w:rsidR="00000000" w:rsidRPr="00000000">
              <w:rPr>
                <w:color w:val="000000"/>
                <w:sz w:val="22"/>
                <w:szCs w:val="22"/>
                <w:rtl w:val="0"/>
              </w:rPr>
              <w:t xml:space="preserve">Chemicals</w:t>
            </w:r>
          </w:p>
        </w:tc>
        <w:tc>
          <w:tcPr>
            <w:vAlign w:val="bottom"/>
          </w:tcPr>
          <w:p w:rsidR="00000000" w:rsidDel="00000000" w:rsidP="00000000" w:rsidRDefault="00000000" w:rsidRPr="00000000" w14:paraId="000000D9">
            <w:pPr>
              <w:jc w:val="both"/>
              <w:rPr>
                <w:color w:val="000000"/>
                <w:sz w:val="22"/>
                <w:szCs w:val="22"/>
              </w:rPr>
            </w:pPr>
            <w:r w:rsidDel="00000000" w:rsidR="00000000" w:rsidRPr="00000000">
              <w:rPr>
                <w:color w:val="000000"/>
                <w:sz w:val="22"/>
                <w:szCs w:val="22"/>
                <w:rtl w:val="0"/>
              </w:rPr>
              <w:t xml:space="preserve">Textile</w:t>
            </w:r>
          </w:p>
        </w:tc>
      </w:tr>
      <w:tr>
        <w:trPr>
          <w:cantSplit w:val="0"/>
          <w:trHeight w:val="60" w:hRule="atLeast"/>
          <w:tblHeader w:val="0"/>
        </w:trPr>
        <w:tc>
          <w:tcPr/>
          <w:p w:rsidR="00000000" w:rsidDel="00000000" w:rsidP="00000000" w:rsidRDefault="00000000" w:rsidRPr="00000000" w14:paraId="000000DA">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DB">
            <w:pPr>
              <w:jc w:val="both"/>
              <w:rPr>
                <w:color w:val="000000"/>
                <w:sz w:val="22"/>
                <w:szCs w:val="22"/>
              </w:rPr>
            </w:pPr>
            <w:r w:rsidDel="00000000" w:rsidR="00000000" w:rsidRPr="00000000">
              <w:rPr>
                <w:color w:val="000000"/>
                <w:sz w:val="22"/>
                <w:szCs w:val="22"/>
                <w:rtl w:val="0"/>
              </w:rPr>
              <w:t xml:space="preserve">Raw Manufacturing</w:t>
            </w:r>
          </w:p>
        </w:tc>
        <w:tc>
          <w:tcPr>
            <w:vAlign w:val="bottom"/>
          </w:tcPr>
          <w:p w:rsidR="00000000" w:rsidDel="00000000" w:rsidP="00000000" w:rsidRDefault="00000000" w:rsidRPr="00000000" w14:paraId="000000DC">
            <w:pPr>
              <w:jc w:val="both"/>
              <w:rPr>
                <w:color w:val="000000"/>
                <w:sz w:val="22"/>
                <w:szCs w:val="22"/>
              </w:rPr>
            </w:pPr>
            <w:r w:rsidDel="00000000" w:rsidR="00000000" w:rsidRPr="00000000">
              <w:rPr>
                <w:color w:val="000000"/>
                <w:sz w:val="22"/>
                <w:szCs w:val="22"/>
                <w:rtl w:val="0"/>
              </w:rPr>
              <w:t xml:space="preserve">High-complexity Products</w:t>
            </w:r>
          </w:p>
        </w:tc>
      </w:tr>
      <w:tr>
        <w:trPr>
          <w:cantSplit w:val="0"/>
          <w:tblHeader w:val="0"/>
        </w:trPr>
        <w:tc>
          <w:tcPr/>
          <w:p w:rsidR="00000000" w:rsidDel="00000000" w:rsidP="00000000" w:rsidRDefault="00000000" w:rsidRPr="00000000" w14:paraId="000000DD">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DE">
            <w:pPr>
              <w:jc w:val="both"/>
              <w:rPr>
                <w:color w:val="000000"/>
                <w:sz w:val="22"/>
                <w:szCs w:val="22"/>
              </w:rPr>
            </w:pPr>
            <w:r w:rsidDel="00000000" w:rsidR="00000000" w:rsidRPr="00000000">
              <w:rPr>
                <w:color w:val="000000"/>
                <w:sz w:val="22"/>
                <w:szCs w:val="22"/>
                <w:rtl w:val="0"/>
              </w:rPr>
              <w:t xml:space="preserve">Clothing &amp; Accessories</w:t>
            </w:r>
          </w:p>
        </w:tc>
        <w:tc>
          <w:tcPr>
            <w:vAlign w:val="bottom"/>
          </w:tcPr>
          <w:p w:rsidR="00000000" w:rsidDel="00000000" w:rsidP="00000000" w:rsidRDefault="00000000" w:rsidRPr="00000000" w14:paraId="000000DF">
            <w:pPr>
              <w:jc w:val="both"/>
              <w:rPr>
                <w:color w:val="000000"/>
                <w:sz w:val="22"/>
                <w:szCs w:val="22"/>
              </w:rPr>
            </w:pPr>
            <w:r w:rsidDel="00000000" w:rsidR="00000000" w:rsidRPr="00000000">
              <w:rPr>
                <w:color w:val="000000"/>
                <w:sz w:val="22"/>
                <w:szCs w:val="22"/>
                <w:rtl w:val="0"/>
              </w:rPr>
              <w:t xml:space="preserve">Animals &amp; By-products</w:t>
            </w:r>
          </w:p>
        </w:tc>
      </w:tr>
    </w:tbl>
    <w:p w:rsidR="00000000" w:rsidDel="00000000" w:rsidP="00000000" w:rsidRDefault="00000000" w:rsidRPr="00000000" w14:paraId="000000E0">
      <w:pPr>
        <w:jc w:val="center"/>
        <w:rPr/>
      </w:pPr>
      <w:r w:rsidDel="00000000" w:rsidR="00000000" w:rsidRPr="00000000">
        <w:rPr>
          <w:sz w:val="22"/>
          <w:szCs w:val="22"/>
          <w:rtl w:val="0"/>
        </w:rPr>
        <w:t xml:space="preserve">Table 4b. RID Comparison across Emerging Economies (2022)</w:t>
      </w:r>
      <w:r w:rsidDel="00000000" w:rsidR="00000000" w:rsidRPr="00000000">
        <w:rPr>
          <w:rtl w:val="0"/>
        </w:rPr>
      </w:r>
    </w:p>
    <w:p w:rsidR="00000000" w:rsidDel="00000000" w:rsidP="00000000" w:rsidRDefault="00000000" w:rsidRPr="00000000" w14:paraId="000000E1">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E2">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E3">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E4">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E5">
      <w:pPr>
        <w:pageBreakBefore w:val="0"/>
        <w:jc w:val="both"/>
        <w:rPr>
          <w:sz w:val="22"/>
          <w:szCs w:val="22"/>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tbl>
      <w:tblPr>
        <w:tblStyle w:val="Table7"/>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0E9">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0EA">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South Africa</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0EB">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Argentina</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0EC">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Chile</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0ED">
            <w:pPr>
              <w:widowControl w:val="0"/>
              <w:spacing w:line="240" w:lineRule="auto"/>
              <w:ind w:right="-75"/>
              <w:jc w:val="center"/>
              <w:rPr>
                <w:color w:val="7b7b7b"/>
                <w:sz w:val="20"/>
                <w:szCs w:val="20"/>
              </w:rPr>
            </w:pPr>
            <w:r w:rsidDel="00000000" w:rsidR="00000000" w:rsidRPr="00000000">
              <w:rPr>
                <w:color w:val="7b7b7b"/>
                <w:sz w:val="20"/>
                <w:szCs w:val="20"/>
                <w:rtl w:val="0"/>
              </w:rPr>
              <w:t xml:space="preserve">1</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EE">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EF">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0">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0F1">
            <w:pPr>
              <w:widowControl w:val="0"/>
              <w:spacing w:line="240" w:lineRule="auto"/>
              <w:ind w:right="-75"/>
              <w:jc w:val="center"/>
              <w:rPr>
                <w:color w:val="7b7b7b"/>
                <w:sz w:val="20"/>
                <w:szCs w:val="20"/>
              </w:rPr>
            </w:pPr>
            <w:r w:rsidDel="00000000" w:rsidR="00000000" w:rsidRPr="00000000">
              <w:rPr>
                <w:color w:val="7b7b7b"/>
                <w:sz w:val="20"/>
                <w:szCs w:val="20"/>
                <w:rtl w:val="0"/>
              </w:rPr>
              <w:t xml:space="preserve">2</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2">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3">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4">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0F5">
            <w:pPr>
              <w:widowControl w:val="0"/>
              <w:spacing w:line="240" w:lineRule="auto"/>
              <w:ind w:right="-75"/>
              <w:jc w:val="center"/>
              <w:rPr>
                <w:color w:val="7b7b7b"/>
                <w:sz w:val="20"/>
                <w:szCs w:val="20"/>
              </w:rPr>
            </w:pPr>
            <w:r w:rsidDel="00000000" w:rsidR="00000000" w:rsidRPr="00000000">
              <w:rPr>
                <w:color w:val="7b7b7b"/>
                <w:sz w:val="20"/>
                <w:szCs w:val="20"/>
                <w:rtl w:val="0"/>
              </w:rPr>
              <w:t xml:space="preserve">3</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6">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7">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Daily Instruments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8">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0F9">
            <w:pPr>
              <w:widowControl w:val="0"/>
              <w:spacing w:line="240" w:lineRule="auto"/>
              <w:ind w:right="-75"/>
              <w:jc w:val="center"/>
              <w:rPr>
                <w:color w:val="7b7b7b"/>
                <w:sz w:val="20"/>
                <w:szCs w:val="20"/>
              </w:rPr>
            </w:pPr>
            <w:r w:rsidDel="00000000" w:rsidR="00000000" w:rsidRPr="00000000">
              <w:rPr>
                <w:color w:val="7b7b7b"/>
                <w:sz w:val="20"/>
                <w:szCs w:val="20"/>
                <w:rtl w:val="0"/>
              </w:rPr>
              <w:t xml:space="preserve">4</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A">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B">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C">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0FD">
            <w:pPr>
              <w:widowControl w:val="0"/>
              <w:spacing w:line="240" w:lineRule="auto"/>
              <w:ind w:right="-75"/>
              <w:jc w:val="center"/>
              <w:rPr>
                <w:color w:val="7b7b7b"/>
                <w:sz w:val="20"/>
                <w:szCs w:val="20"/>
              </w:rPr>
            </w:pPr>
            <w:r w:rsidDel="00000000" w:rsidR="00000000" w:rsidRPr="00000000">
              <w:rPr>
                <w:color w:val="7b7b7b"/>
                <w:sz w:val="20"/>
                <w:szCs w:val="20"/>
                <w:rtl w:val="0"/>
              </w:rPr>
              <w:t xml:space="preserve">5</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E">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F">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0">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rHeight w:val="375" w:hRule="atLeast"/>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01">
            <w:pPr>
              <w:widowControl w:val="0"/>
              <w:spacing w:line="240" w:lineRule="auto"/>
              <w:ind w:right="-75"/>
              <w:jc w:val="center"/>
              <w:rPr>
                <w:color w:val="7b7b7b"/>
                <w:sz w:val="20"/>
                <w:szCs w:val="20"/>
              </w:rPr>
            </w:pPr>
            <w:r w:rsidDel="00000000" w:rsidR="00000000" w:rsidRPr="00000000">
              <w:rPr>
                <w:color w:val="7b7b7b"/>
                <w:sz w:val="20"/>
                <w:szCs w:val="20"/>
                <w:rtl w:val="0"/>
              </w:rPr>
              <w:t xml:space="preserve">6</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2">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Daily Instruments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3">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4">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rHeight w:val="375" w:hRule="atLeast"/>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05">
            <w:pPr>
              <w:widowControl w:val="0"/>
              <w:spacing w:line="240" w:lineRule="auto"/>
              <w:ind w:right="-75"/>
              <w:jc w:val="center"/>
              <w:rPr>
                <w:color w:val="7b7b7b"/>
                <w:sz w:val="20"/>
                <w:szCs w:val="20"/>
              </w:rPr>
            </w:pPr>
            <w:r w:rsidDel="00000000" w:rsidR="00000000" w:rsidRPr="00000000">
              <w:rPr>
                <w:color w:val="7b7b7b"/>
                <w:sz w:val="20"/>
                <w:szCs w:val="20"/>
                <w:rtl w:val="0"/>
              </w:rPr>
              <w:t xml:space="preserve">7</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6">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7">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8">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rHeight w:val="375" w:hRule="atLeast"/>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09">
            <w:pPr>
              <w:widowControl w:val="0"/>
              <w:spacing w:line="240" w:lineRule="auto"/>
              <w:ind w:right="-75"/>
              <w:jc w:val="center"/>
              <w:rPr>
                <w:color w:val="7b7b7b"/>
                <w:sz w:val="20"/>
                <w:szCs w:val="20"/>
              </w:rPr>
            </w:pPr>
            <w:r w:rsidDel="00000000" w:rsidR="00000000" w:rsidRPr="00000000">
              <w:rPr>
                <w:color w:val="7b7b7b"/>
                <w:sz w:val="20"/>
                <w:szCs w:val="20"/>
                <w:rtl w:val="0"/>
              </w:rPr>
              <w:t xml:space="preserve">8</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A">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Textile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B">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Weapons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C">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Weapons</w:t>
            </w:r>
            <w:r w:rsidDel="00000000" w:rsidR="00000000" w:rsidRPr="00000000">
              <w:rPr>
                <w:rtl w:val="0"/>
              </w:rPr>
            </w:r>
          </w:p>
        </w:tc>
      </w:tr>
      <w:tr>
        <w:trPr>
          <w:cantSplit w:val="0"/>
          <w:trHeight w:val="375" w:hRule="atLeast"/>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0D">
            <w:pPr>
              <w:widowControl w:val="0"/>
              <w:spacing w:line="240" w:lineRule="auto"/>
              <w:ind w:right="-75"/>
              <w:jc w:val="center"/>
              <w:rPr>
                <w:color w:val="7b7b7b"/>
                <w:sz w:val="20"/>
                <w:szCs w:val="20"/>
              </w:rPr>
            </w:pPr>
            <w:r w:rsidDel="00000000" w:rsidR="00000000" w:rsidRPr="00000000">
              <w:rPr>
                <w:color w:val="7b7b7b"/>
                <w:sz w:val="20"/>
                <w:szCs w:val="20"/>
                <w:rtl w:val="0"/>
              </w:rPr>
              <w:t xml:space="preserve">9</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E">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F">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0">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rHeight w:val="375" w:hRule="atLeast"/>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11">
            <w:pPr>
              <w:widowControl w:val="0"/>
              <w:spacing w:line="240" w:lineRule="auto"/>
              <w:ind w:right="-75"/>
              <w:jc w:val="center"/>
              <w:rPr>
                <w:color w:val="7b7b7b"/>
                <w:sz w:val="20"/>
                <w:szCs w:val="20"/>
              </w:rPr>
            </w:pPr>
            <w:r w:rsidDel="00000000" w:rsidR="00000000" w:rsidRPr="00000000">
              <w:rPr>
                <w:color w:val="7b7b7b"/>
                <w:sz w:val="20"/>
                <w:szCs w:val="20"/>
                <w:rtl w:val="0"/>
              </w:rPr>
              <w:t xml:space="preserve">10</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2">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3">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4">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Textile</w:t>
            </w:r>
            <w:r w:rsidDel="00000000" w:rsidR="00000000" w:rsidRPr="00000000">
              <w:rPr>
                <w:rtl w:val="0"/>
              </w:rPr>
            </w:r>
          </w:p>
        </w:tc>
      </w:tr>
      <w:tr>
        <w:trPr>
          <w:cantSplit w:val="0"/>
          <w:trHeight w:val="375" w:hRule="atLeast"/>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15">
            <w:pPr>
              <w:widowControl w:val="0"/>
              <w:spacing w:line="240" w:lineRule="auto"/>
              <w:ind w:right="-75"/>
              <w:jc w:val="center"/>
              <w:rPr>
                <w:color w:val="7b7b7b"/>
                <w:sz w:val="20"/>
                <w:szCs w:val="20"/>
              </w:rPr>
            </w:pPr>
            <w:r w:rsidDel="00000000" w:rsidR="00000000" w:rsidRPr="00000000">
              <w:rPr>
                <w:color w:val="7b7b7b"/>
                <w:sz w:val="20"/>
                <w:szCs w:val="20"/>
                <w:rtl w:val="0"/>
              </w:rPr>
              <w:t xml:space="preserve">11</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6">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7">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8">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rHeight w:val="375" w:hRule="atLeast"/>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19">
            <w:pPr>
              <w:widowControl w:val="0"/>
              <w:spacing w:line="240" w:lineRule="auto"/>
              <w:ind w:right="-75"/>
              <w:jc w:val="center"/>
              <w:rPr>
                <w:color w:val="7b7b7b"/>
                <w:sz w:val="20"/>
                <w:szCs w:val="20"/>
              </w:rPr>
            </w:pPr>
            <w:r w:rsidDel="00000000" w:rsidR="00000000" w:rsidRPr="00000000">
              <w:rPr>
                <w:color w:val="7b7b7b"/>
                <w:sz w:val="20"/>
                <w:szCs w:val="20"/>
                <w:rtl w:val="0"/>
              </w:rPr>
              <w:t xml:space="preserve">12</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1A">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1B">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1C">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r>
      <w:tr>
        <w:trPr>
          <w:cantSplit w:val="0"/>
          <w:trHeight w:val="375" w:hRule="atLeast"/>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1D">
            <w:pPr>
              <w:widowControl w:val="0"/>
              <w:spacing w:line="240" w:lineRule="auto"/>
              <w:ind w:right="-75"/>
              <w:jc w:val="center"/>
              <w:rPr>
                <w:color w:val="7b7b7b"/>
                <w:sz w:val="20"/>
                <w:szCs w:val="20"/>
              </w:rPr>
            </w:pPr>
            <w:r w:rsidDel="00000000" w:rsidR="00000000" w:rsidRPr="00000000">
              <w:rPr>
                <w:color w:val="7b7b7b"/>
                <w:sz w:val="20"/>
                <w:szCs w:val="20"/>
                <w:rtl w:val="0"/>
              </w:rPr>
              <w:t xml:space="preserve">13</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1E">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1F">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0">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rHeight w:val="375" w:hRule="atLeast"/>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21">
            <w:pPr>
              <w:widowControl w:val="0"/>
              <w:spacing w:line="240" w:lineRule="auto"/>
              <w:ind w:right="-75"/>
              <w:jc w:val="center"/>
              <w:rPr>
                <w:color w:val="7b7b7b"/>
                <w:sz w:val="20"/>
                <w:szCs w:val="20"/>
              </w:rPr>
            </w:pPr>
            <w:r w:rsidDel="00000000" w:rsidR="00000000" w:rsidRPr="00000000">
              <w:rPr>
                <w:color w:val="7b7b7b"/>
                <w:sz w:val="20"/>
                <w:szCs w:val="20"/>
                <w:rtl w:val="0"/>
              </w:rPr>
              <w:t xml:space="preserve">14</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2">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3">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4">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rHeight w:val="375" w:hRule="atLeast"/>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25">
            <w:pPr>
              <w:widowControl w:val="0"/>
              <w:spacing w:line="240" w:lineRule="auto"/>
              <w:ind w:right="-75"/>
              <w:jc w:val="center"/>
              <w:rPr>
                <w:color w:val="7b7b7b"/>
                <w:sz w:val="20"/>
                <w:szCs w:val="20"/>
              </w:rPr>
            </w:pPr>
            <w:r w:rsidDel="00000000" w:rsidR="00000000" w:rsidRPr="00000000">
              <w:rPr>
                <w:color w:val="7b7b7b"/>
                <w:sz w:val="20"/>
                <w:szCs w:val="20"/>
                <w:rtl w:val="0"/>
              </w:rPr>
              <w:t xml:space="preserve">15</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6">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7">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8">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29">
            <w:pPr>
              <w:widowControl w:val="0"/>
              <w:spacing w:line="240" w:lineRule="auto"/>
              <w:ind w:right="-75"/>
              <w:jc w:val="center"/>
              <w:rPr>
                <w:color w:val="7b7b7b"/>
                <w:sz w:val="20"/>
                <w:szCs w:val="20"/>
              </w:rPr>
            </w:pPr>
            <w:r w:rsidDel="00000000" w:rsidR="00000000" w:rsidRPr="00000000">
              <w:rPr>
                <w:color w:val="7b7b7b"/>
                <w:sz w:val="20"/>
                <w:szCs w:val="20"/>
                <w:rtl w:val="0"/>
              </w:rPr>
              <w:t xml:space="preserve">16</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A">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Metals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2B">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Metals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C">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2D">
            <w:pPr>
              <w:widowControl w:val="0"/>
              <w:spacing w:line="240" w:lineRule="auto"/>
              <w:ind w:right="-75"/>
              <w:jc w:val="center"/>
              <w:rPr>
                <w:color w:val="7b7b7b"/>
                <w:sz w:val="20"/>
                <w:szCs w:val="20"/>
              </w:rPr>
            </w:pPr>
            <w:r w:rsidDel="00000000" w:rsidR="00000000" w:rsidRPr="00000000">
              <w:rPr>
                <w:color w:val="7b7b7b"/>
                <w:sz w:val="20"/>
                <w:szCs w:val="20"/>
                <w:rtl w:val="0"/>
              </w:rPr>
              <w:t xml:space="preserve">17</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E">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Weapons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2F">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Textile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30">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31">
            <w:pPr>
              <w:widowControl w:val="0"/>
              <w:spacing w:line="240" w:lineRule="auto"/>
              <w:ind w:right="-75"/>
              <w:jc w:val="center"/>
              <w:rPr>
                <w:color w:val="7b7b7b"/>
                <w:sz w:val="20"/>
                <w:szCs w:val="20"/>
              </w:rPr>
            </w:pPr>
            <w:r w:rsidDel="00000000" w:rsidR="00000000" w:rsidRPr="00000000">
              <w:rPr>
                <w:color w:val="7b7b7b"/>
                <w:sz w:val="20"/>
                <w:szCs w:val="20"/>
                <w:rtl w:val="0"/>
              </w:rPr>
              <w:t xml:space="preserve">18</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32">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33">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34">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Metals</w:t>
            </w:r>
            <w:r w:rsidDel="00000000" w:rsidR="00000000" w:rsidRPr="00000000">
              <w:rPr>
                <w:rtl w:val="0"/>
              </w:rPr>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35">
            <w:pPr>
              <w:widowControl w:val="0"/>
              <w:spacing w:line="240"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36">
            <w:pPr>
              <w:widowControl w:val="0"/>
              <w:spacing w:line="240"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0.644521</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37">
            <w:pPr>
              <w:widowControl w:val="0"/>
              <w:spacing w:line="240" w:lineRule="auto"/>
              <w:ind w:right="-75"/>
              <w:rPr>
                <w:b w:val="1"/>
                <w:bCs w:val="1"/>
                <w:color w:val="7b7b7b"/>
                <w:sz w:val="20"/>
                <w:szCs w:val="20"/>
              </w:rPr>
            </w:pPr>
            <w:r w:rsidDel="00000000" w:rsidR="00000000" w:rsidRPr="00000000">
              <w:rPr>
                <w:b w:val="1"/>
                <w:bCs w:val="1"/>
                <w:color w:val="7b7b7b"/>
                <w:sz w:val="20"/>
                <w:szCs w:val="20"/>
                <w:rtl w:val="0"/>
              </w:rPr>
              <w:t xml:space="preserve">-0.103375</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38">
            <w:pPr>
              <w:widowControl w:val="0"/>
              <w:spacing w:line="240" w:lineRule="auto"/>
              <w:ind w:right="-75"/>
              <w:rPr>
                <w:b w:val="1"/>
                <w:bCs w:val="1"/>
                <w:color w:val="7b7b7b"/>
                <w:sz w:val="20"/>
                <w:szCs w:val="20"/>
              </w:rPr>
            </w:pPr>
            <w:r w:rsidDel="00000000" w:rsidR="00000000" w:rsidRPr="00000000">
              <w:rPr>
                <w:b w:val="1"/>
                <w:bCs w:val="1"/>
                <w:color w:val="7b7b7b"/>
                <w:sz w:val="20"/>
                <w:szCs w:val="20"/>
                <w:rtl w:val="0"/>
              </w:rPr>
              <w:t xml:space="preserve">0.410178</w:t>
            </w:r>
          </w:p>
        </w:tc>
      </w:tr>
    </w:tbl>
    <w:p w:rsidR="00000000" w:rsidDel="00000000" w:rsidP="00000000" w:rsidRDefault="00000000" w:rsidRPr="00000000" w14:paraId="00000139">
      <w:pPr>
        <w:jc w:val="cente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3A">
      <w:pPr>
        <w:jc w:val="center"/>
        <w:rPr/>
      </w:pPr>
      <w:r w:rsidDel="00000000" w:rsidR="00000000" w:rsidRPr="00000000">
        <w:rPr>
          <w:sz w:val="22"/>
          <w:szCs w:val="22"/>
          <w:rtl w:val="0"/>
        </w:rPr>
        <w:t xml:space="preserve">Table 5. Opportunity Gain Ranking on a Comparable Scale (2022)</w:t>
      </w:r>
      <w:r w:rsidDel="00000000" w:rsidR="00000000" w:rsidRPr="00000000">
        <w:rPr>
          <w:rtl w:val="0"/>
        </w:rPr>
      </w:r>
    </w:p>
    <w:p w:rsidR="00000000" w:rsidDel="00000000" w:rsidP="00000000" w:rsidRDefault="00000000" w:rsidRPr="00000000" w14:paraId="0000013B">
      <w:pPr>
        <w:pageBreakBefore w:val="0"/>
        <w:jc w:val="center"/>
        <w:rPr/>
      </w:pPr>
      <w:r w:rsidDel="00000000" w:rsidR="00000000" w:rsidRPr="00000000">
        <w:rPr>
          <w:rtl w:val="0"/>
        </w:rPr>
      </w:r>
    </w:p>
    <w:p w:rsidR="00000000" w:rsidDel="00000000" w:rsidP="00000000" w:rsidRDefault="00000000" w:rsidRPr="00000000" w14:paraId="0000013C">
      <w:pPr>
        <w:pageBreakBefore w:val="0"/>
        <w:jc w:val="both"/>
        <w:rPr/>
      </w:pPr>
      <w:r w:rsidDel="00000000" w:rsidR="00000000" w:rsidRPr="00000000">
        <w:rPr>
          <w:rtl w:val="0"/>
        </w:rPr>
        <w:t xml:space="preserve">We define the ranking of opportunity gain for a country c, as the Suggested Development Vector (SDV) of c. Table 5 summarize how the SDV of </w:t>
      </w:r>
      <w:r w:rsidDel="00000000" w:rsidR="00000000" w:rsidRPr="00000000">
        <w:rPr>
          <w:rtl w:val="0"/>
        </w:rPr>
        <w:t xml:space="preserve">South Africa</w:t>
      </w:r>
      <w:r w:rsidDel="00000000" w:rsidR="00000000" w:rsidRPr="00000000">
        <w:rPr>
          <w:rtl w:val="0"/>
        </w:rPr>
        <w:t xml:space="preserve"> compares with a selected group of</w:t>
      </w:r>
      <w:r w:rsidDel="00000000" w:rsidR="00000000" w:rsidRPr="00000000">
        <w:rPr>
          <w:rtl w:val="0"/>
        </w:rPr>
        <w:t xml:space="preserve"> comparable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13D">
      <w:pPr>
        <w:pageBreakBefore w:val="0"/>
        <w:jc w:val="both"/>
        <w:rPr/>
      </w:pPr>
      <w:r w:rsidDel="00000000" w:rsidR="00000000" w:rsidRPr="00000000">
        <w:rPr>
          <w:rtl w:val="0"/>
        </w:rPr>
      </w:r>
    </w:p>
    <w:p w:rsidR="00000000" w:rsidDel="00000000" w:rsidP="00000000" w:rsidRDefault="00000000" w:rsidRPr="00000000" w14:paraId="0000013E">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leading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High-complexity Products and Services and Utilities industries. It can be concluded that </w:t>
      </w:r>
      <w:r w:rsidDel="00000000" w:rsidR="00000000" w:rsidRPr="00000000">
        <w:rPr>
          <w:rtl w:val="0"/>
        </w:rPr>
        <w:t xml:space="preserve">South Africa</w:t>
      </w:r>
      <w:r w:rsidDel="00000000" w:rsidR="00000000" w:rsidRPr="00000000">
        <w:rPr>
          <w:rtl w:val="0"/>
        </w:rPr>
        <w:t xml:space="preserve"> shares the characteristics of developing countries, with a balanced economic structure that leans towards more complex industries.</w:t>
      </w:r>
      <w:r w:rsidDel="00000000" w:rsidR="00000000" w:rsidRPr="00000000">
        <w:rPr>
          <w:rtl w:val="0"/>
        </w:rPr>
        <w:t xml:space="preserve"> Although its ECI has increased over the past four years, there remains significant room for improvement. </w:t>
      </w:r>
    </w:p>
    <w:p w:rsidR="00000000" w:rsidDel="00000000" w:rsidP="00000000" w:rsidRDefault="00000000" w:rsidRPr="00000000" w14:paraId="0000013F">
      <w:pPr>
        <w:jc w:val="both"/>
        <w:rPr/>
      </w:pPr>
      <w:r w:rsidDel="00000000" w:rsidR="00000000" w:rsidRPr="00000000">
        <w:rPr/>
        <w:drawing>
          <wp:inline distB="114300" distT="114300" distL="114300" distR="114300">
            <wp:extent cx="5731200" cy="2273300"/>
            <wp:effectExtent b="0" l="0" r="0" t="0"/>
            <wp:docPr id="1"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jc w:val="center"/>
        <w:rPr/>
      </w:pPr>
      <w:r w:rsidDel="00000000" w:rsidR="00000000" w:rsidRPr="00000000">
        <w:rPr>
          <w:sz w:val="22"/>
          <w:szCs w:val="22"/>
          <w:rtl w:val="0"/>
        </w:rPr>
        <w:t xml:space="preserve">Table 6. SDV of Other Sample Countries (2013)</w:t>
      </w:r>
      <w:r w:rsidDel="00000000" w:rsidR="00000000" w:rsidRPr="00000000">
        <w:rPr>
          <w:rtl w:val="0"/>
        </w:rPr>
      </w:r>
    </w:p>
    <w:p w:rsidR="00000000" w:rsidDel="00000000" w:rsidP="00000000" w:rsidRDefault="00000000" w:rsidRPr="00000000" w14:paraId="00000141">
      <w:pPr>
        <w:pageBreakBefore w:val="0"/>
        <w:jc w:val="left"/>
        <w:rPr/>
      </w:pPr>
      <w:r w:rsidDel="00000000" w:rsidR="00000000" w:rsidRPr="00000000">
        <w:rPr>
          <w:rtl w:val="0"/>
        </w:rPr>
      </w:r>
    </w:p>
    <w:p w:rsidR="00000000" w:rsidDel="00000000" w:rsidP="00000000" w:rsidRDefault="00000000" w:rsidRPr="00000000" w14:paraId="00000142">
      <w:pPr>
        <w:pageBreakBefore w:val="0"/>
        <w:jc w:val="both"/>
        <w:rPr>
          <w:b w:val="1"/>
          <w:bCs w:val="1"/>
        </w:rPr>
      </w:pPr>
      <w:r w:rsidDel="00000000" w:rsidR="00000000" w:rsidRPr="00000000">
        <w:rPr>
          <w:rtl w:val="0"/>
        </w:rPr>
      </w:r>
    </w:p>
    <w:p w:rsidR="00000000" w:rsidDel="00000000" w:rsidP="00000000" w:rsidRDefault="00000000" w:rsidRPr="00000000" w14:paraId="00000143">
      <w:pPr>
        <w:pageBreakBefore w:val="0"/>
        <w:jc w:val="both"/>
        <w:rPr>
          <w:b w:val="1"/>
          <w:bCs w:val="1"/>
        </w:rPr>
      </w:pPr>
      <w:r w:rsidDel="00000000" w:rsidR="00000000" w:rsidRPr="00000000">
        <w:rPr>
          <w:rtl w:val="0"/>
        </w:rPr>
      </w:r>
    </w:p>
    <w:p w:rsidR="00000000" w:rsidDel="00000000" w:rsidP="00000000" w:rsidRDefault="00000000" w:rsidRPr="00000000" w14:paraId="00000144">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145">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146">
      <w:pPr>
        <w:pageBreakBefore w:val="0"/>
        <w:jc w:val="both"/>
        <w:rPr/>
      </w:pPr>
      <w:r w:rsidDel="00000000" w:rsidR="00000000" w:rsidRPr="00000000">
        <w:rPr>
          <w:rtl w:val="0"/>
        </w:rPr>
      </w:r>
    </w:p>
    <w:p w:rsidR="00000000" w:rsidDel="00000000" w:rsidP="00000000" w:rsidRDefault="00000000" w:rsidRPr="00000000" w14:paraId="00000147">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1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ageBreakBefore w:val="0"/>
        <w:jc w:val="center"/>
        <w:rPr/>
      </w:pPr>
      <w:r w:rsidDel="00000000" w:rsidR="00000000" w:rsidRPr="00000000">
        <w:rPr>
          <w:rtl w:val="0"/>
        </w:rPr>
      </w:r>
    </w:p>
    <w:p w:rsidR="00000000" w:rsidDel="00000000" w:rsidP="00000000" w:rsidRDefault="00000000" w:rsidRPr="00000000" w14:paraId="00000149">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14A">
      <w:pPr>
        <w:pageBreakBefore w:val="0"/>
        <w:jc w:val="both"/>
        <w:rPr/>
      </w:pPr>
      <w:r w:rsidDel="00000000" w:rsidR="00000000" w:rsidRPr="00000000">
        <w:rPr>
          <w:rtl w:val="0"/>
        </w:rPr>
        <w:t xml:space="preserve"> </w:t>
      </w:r>
    </w:p>
    <w:p w:rsidR="00000000" w:rsidDel="00000000" w:rsidP="00000000" w:rsidRDefault="00000000" w:rsidRPr="00000000" w14:paraId="0000014B">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14C">
      <w:pPr>
        <w:pageBreakBefore w:val="0"/>
        <w:jc w:val="both"/>
        <w:rPr/>
      </w:pPr>
      <w:r w:rsidDel="00000000" w:rsidR="00000000" w:rsidRPr="00000000">
        <w:rPr>
          <w:rtl w:val="0"/>
        </w:rPr>
        <w:t xml:space="preserve"> </w:t>
      </w:r>
    </w:p>
    <w:p w:rsidR="00000000" w:rsidDel="00000000" w:rsidP="00000000" w:rsidRDefault="00000000" w:rsidRPr="00000000" w14:paraId="0000014D">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4E">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150">
      <w:pPr>
        <w:pageBreakBefore w:val="0"/>
        <w:rPr/>
      </w:pPr>
      <w:r w:rsidDel="00000000" w:rsidR="00000000" w:rsidRPr="00000000">
        <w:rPr>
          <w:rtl w:val="0"/>
        </w:rPr>
      </w:r>
    </w:p>
    <w:p w:rsidR="00000000" w:rsidDel="00000000" w:rsidP="00000000" w:rsidRDefault="00000000" w:rsidRPr="00000000" w14:paraId="00000151">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152">
      <w:pPr>
        <w:pageBreakBefore w:val="0"/>
        <w:rPr/>
      </w:pPr>
      <w:r w:rsidDel="00000000" w:rsidR="00000000" w:rsidRPr="00000000">
        <w:rPr>
          <w:rtl w:val="0"/>
        </w:rPr>
        <w:t xml:space="preserve"> </w:t>
      </w:r>
    </w:p>
    <w:p w:rsidR="00000000" w:rsidDel="00000000" w:rsidP="00000000" w:rsidRDefault="00000000" w:rsidRPr="00000000" w14:paraId="00000153">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154">
      <w:pPr>
        <w:pageBreakBefore w:val="0"/>
        <w:rPr/>
      </w:pPr>
      <w:r w:rsidDel="00000000" w:rsidR="00000000" w:rsidRPr="00000000">
        <w:rPr>
          <w:rtl w:val="0"/>
        </w:rPr>
      </w:r>
    </w:p>
    <w:p w:rsidR="00000000" w:rsidDel="00000000" w:rsidP="00000000" w:rsidRDefault="00000000" w:rsidRPr="00000000" w14:paraId="00000155">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156">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157">
      <w:pPr>
        <w:pageBreakBefore w:val="0"/>
        <w:jc w:val="both"/>
        <w:rPr>
          <w:b w:val="1"/>
          <w:bCs w:val="1"/>
        </w:rPr>
      </w:pPr>
      <w:r w:rsidDel="00000000" w:rsidR="00000000" w:rsidRPr="00000000">
        <w:rPr>
          <w:rtl w:val="0"/>
        </w:rPr>
      </w:r>
    </w:p>
    <w:p w:rsidR="00000000" w:rsidDel="00000000" w:rsidP="00000000" w:rsidRDefault="00000000" w:rsidRPr="00000000" w14:paraId="00000158">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59">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15A">
      <w:pPr>
        <w:pageBreakBefore w:val="0"/>
        <w:jc w:val="both"/>
        <w:rPr/>
      </w:pPr>
      <w:r w:rsidDel="00000000" w:rsidR="00000000" w:rsidRPr="00000000">
        <w:rPr>
          <w:rtl w:val="0"/>
        </w:rPr>
      </w:r>
    </w:p>
    <w:tbl>
      <w:tblPr>
        <w:tblStyle w:val="Table8"/>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B">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C">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181">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182">
      <w:pPr>
        <w:pageBreakBefore w:val="0"/>
        <w:jc w:val="center"/>
        <w:rPr/>
      </w:pPr>
      <w:r w:rsidDel="00000000" w:rsidR="00000000" w:rsidRPr="00000000">
        <w:rPr>
          <w:rtl w:val="0"/>
        </w:rPr>
      </w:r>
    </w:p>
    <w:p w:rsidR="00000000" w:rsidDel="00000000" w:rsidP="00000000" w:rsidRDefault="00000000" w:rsidRPr="00000000" w14:paraId="00000183">
      <w:pPr>
        <w:pageBreakBefore w:val="0"/>
        <w:jc w:val="both"/>
        <w:rPr/>
      </w:pPr>
      <w:r w:rsidDel="00000000" w:rsidR="00000000" w:rsidRPr="00000000">
        <w:rPr>
          <w:rtl w:val="0"/>
        </w:rPr>
        <w:t xml:space="preserve">Figure 4 shows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South Africa</w:t>
      </w:r>
      <w:r w:rsidDel="00000000" w:rsidR="00000000" w:rsidRPr="00000000">
        <w:rPr>
          <w:rtl w:val="0"/>
        </w:rPr>
        <w:t xml:space="preserve"> in 2022. We can see that for different percentages of heuristic total export growth, the ECIs of </w:t>
      </w:r>
      <w:r w:rsidDel="00000000" w:rsidR="00000000" w:rsidRPr="00000000">
        <w:rPr>
          <w:rtl w:val="0"/>
        </w:rPr>
        <w:t xml:space="preserve">South Africa</w:t>
      </w:r>
      <w:r w:rsidDel="00000000" w:rsidR="00000000" w:rsidRPr="00000000">
        <w:rPr>
          <w:rtl w:val="0"/>
        </w:rPr>
        <w:t xml:space="preserve"> have different </w:t>
      </w:r>
      <w:r w:rsidDel="00000000" w:rsidR="00000000" w:rsidRPr="00000000">
        <w:rPr>
          <w:rtl w:val="0"/>
        </w:rPr>
        <w:t xml:space="preserve">industry distributions.</w:t>
      </w:r>
    </w:p>
    <w:p w:rsidR="00000000" w:rsidDel="00000000" w:rsidP="00000000" w:rsidRDefault="00000000" w:rsidRPr="00000000" w14:paraId="00000184">
      <w:pPr>
        <w:pageBreakBefore w:val="0"/>
        <w:jc w:val="both"/>
        <w:rPr/>
      </w:pPr>
      <w:r w:rsidDel="00000000" w:rsidR="00000000" w:rsidRPr="00000000">
        <w:rPr>
          <w:rtl w:val="0"/>
        </w:rPr>
        <w:t xml:space="preserve"> </w:t>
      </w:r>
    </w:p>
    <w:p w:rsidR="00000000" w:rsidDel="00000000" w:rsidP="00000000" w:rsidRDefault="00000000" w:rsidRPr="00000000" w14:paraId="00000185">
      <w:pPr>
        <w:pageBreakBefore w:val="0"/>
        <w:jc w:val="both"/>
        <w:rPr/>
      </w:pPr>
      <w:r w:rsidDel="00000000" w:rsidR="00000000" w:rsidRPr="00000000">
        <w:rPr>
          <w:rtl w:val="0"/>
        </w:rPr>
        <w:t xml:space="preserve">For 2022, in the case of 5 percent export growth, Raw Manufacturing is the primary industry with Machinery and Construction as a secondary industry. With a budget of 10 percent export growth, Textile dominates with a small presence of Raw Manufacturing and High-complexity Products. For 15%, there is continued large representation of Textile; for 20%, the Machinery and Construction dominates the industry distribution. Overall, this suggests that with any increase in investment, should involve Textiles. A more detailed numerical representation of the portfolio is shown in Table 8a. </w:t>
      </w:r>
      <w:r w:rsidDel="00000000" w:rsidR="00000000" w:rsidRPr="00000000">
        <w:rPr>
          <w:rtl w:val="0"/>
        </w:rPr>
        <w:t xml:space="preserve">The increased ECI row of the table suggests that any increases in 10%, 15%, and 20% yield the same increase in ECI, which means that South Africa should focus on 5% and 10%. Thus, for optimal development, it should invest firstly in Textile followed by Raw Manufacturing and Machinery and Construction. </w:t>
      </w:r>
    </w:p>
    <w:p w:rsidR="00000000" w:rsidDel="00000000" w:rsidP="00000000" w:rsidRDefault="00000000" w:rsidRPr="00000000" w14:paraId="00000186">
      <w:pPr>
        <w:pageBreakBefore w:val="0"/>
        <w:jc w:val="both"/>
        <w:rPr/>
      </w:pPr>
      <w:r w:rsidDel="00000000" w:rsidR="00000000" w:rsidRPr="00000000">
        <w:rPr/>
        <w:drawing>
          <wp:inline distB="114300" distT="114300" distL="114300" distR="114300">
            <wp:extent cx="5731200" cy="2870200"/>
            <wp:effectExtent b="0" l="0" r="0" t="0"/>
            <wp:docPr id="6"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pageBreakBefore w:val="0"/>
        <w:jc w:val="both"/>
        <w:rPr/>
      </w:pPr>
      <w:r w:rsidDel="00000000" w:rsidR="00000000" w:rsidRPr="00000000">
        <w:rPr/>
        <w:drawing>
          <wp:inline distB="114300" distT="114300" distL="114300" distR="114300">
            <wp:extent cx="5731200" cy="2159000"/>
            <wp:effectExtent b="0" l="0" r="0" t="0"/>
            <wp:docPr id="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pageBreakBefore w:val="0"/>
        <w:jc w:val="center"/>
        <w:rPr>
          <w:sz w:val="22"/>
          <w:szCs w:val="22"/>
        </w:rPr>
      </w:pPr>
      <w:r w:rsidDel="00000000" w:rsidR="00000000" w:rsidRPr="00000000">
        <w:rPr>
          <w:sz w:val="22"/>
          <w:szCs w:val="22"/>
          <w:rtl w:val="0"/>
        </w:rPr>
        <w:t xml:space="preserve">Figure 4. Greedy-Based ECI Improvement Results of </w:t>
      </w:r>
      <w:r w:rsidDel="00000000" w:rsidR="00000000" w:rsidRPr="00000000">
        <w:rPr>
          <w:sz w:val="22"/>
          <w:szCs w:val="22"/>
          <w:rtl w:val="0"/>
        </w:rPr>
        <w:t xml:space="preserve">South Africa</w:t>
      </w:r>
      <w:r w:rsidDel="00000000" w:rsidR="00000000" w:rsidRPr="00000000">
        <w:rPr>
          <w:sz w:val="22"/>
          <w:szCs w:val="22"/>
          <w:rtl w:val="0"/>
        </w:rPr>
        <w:t xml:space="preserve"> with Different Budgets (2022)</w:t>
      </w:r>
    </w:p>
    <w:p w:rsidR="00000000" w:rsidDel="00000000" w:rsidP="00000000" w:rsidRDefault="00000000" w:rsidRPr="00000000" w14:paraId="00000189">
      <w:pPr>
        <w:jc w:val="center"/>
        <w:rPr/>
      </w:pPr>
      <w:r w:rsidDel="00000000" w:rsidR="00000000" w:rsidRPr="00000000">
        <w:rPr>
          <w:rtl w:val="0"/>
        </w:rPr>
      </w:r>
    </w:p>
    <w:tbl>
      <w:tblPr>
        <w:tblStyle w:val="Table9"/>
        <w:tblW w:w="9480.0" w:type="dxa"/>
        <w:jc w:val="center"/>
        <w:tblLayout w:type="fixed"/>
        <w:tblLook w:val="0600"/>
      </w:tblPr>
      <w:tblGrid>
        <w:gridCol w:w="2925"/>
        <w:gridCol w:w="1638.75"/>
        <w:gridCol w:w="1638.75"/>
        <w:gridCol w:w="1638.75"/>
        <w:gridCol w:w="1638.75"/>
        <w:tblGridChange w:id="0">
          <w:tblGrid>
            <w:gridCol w:w="2925"/>
            <w:gridCol w:w="1638.75"/>
            <w:gridCol w:w="1638.75"/>
            <w:gridCol w:w="1638.75"/>
            <w:gridCol w:w="1638.7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18A">
            <w:pPr>
              <w:jc w:val="center"/>
              <w:rPr>
                <w:sz w:val="20"/>
                <w:szCs w:val="20"/>
              </w:rPr>
            </w:pPr>
            <w:r w:rsidDel="00000000" w:rsidR="00000000" w:rsidRPr="00000000">
              <w:rPr>
                <w:b w:val="1"/>
                <w:bCs w:val="1"/>
                <w:sz w:val="20"/>
                <w:szCs w:val="20"/>
                <w:rtl w:val="0"/>
              </w:rPr>
              <w:t xml:space="preserve">South Africa</w:t>
            </w:r>
            <w:r w:rsidDel="00000000" w:rsidR="00000000" w:rsidRPr="00000000">
              <w:rPr>
                <w:b w:val="1"/>
                <w:bCs w:val="1"/>
                <w:sz w:val="20"/>
                <w:szCs w:val="20"/>
                <w:rtl w:val="0"/>
              </w:rPr>
              <w:t xml:space="preserve"> (2022)</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8F">
            <w:pPr>
              <w:widowControl w:val="0"/>
              <w:spacing w:line="276" w:lineRule="auto"/>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90">
            <w:pPr>
              <w:jc w:val="center"/>
              <w:rPr>
                <w:sz w:val="20"/>
                <w:szCs w:val="20"/>
              </w:rPr>
            </w:pPr>
            <w:r w:rsidDel="00000000" w:rsidR="00000000" w:rsidRPr="00000000">
              <w:rPr>
                <w:b w:val="1"/>
                <w:bCs w:val="1"/>
                <w:sz w:val="20"/>
                <w:szCs w:val="20"/>
                <w:rtl w:val="0"/>
              </w:rPr>
              <w:t xml:space="preserve">1.308419468</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194">
            <w:pPr>
              <w:widowControl w:val="0"/>
              <w:spacing w:line="276" w:lineRule="auto"/>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95">
            <w:pPr>
              <w:widowControl w:val="0"/>
              <w:spacing w:line="276" w:lineRule="auto"/>
              <w:jc w:val="center"/>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96">
            <w:pPr>
              <w:widowControl w:val="0"/>
              <w:spacing w:line="276" w:lineRule="auto"/>
              <w:jc w:val="center"/>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97">
            <w:pPr>
              <w:widowControl w:val="0"/>
              <w:spacing w:line="276" w:lineRule="auto"/>
              <w:jc w:val="center"/>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98">
            <w:pPr>
              <w:widowControl w:val="0"/>
              <w:spacing w:line="276" w:lineRule="auto"/>
              <w:jc w:val="center"/>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fefef" w:val="clear"/>
            <w:tcMar>
              <w:top w:w="-555.84" w:type="dxa"/>
              <w:left w:w="-555.84" w:type="dxa"/>
              <w:bottom w:w="-555.84" w:type="dxa"/>
              <w:right w:w="-555.84" w:type="dxa"/>
            </w:tcMar>
            <w:vAlign w:val="center"/>
          </w:tcPr>
          <w:p w:rsidR="00000000" w:rsidDel="00000000" w:rsidP="00000000" w:rsidRDefault="00000000" w:rsidRPr="00000000" w14:paraId="00000199">
            <w:pPr>
              <w:widowControl w:val="0"/>
              <w:spacing w:line="276" w:lineRule="auto"/>
              <w:rPr>
                <w:sz w:val="20"/>
                <w:szCs w:val="20"/>
              </w:rPr>
            </w:pPr>
            <w:r w:rsidDel="00000000" w:rsidR="00000000" w:rsidRPr="00000000">
              <w:rPr>
                <w:sz w:val="20"/>
                <w:szCs w:val="20"/>
                <w:rtl w:val="0"/>
              </w:rPr>
              <w:t xml:space="preserve">Raw Manufacturing</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9A">
            <w:pPr>
              <w:widowControl w:val="0"/>
              <w:spacing w:line="240" w:lineRule="auto"/>
              <w:jc w:val="center"/>
              <w:rPr>
                <w:sz w:val="20"/>
                <w:szCs w:val="20"/>
              </w:rPr>
            </w:pPr>
            <w:r w:rsidDel="00000000" w:rsidR="00000000" w:rsidRPr="00000000">
              <w:rPr>
                <w:sz w:val="20"/>
                <w:szCs w:val="20"/>
                <w:rtl w:val="0"/>
              </w:rPr>
              <w:t xml:space="preserve">2.53E+09</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9B">
            <w:pPr>
              <w:widowControl w:val="0"/>
              <w:spacing w:line="240" w:lineRule="auto"/>
              <w:jc w:val="center"/>
              <w:rPr>
                <w:sz w:val="20"/>
                <w:szCs w:val="20"/>
              </w:rPr>
            </w:pPr>
            <w:r w:rsidDel="00000000" w:rsidR="00000000" w:rsidRPr="00000000">
              <w:rPr>
                <w:sz w:val="20"/>
                <w:szCs w:val="20"/>
                <w:rtl w:val="0"/>
              </w:rPr>
              <w:t xml:space="preserve">2.80E+09</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9C">
            <w:pPr>
              <w:widowControl w:val="0"/>
              <w:spacing w:line="240" w:lineRule="auto"/>
              <w:jc w:val="center"/>
              <w:rPr>
                <w:sz w:val="18"/>
                <w:szCs w:val="18"/>
              </w:rPr>
            </w:pPr>
            <w:r w:rsidDel="00000000" w:rsidR="00000000" w:rsidRPr="00000000">
              <w:rPr>
                <w:sz w:val="20"/>
                <w:szCs w:val="20"/>
                <w:rtl w:val="0"/>
              </w:rPr>
              <w:t xml:space="preserve">1.89E+09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9D">
            <w:pPr>
              <w:widowControl w:val="0"/>
              <w:spacing w:line="240" w:lineRule="auto"/>
              <w:jc w:val="center"/>
              <w:rPr>
                <w:sz w:val="18"/>
                <w:szCs w:val="18"/>
              </w:rPr>
            </w:pPr>
            <w:r w:rsidDel="00000000" w:rsidR="00000000" w:rsidRPr="00000000">
              <w:rPr>
                <w:sz w:val="20"/>
                <w:szCs w:val="20"/>
                <w:rtl w:val="0"/>
              </w:rPr>
              <w:t xml:space="preserve">2.76E+09</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19E">
            <w:pPr>
              <w:widowControl w:val="0"/>
              <w:spacing w:line="276" w:lineRule="auto"/>
              <w:rPr>
                <w:sz w:val="20"/>
                <w:szCs w:val="20"/>
              </w:rPr>
            </w:pPr>
            <w:r w:rsidDel="00000000" w:rsidR="00000000" w:rsidRPr="00000000">
              <w:rPr>
                <w:sz w:val="20"/>
                <w:szCs w:val="20"/>
                <w:rtl w:val="0"/>
              </w:rPr>
              <w:t xml:space="preserve">Textile</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9F">
            <w:pPr>
              <w:widowControl w:val="0"/>
              <w:spacing w:line="240" w:lineRule="auto"/>
              <w:jc w:val="center"/>
              <w:rPr>
                <w:sz w:val="20"/>
                <w:szCs w:val="20"/>
              </w:rPr>
            </w:pPr>
            <w:r w:rsidDel="00000000" w:rsidR="00000000" w:rsidRPr="00000000">
              <w:rPr>
                <w:sz w:val="20"/>
                <w:szCs w:val="20"/>
                <w:rtl w:val="0"/>
              </w:rPr>
              <w:t xml:space="preserve">1.61E+09</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A0">
            <w:pPr>
              <w:widowControl w:val="0"/>
              <w:spacing w:line="240" w:lineRule="auto"/>
              <w:jc w:val="center"/>
              <w:rPr>
                <w:sz w:val="20"/>
                <w:szCs w:val="20"/>
              </w:rPr>
            </w:pPr>
            <w:r w:rsidDel="00000000" w:rsidR="00000000" w:rsidRPr="00000000">
              <w:rPr>
                <w:sz w:val="20"/>
                <w:szCs w:val="20"/>
                <w:rtl w:val="0"/>
              </w:rPr>
              <w:t xml:space="preserve">2.34E+10</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A1">
            <w:pPr>
              <w:widowControl w:val="0"/>
              <w:spacing w:line="240" w:lineRule="auto"/>
              <w:jc w:val="center"/>
              <w:rPr>
                <w:sz w:val="18"/>
                <w:szCs w:val="18"/>
              </w:rPr>
            </w:pPr>
            <w:r w:rsidDel="00000000" w:rsidR="00000000" w:rsidRPr="00000000">
              <w:rPr>
                <w:sz w:val="20"/>
                <w:szCs w:val="20"/>
                <w:rtl w:val="0"/>
              </w:rPr>
              <w:t xml:space="preserve">1.60E+10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A2">
            <w:pPr>
              <w:widowControl w:val="0"/>
              <w:spacing w:line="240" w:lineRule="auto"/>
              <w:jc w:val="center"/>
              <w:rPr>
                <w:sz w:val="18"/>
                <w:szCs w:val="18"/>
              </w:rPr>
            </w:pPr>
            <w:r w:rsidDel="00000000" w:rsidR="00000000" w:rsidRPr="00000000">
              <w:rPr>
                <w:sz w:val="20"/>
                <w:szCs w:val="20"/>
                <w:rtl w:val="0"/>
              </w:rPr>
              <w:t xml:space="preserve">1.84E+09</w:t>
            </w:r>
            <w:r w:rsidDel="00000000" w:rsidR="00000000" w:rsidRPr="00000000">
              <w:rPr>
                <w:rtl w:val="0"/>
              </w:rPr>
            </w:r>
          </w:p>
        </w:tc>
      </w:tr>
      <w:tr>
        <w:trPr>
          <w:cantSplit w:val="0"/>
          <w:tblHeader w:val="0"/>
        </w:trPr>
        <w:tc>
          <w:tcPr>
            <w:tcBorders>
              <w:left w:color="000000" w:space="0" w:sz="0" w:val="nil"/>
              <w:bottom w:color="000000" w:space="0" w:sz="0" w:val="nil"/>
            </w:tcBorders>
            <w:shd w:fill="efefef" w:val="clear"/>
            <w:tcMar>
              <w:top w:w="-555.84" w:type="dxa"/>
              <w:left w:w="-555.84" w:type="dxa"/>
              <w:bottom w:w="-555.84" w:type="dxa"/>
              <w:right w:w="-555.84" w:type="dxa"/>
            </w:tcMar>
            <w:vAlign w:val="center"/>
          </w:tcPr>
          <w:p w:rsidR="00000000" w:rsidDel="00000000" w:rsidP="00000000" w:rsidRDefault="00000000" w:rsidRPr="00000000" w14:paraId="000001A3">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A4">
            <w:pPr>
              <w:widowControl w:val="0"/>
              <w:spacing w:line="240" w:lineRule="auto"/>
              <w:jc w:val="center"/>
              <w:rPr>
                <w:sz w:val="20"/>
                <w:szCs w:val="20"/>
              </w:rPr>
            </w:pPr>
            <w:r w:rsidDel="00000000" w:rsidR="00000000" w:rsidRPr="00000000">
              <w:rPr>
                <w:sz w:val="20"/>
                <w:szCs w:val="20"/>
                <w:rtl w:val="0"/>
              </w:rPr>
              <w:t xml:space="preserve">1.61E+09</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A5">
            <w:pPr>
              <w:widowControl w:val="0"/>
              <w:spacing w:line="240" w:lineRule="auto"/>
              <w:jc w:val="center"/>
              <w:rPr>
                <w:sz w:val="20"/>
                <w:szCs w:val="20"/>
              </w:rPr>
            </w:pPr>
            <w:r w:rsidDel="00000000" w:rsidR="00000000" w:rsidRPr="00000000">
              <w:rPr>
                <w:sz w:val="20"/>
                <w:szCs w:val="20"/>
                <w:rtl w:val="0"/>
              </w:rPr>
              <w:t xml:space="preserve">0E+00</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A6">
            <w:pPr>
              <w:widowControl w:val="0"/>
              <w:spacing w:line="240" w:lineRule="auto"/>
              <w:jc w:val="center"/>
              <w:rPr>
                <w:sz w:val="18"/>
                <w:szCs w:val="18"/>
              </w:rPr>
            </w:pPr>
            <w:r w:rsidDel="00000000" w:rsidR="00000000" w:rsidRPr="00000000">
              <w:rPr>
                <w:sz w:val="20"/>
                <w:szCs w:val="20"/>
                <w:rtl w:val="0"/>
              </w:rPr>
              <w:t xml:space="preserve">1.89E+09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A7">
            <w:pPr>
              <w:widowControl w:val="0"/>
              <w:spacing w:line="240" w:lineRule="auto"/>
              <w:jc w:val="center"/>
              <w:rPr>
                <w:sz w:val="18"/>
                <w:szCs w:val="18"/>
              </w:rPr>
            </w:pPr>
            <w:r w:rsidDel="00000000" w:rsidR="00000000" w:rsidRPr="00000000">
              <w:rPr>
                <w:sz w:val="20"/>
                <w:szCs w:val="20"/>
                <w:rtl w:val="0"/>
              </w:rPr>
              <w:t xml:space="preserve">2.21E+10</w:t>
            </w:r>
            <w:r w:rsidDel="00000000" w:rsidR="00000000" w:rsidRPr="00000000">
              <w:rPr>
                <w:rtl w:val="0"/>
              </w:rPr>
            </w:r>
          </w:p>
        </w:tc>
      </w:tr>
      <w:tr>
        <w:trPr>
          <w:cantSplit w:val="0"/>
          <w:tblHeader w:val="0"/>
        </w:trPr>
        <w:tc>
          <w:tcPr>
            <w:tcBorders>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1A8">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A9">
            <w:pPr>
              <w:widowControl w:val="0"/>
              <w:spacing w:line="240" w:lineRule="auto"/>
              <w:jc w:val="center"/>
              <w:rPr>
                <w:sz w:val="20"/>
                <w:szCs w:val="20"/>
              </w:rPr>
            </w:pPr>
            <w:r w:rsidDel="00000000" w:rsidR="00000000" w:rsidRPr="00000000">
              <w:rPr>
                <w:sz w:val="20"/>
                <w:szCs w:val="20"/>
                <w:rtl w:val="0"/>
              </w:rPr>
              <w:t xml:space="preserve">1.15E+09</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AA">
            <w:pPr>
              <w:widowControl w:val="0"/>
              <w:spacing w:line="240" w:lineRule="auto"/>
              <w:jc w:val="center"/>
              <w:rPr>
                <w:sz w:val="20"/>
                <w:szCs w:val="20"/>
              </w:rPr>
            </w:pPr>
            <w:r w:rsidDel="00000000" w:rsidR="00000000" w:rsidRPr="00000000">
              <w:rPr>
                <w:sz w:val="20"/>
                <w:szCs w:val="20"/>
                <w:rtl w:val="0"/>
              </w:rPr>
              <w:t xml:space="preserve">1.87E+09</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AB">
            <w:pPr>
              <w:widowControl w:val="0"/>
              <w:spacing w:line="240" w:lineRule="auto"/>
              <w:jc w:val="center"/>
              <w:rPr>
                <w:sz w:val="20"/>
                <w:szCs w:val="20"/>
              </w:rPr>
            </w:pPr>
            <w:r w:rsidDel="00000000" w:rsidR="00000000" w:rsidRPr="00000000">
              <w:rPr>
                <w:sz w:val="20"/>
                <w:szCs w:val="20"/>
                <w:rtl w:val="0"/>
              </w:rPr>
              <w:t xml:space="preserve">9.43E+08</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AC">
            <w:pPr>
              <w:widowControl w:val="0"/>
              <w:spacing w:line="240" w:lineRule="auto"/>
              <w:jc w:val="center"/>
              <w:rPr>
                <w:sz w:val="20"/>
                <w:szCs w:val="20"/>
              </w:rPr>
            </w:pPr>
            <w:r w:rsidDel="00000000" w:rsidR="00000000" w:rsidRPr="00000000">
              <w:rPr>
                <w:sz w:val="20"/>
                <w:szCs w:val="20"/>
                <w:rtl w:val="0"/>
              </w:rPr>
              <w:t xml:space="preserve">9.21E+08</w:t>
            </w:r>
          </w:p>
        </w:tc>
      </w:tr>
      <w:tr>
        <w:trPr>
          <w:cantSplit w:val="0"/>
          <w:trHeight w:val="225" w:hRule="atLeast"/>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1AD">
            <w:pPr>
              <w:widowControl w:val="0"/>
              <w:spacing w:line="276" w:lineRule="auto"/>
              <w:rPr>
                <w:b w:val="1"/>
                <w:bCs w:val="1"/>
                <w:sz w:val="20"/>
                <w:szCs w:val="20"/>
              </w:rPr>
            </w:pPr>
            <w:r w:rsidDel="00000000" w:rsidR="00000000" w:rsidRPr="00000000">
              <w:rPr>
                <w:b w:val="1"/>
                <w:bCs w:val="1"/>
                <w:sz w:val="20"/>
                <w:szCs w:val="20"/>
                <w:rtl w:val="0"/>
              </w:rPr>
              <w:t xml:space="preserve">Increased ECI</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AE">
            <w:pPr>
              <w:widowControl w:val="0"/>
              <w:spacing w:line="240" w:lineRule="auto"/>
              <w:jc w:val="center"/>
              <w:rPr>
                <w:b w:val="1"/>
                <w:bCs w:val="1"/>
                <w:sz w:val="20"/>
                <w:szCs w:val="20"/>
              </w:rPr>
            </w:pPr>
            <w:r w:rsidDel="00000000" w:rsidR="00000000" w:rsidRPr="00000000">
              <w:rPr>
                <w:b w:val="1"/>
                <w:bCs w:val="1"/>
                <w:sz w:val="20"/>
                <w:szCs w:val="20"/>
                <w:rtl w:val="0"/>
              </w:rPr>
              <w:t xml:space="preserve">0.675478</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AF">
            <w:pPr>
              <w:widowControl w:val="0"/>
              <w:spacing w:line="240" w:lineRule="auto"/>
              <w:jc w:val="center"/>
              <w:rPr>
                <w:b w:val="1"/>
                <w:bCs w:val="1"/>
                <w:sz w:val="20"/>
                <w:szCs w:val="20"/>
              </w:rPr>
            </w:pPr>
            <w:r w:rsidDel="00000000" w:rsidR="00000000" w:rsidRPr="00000000">
              <w:rPr>
                <w:b w:val="1"/>
                <w:bCs w:val="1"/>
                <w:sz w:val="20"/>
                <w:szCs w:val="20"/>
                <w:rtl w:val="0"/>
              </w:rPr>
              <w:t xml:space="preserve">0.888860</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B0">
            <w:pPr>
              <w:widowControl w:val="0"/>
              <w:spacing w:line="240" w:lineRule="auto"/>
              <w:jc w:val="center"/>
              <w:rPr>
                <w:b w:val="1"/>
                <w:bCs w:val="1"/>
                <w:sz w:val="20"/>
                <w:szCs w:val="20"/>
              </w:rPr>
            </w:pPr>
            <w:r w:rsidDel="00000000" w:rsidR="00000000" w:rsidRPr="00000000">
              <w:rPr>
                <w:b w:val="1"/>
                <w:bCs w:val="1"/>
                <w:sz w:val="20"/>
                <w:szCs w:val="20"/>
                <w:rtl w:val="0"/>
              </w:rPr>
              <w:t xml:space="preserve">0.891714</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B1">
            <w:pPr>
              <w:widowControl w:val="0"/>
              <w:spacing w:line="240" w:lineRule="auto"/>
              <w:jc w:val="center"/>
              <w:rPr>
                <w:b w:val="1"/>
                <w:bCs w:val="1"/>
                <w:sz w:val="20"/>
                <w:szCs w:val="20"/>
              </w:rPr>
            </w:pPr>
            <w:r w:rsidDel="00000000" w:rsidR="00000000" w:rsidRPr="00000000">
              <w:rPr>
                <w:b w:val="1"/>
                <w:bCs w:val="1"/>
                <w:sz w:val="20"/>
                <w:szCs w:val="20"/>
                <w:rtl w:val="0"/>
              </w:rPr>
              <w:t xml:space="preserve">0.675478</w:t>
            </w:r>
          </w:p>
        </w:tc>
      </w:tr>
    </w:tbl>
    <w:p w:rsidR="00000000" w:rsidDel="00000000" w:rsidP="00000000" w:rsidRDefault="00000000" w:rsidRPr="00000000" w14:paraId="000001B2">
      <w:pPr>
        <w:jc w:val="center"/>
        <w:rPr>
          <w:sz w:val="22"/>
          <w:szCs w:val="22"/>
        </w:rPr>
      </w:pPr>
      <w:r w:rsidDel="00000000" w:rsidR="00000000" w:rsidRPr="00000000">
        <w:rPr>
          <w:sz w:val="22"/>
          <w:szCs w:val="22"/>
          <w:rtl w:val="0"/>
        </w:rPr>
        <w:t xml:space="preserve">Table 8a. Portfolio of </w:t>
      </w:r>
      <w:r w:rsidDel="00000000" w:rsidR="00000000" w:rsidRPr="00000000">
        <w:rPr>
          <w:sz w:val="22"/>
          <w:szCs w:val="22"/>
          <w:rtl w:val="0"/>
        </w:rPr>
        <w:t xml:space="preserve">South Africa</w:t>
      </w:r>
      <w:r w:rsidDel="00000000" w:rsidR="00000000" w:rsidRPr="00000000">
        <w:rPr>
          <w:sz w:val="22"/>
          <w:szCs w:val="22"/>
          <w:rtl w:val="0"/>
        </w:rPr>
        <w:t xml:space="preserve"> (2022)</w:t>
      </w:r>
    </w:p>
    <w:p w:rsidR="00000000" w:rsidDel="00000000" w:rsidP="00000000" w:rsidRDefault="00000000" w:rsidRPr="00000000" w14:paraId="000001B3">
      <w:pPr>
        <w:jc w:val="center"/>
        <w:rPr>
          <w:sz w:val="22"/>
          <w:szCs w:val="22"/>
        </w:rPr>
      </w:pPr>
      <w:r w:rsidDel="00000000" w:rsidR="00000000" w:rsidRPr="00000000">
        <w:rPr>
          <w:rtl w:val="0"/>
        </w:rPr>
      </w:r>
    </w:p>
    <w:p w:rsidR="00000000" w:rsidDel="00000000" w:rsidP="00000000" w:rsidRDefault="00000000" w:rsidRPr="00000000" w14:paraId="000001B4">
      <w:pPr>
        <w:pageBreakBefore w:val="0"/>
        <w:spacing w:after="0" w:before="0" w:line="276" w:lineRule="auto"/>
        <w:rPr>
          <w:b w:val="1"/>
          <w:bCs w:val="1"/>
        </w:rPr>
      </w:pPr>
      <w:r w:rsidDel="00000000" w:rsidR="00000000" w:rsidRPr="00000000">
        <w:rPr>
          <w:b w:val="1"/>
          <w:bCs w:val="1"/>
          <w:rtl w:val="0"/>
        </w:rPr>
        <w:t xml:space="preserve">4.3  Sensitivity Analysis</w:t>
      </w:r>
    </w:p>
    <w:p w:rsidR="00000000" w:rsidDel="00000000" w:rsidP="00000000" w:rsidRDefault="00000000" w:rsidRPr="00000000" w14:paraId="000001B5">
      <w:pPr>
        <w:pageBreakBefore w:val="0"/>
        <w:spacing w:after="0" w:before="0" w:line="276" w:lineRule="auto"/>
        <w:jc w:val="both"/>
        <w:rPr/>
      </w:pPr>
      <w:r w:rsidDel="00000000" w:rsidR="00000000" w:rsidRPr="00000000">
        <w:rPr>
          <w:rtl w:val="0"/>
        </w:rPr>
        <w:t xml:space="preserve">In the following section, our broad aim is to understand how sensitive </w:t>
      </w:r>
      <w:r w:rsidDel="00000000" w:rsidR="00000000" w:rsidRPr="00000000">
        <w:rPr>
          <w:rtl w:val="0"/>
        </w:rPr>
        <w:t xml:space="preserve">South Africa</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1B6">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1B7">
      <w:pPr>
        <w:pageBreakBefore w:val="0"/>
        <w:spacing w:after="240" w:before="240" w:line="276" w:lineRule="auto"/>
        <w:jc w:val="both"/>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B8">
      <w:pPr>
        <w:jc w:val="both"/>
        <w:rPr>
          <w:b w:val="1"/>
          <w:bCs w:val="1"/>
        </w:rPr>
      </w:pPr>
      <w:r w:rsidDel="00000000" w:rsidR="00000000" w:rsidRPr="00000000">
        <w:rPr>
          <w:b w:val="1"/>
          <w:bCs w:val="1"/>
        </w:rPr>
        <w:drawing>
          <wp:inline distB="114300" distT="114300" distL="114300" distR="114300">
            <wp:extent cx="5310188" cy="2519630"/>
            <wp:effectExtent b="0" l="0" r="0" t="0"/>
            <wp:docPr id="8" name="image2.jpg"/>
            <a:graphic>
              <a:graphicData uri="http://schemas.openxmlformats.org/drawingml/2006/picture">
                <pic:pic>
                  <pic:nvPicPr>
                    <pic:cNvPr id="0" name="image2.jpg"/>
                    <pic:cNvPicPr preferRelativeResize="0"/>
                  </pic:nvPicPr>
                  <pic:blipFill>
                    <a:blip r:embed="rId16"/>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1BA">
      <w:pPr>
        <w:pageBreakBefore w:val="0"/>
        <w:spacing w:after="240" w:before="240" w:line="276" w:lineRule="auto"/>
        <w:jc w:val="both"/>
        <w:rPr>
          <w:b w:val="1"/>
          <w:bCs w:val="1"/>
          <w:sz w:val="28"/>
          <w:szCs w:val="28"/>
        </w:rPr>
      </w:pPr>
      <w:r w:rsidDel="00000000" w:rsidR="00000000" w:rsidRPr="00000000">
        <w:rPr>
          <w:rtl w:val="0"/>
        </w:rPr>
        <w:t xml:space="preserve">The graphs are formulated as follows.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1BB">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1BC">
      <w:pPr>
        <w:pageBreakBefore w:val="0"/>
        <w:jc w:val="both"/>
        <w:rPr/>
      </w:pPr>
      <w:r w:rsidDel="00000000" w:rsidR="00000000" w:rsidRPr="00000000">
        <w:rPr>
          <w:rtl w:val="0"/>
        </w:rPr>
        <w:t xml:space="preserve">We examine </w:t>
      </w:r>
      <w:r w:rsidDel="00000000" w:rsidR="00000000" w:rsidRPr="00000000">
        <w:rPr>
          <w:rtl w:val="0"/>
        </w:rPr>
        <w:t xml:space="preserve">South Africa</w:t>
      </w:r>
      <w:r w:rsidDel="00000000" w:rsidR="00000000" w:rsidRPr="00000000">
        <w:rPr>
          <w:rtl w:val="0"/>
        </w:rPr>
        <w:t xml:space="preserve">'s ECI Decremental and Incremental Sensitivity Charts for 2022. With positive shocking, an increase in Energy Drilling and Mining will lead to the highest change in ECI, followed by Chemical Manufacturing and Metals. The significance of Energy Drilling and Mining as well as Chemical Manufacturing was not captured in the greedy algorithm, but the two sectors may be critical to increasing ECI and consequently developing South Africa’s economy. The inclusion of Metals is consistent with previous analyses. For the negative shock cases, Energy Drilling and Mining is again the most important. The rest of the industries do not appear to have the same level of sensitivity.</w:t>
      </w:r>
      <w:r w:rsidDel="00000000" w:rsidR="00000000" w:rsidRPr="00000000">
        <w:rPr>
          <w:rtl w:val="0"/>
        </w:rPr>
        <w:t xml:space="preserve"> This suggests that even in economic downturns, South Africa should continue to invest in Energy Drilling and Mining to avoid additional decreases in ECI.</w:t>
      </w:r>
    </w:p>
    <w:p w:rsidR="00000000" w:rsidDel="00000000" w:rsidP="00000000" w:rsidRDefault="00000000" w:rsidRPr="00000000" w14:paraId="000001BD">
      <w:pPr>
        <w:pageBreakBefore w:val="0"/>
        <w:jc w:val="both"/>
        <w:rPr/>
      </w:pPr>
      <w:r w:rsidDel="00000000" w:rsidR="00000000" w:rsidRPr="00000000">
        <w:rPr/>
        <w:drawing>
          <wp:inline distB="114300" distT="114300" distL="114300" distR="114300">
            <wp:extent cx="5731200" cy="4089400"/>
            <wp:effectExtent b="0" l="0" r="0" t="0"/>
            <wp:docPr id="4"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South Africa</w:t>
      </w:r>
      <w:r w:rsidDel="00000000" w:rsidR="00000000" w:rsidRPr="00000000">
        <w:rPr>
          <w:sz w:val="22"/>
          <w:szCs w:val="22"/>
          <w:rtl w:val="0"/>
        </w:rPr>
        <w:t xml:space="preserve"> (2022)</w:t>
      </w:r>
    </w:p>
    <w:p w:rsidR="00000000" w:rsidDel="00000000" w:rsidP="00000000" w:rsidRDefault="00000000" w:rsidRPr="00000000" w14:paraId="000001BF">
      <w:pPr>
        <w:jc w:val="center"/>
        <w:rPr>
          <w:sz w:val="22"/>
          <w:szCs w:val="22"/>
        </w:rPr>
      </w:pPr>
      <w:r w:rsidDel="00000000" w:rsidR="00000000" w:rsidRPr="00000000">
        <w:rPr>
          <w:sz w:val="22"/>
          <w:szCs w:val="22"/>
        </w:rPr>
        <w:drawing>
          <wp:inline distB="114300" distT="114300" distL="114300" distR="114300">
            <wp:extent cx="5731200" cy="4089400"/>
            <wp:effectExtent b="0" l="0" r="0" t="0"/>
            <wp:docPr id="7"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jc w:val="center"/>
        <w:rPr>
          <w:sz w:val="28"/>
          <w:szCs w:val="28"/>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South Africa</w:t>
      </w:r>
      <w:r w:rsidDel="00000000" w:rsidR="00000000" w:rsidRPr="00000000">
        <w:rPr>
          <w:sz w:val="22"/>
          <w:szCs w:val="22"/>
          <w:rtl w:val="0"/>
        </w:rPr>
        <w:t xml:space="preserve"> (2021)</w:t>
      </w:r>
      <w:r w:rsidDel="00000000" w:rsidR="00000000" w:rsidRPr="00000000">
        <w:rPr>
          <w:rtl w:val="0"/>
        </w:rPr>
      </w:r>
    </w:p>
    <w:p w:rsidR="00000000" w:rsidDel="00000000" w:rsidP="00000000" w:rsidRDefault="00000000" w:rsidRPr="00000000" w14:paraId="000001C1">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C2">
      <w:pPr>
        <w:pageBreakBefore w:val="0"/>
        <w:jc w:val="both"/>
        <w:rPr>
          <w:b w:val="1"/>
          <w:bCs w:val="1"/>
        </w:rPr>
      </w:pPr>
      <w:r w:rsidDel="00000000" w:rsidR="00000000" w:rsidRPr="00000000">
        <w:rPr>
          <w:rtl w:val="0"/>
        </w:rPr>
      </w:r>
    </w:p>
    <w:p w:rsidR="00000000" w:rsidDel="00000000" w:rsidP="00000000" w:rsidRDefault="00000000" w:rsidRPr="00000000" w14:paraId="000001C3">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C4">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1C5">
      <w:pPr>
        <w:pageBreakBefore w:val="0"/>
        <w:jc w:val="both"/>
        <w:rPr/>
      </w:pPr>
      <w:r w:rsidDel="00000000" w:rsidR="00000000" w:rsidRPr="00000000">
        <w:rPr>
          <w:rtl w:val="0"/>
        </w:rPr>
      </w:r>
    </w:p>
    <w:p w:rsidR="00000000" w:rsidDel="00000000" w:rsidP="00000000" w:rsidRDefault="00000000" w:rsidRPr="00000000" w14:paraId="000001C6">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5.4%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1.26%</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1C7">
      <w:pPr>
        <w:pageBreakBefore w:val="0"/>
        <w:jc w:val="both"/>
        <w:rPr/>
      </w:pPr>
      <w:r w:rsidDel="00000000" w:rsidR="00000000" w:rsidRPr="00000000">
        <w:rPr>
          <w:rtl w:val="0"/>
        </w:rPr>
      </w:r>
    </w:p>
    <w:tbl>
      <w:tblPr>
        <w:tblStyle w:val="Table10"/>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1C8">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CA">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CB">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5.963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CC">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0.054</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CD">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0.0163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CE">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0.045</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CF">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106</w:t>
            </w:r>
          </w:p>
        </w:tc>
      </w:tr>
    </w:tbl>
    <w:p w:rsidR="00000000" w:rsidDel="00000000" w:rsidP="00000000" w:rsidRDefault="00000000" w:rsidRPr="00000000" w14:paraId="000001D0">
      <w:pPr>
        <w:pageBreakBefore w:val="0"/>
        <w:jc w:val="left"/>
        <w:rPr/>
      </w:pPr>
      <w:r w:rsidDel="00000000" w:rsidR="00000000" w:rsidRPr="00000000">
        <w:rPr>
          <w:rtl w:val="0"/>
        </w:rPr>
      </w:r>
    </w:p>
    <w:p w:rsidR="00000000" w:rsidDel="00000000" w:rsidP="00000000" w:rsidRDefault="00000000" w:rsidRPr="00000000" w14:paraId="000001D1">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619125</wp:posOffset>
            </wp:positionH>
            <wp:positionV relativeFrom="paragraph">
              <wp:posOffset>38100</wp:posOffset>
            </wp:positionV>
            <wp:extent cx="4520925" cy="3005138"/>
            <wp:effectExtent b="0" l="0" r="0" t="0"/>
            <wp:wrapTopAndBottom distB="0" distT="0"/>
            <wp:docPr id="1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520925" cy="3005138"/>
                    </a:xfrm>
                    <a:prstGeom prst="rect"/>
                    <a:ln/>
                  </pic:spPr>
                </pic:pic>
              </a:graphicData>
            </a:graphic>
          </wp:anchor>
        </w:drawing>
      </w:r>
    </w:p>
    <w:p w:rsidR="00000000" w:rsidDel="00000000" w:rsidP="00000000" w:rsidRDefault="00000000" w:rsidRPr="00000000" w14:paraId="000001D2">
      <w:pPr>
        <w:pageBreakBefore w:val="0"/>
        <w:jc w:val="both"/>
        <w:rPr/>
      </w:pPr>
      <w:r w:rsidDel="00000000" w:rsidR="00000000" w:rsidRPr="00000000">
        <w:rPr>
          <w:rtl w:val="0"/>
        </w:rPr>
      </w:r>
    </w:p>
    <w:p w:rsidR="00000000" w:rsidDel="00000000" w:rsidP="00000000" w:rsidRDefault="00000000" w:rsidRPr="00000000" w14:paraId="000001D3">
      <w:pPr>
        <w:pageBreakBefore w:val="0"/>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South Africa</w:t>
      </w:r>
      <w:r w:rsidDel="00000000" w:rsidR="00000000" w:rsidRPr="00000000">
        <w:rPr>
          <w:b w:val="1"/>
          <w:bCs w:val="1"/>
          <w:rtl w:val="0"/>
        </w:rPr>
        <w:t xml:space="preserve"> and Its Implications</w:t>
      </w:r>
    </w:p>
    <w:p w:rsidR="00000000" w:rsidDel="00000000" w:rsidP="00000000" w:rsidRDefault="00000000" w:rsidRPr="00000000" w14:paraId="000001D4">
      <w:pPr>
        <w:pageBreakBefore w:val="0"/>
        <w:jc w:val="both"/>
        <w:rPr/>
      </w:pPr>
      <w:r w:rsidDel="00000000" w:rsidR="00000000" w:rsidRPr="00000000">
        <w:rPr>
          <w:rtl w:val="0"/>
        </w:rPr>
        <w:t xml:space="preserve">During the examined period, </w:t>
      </w:r>
      <w:r w:rsidDel="00000000" w:rsidR="00000000" w:rsidRPr="00000000">
        <w:rPr>
          <w:rtl w:val="0"/>
        </w:rPr>
        <w:t xml:space="preserve">South Africa</w:t>
      </w:r>
      <w:r w:rsidDel="00000000" w:rsidR="00000000" w:rsidRPr="00000000">
        <w:rPr>
          <w:rtl w:val="0"/>
        </w:rPr>
        <w:t xml:space="preserve"> has a low level of structural optimality as compared with its peers. As the regression in Figure 10 suggests (the red curve represents export increase and the blue curve stands for opportunity gain of the corresponding industry), </w:t>
      </w:r>
      <w:r w:rsidDel="00000000" w:rsidR="00000000" w:rsidRPr="00000000">
        <w:rPr>
          <w:rtl w:val="0"/>
        </w:rPr>
        <w:t xml:space="preserve">South Africa</w:t>
      </w:r>
      <w:r w:rsidDel="00000000" w:rsidR="00000000" w:rsidRPr="00000000">
        <w:rPr>
          <w:rtl w:val="0"/>
        </w:rPr>
        <w:t xml:space="preserve"> demonstrates a low level of correlation with the suggested developmental path, having an adjusted R-square of around 1.26%. </w:t>
      </w:r>
      <w:r w:rsidDel="00000000" w:rsidR="00000000" w:rsidRPr="00000000">
        <w:rPr>
          <w:rtl w:val="0"/>
        </w:rPr>
      </w:r>
    </w:p>
    <w:p w:rsidR="00000000" w:rsidDel="00000000" w:rsidP="00000000" w:rsidRDefault="00000000" w:rsidRPr="00000000" w14:paraId="000001D5">
      <w:pPr>
        <w:pageBreakBefore w:val="0"/>
        <w:jc w:val="both"/>
        <w:rPr/>
      </w:pPr>
      <w:r w:rsidDel="00000000" w:rsidR="00000000" w:rsidRPr="00000000">
        <w:rPr>
          <w:rtl w:val="0"/>
        </w:rPr>
      </w:r>
    </w:p>
    <w:p w:rsidR="00000000" w:rsidDel="00000000" w:rsidP="00000000" w:rsidRDefault="00000000" w:rsidRPr="00000000" w14:paraId="000001D6">
      <w:pPr>
        <w:pageBreakBefore w:val="0"/>
        <w:jc w:val="both"/>
        <w:rPr/>
      </w:pPr>
      <w:r w:rsidDel="00000000" w:rsidR="00000000" w:rsidRPr="00000000">
        <w:rPr>
          <w:rtl w:val="0"/>
        </w:rPr>
        <w:t xml:space="preserve">South Africa</w:t>
      </w:r>
      <w:r w:rsidDel="00000000" w:rsidR="00000000" w:rsidRPr="00000000">
        <w:rPr>
          <w:rtl w:val="0"/>
        </w:rPr>
        <w:t xml:space="preserve"> ranks in the middle among all countries in terms of SOI and has made a moderate rate of economic progress among its emerging peers from 2019 to 2022 with a</w:t>
      </w:r>
      <w:r w:rsidDel="00000000" w:rsidR="00000000" w:rsidRPr="00000000">
        <w:rPr>
          <w:rtl w:val="0"/>
        </w:rPr>
        <w:t xml:space="preserve"> 5-year GDP growth rate of</w:t>
      </w:r>
      <w:r w:rsidDel="00000000" w:rsidR="00000000" w:rsidRPr="00000000">
        <w:rPr>
          <w:rtl w:val="0"/>
        </w:rPr>
        <w:t xml:space="preserve"> 1.94%, which is consistent with the regression result in Figure 4b. </w:t>
      </w:r>
      <w:r w:rsidDel="00000000" w:rsidR="00000000" w:rsidRPr="00000000">
        <w:rPr>
          <w:rtl w:val="0"/>
        </w:rPr>
        <w:t xml:space="preserve">Specifically, </w:t>
      </w:r>
      <w:r w:rsidDel="00000000" w:rsidR="00000000" w:rsidRPr="00000000">
        <w:rPr>
          <w:rtl w:val="0"/>
        </w:rPr>
        <w:t xml:space="preserve">South Africa</w:t>
      </w:r>
      <w:r w:rsidDel="00000000" w:rsidR="00000000" w:rsidRPr="00000000">
        <w:rPr>
          <w:rtl w:val="0"/>
        </w:rPr>
        <w:t xml:space="preserve">'s slow economic progress from 2019-2022 can be at least partially explained by a development strategy that demonstrates a considerable but not perfect level of matches with our suggested developmental path.</w:t>
      </w:r>
      <w:r w:rsidDel="00000000" w:rsidR="00000000" w:rsidRPr="00000000">
        <w:rPr>
          <w:rtl w:val="0"/>
        </w:rPr>
      </w:r>
    </w:p>
    <w:p w:rsidR="00000000" w:rsidDel="00000000" w:rsidP="00000000" w:rsidRDefault="00000000" w:rsidRPr="00000000" w14:paraId="000001D7">
      <w:pPr>
        <w:jc w:val="both"/>
        <w:rPr/>
      </w:pPr>
      <w:r w:rsidDel="00000000" w:rsidR="00000000" w:rsidRPr="00000000">
        <w:rPr/>
        <w:drawing>
          <wp:inline distB="114300" distT="114300" distL="114300" distR="114300">
            <wp:extent cx="5731200" cy="2298700"/>
            <wp:effectExtent b="0" l="0" r="0" t="0"/>
            <wp:docPr id="5"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pageBreakBefore w:val="0"/>
        <w:jc w:val="both"/>
        <w:rPr/>
      </w:pPr>
      <w:r w:rsidDel="00000000" w:rsidR="00000000" w:rsidRPr="00000000">
        <w:rPr>
          <w:rtl w:val="0"/>
        </w:rPr>
      </w:r>
    </w:p>
    <w:p w:rsidR="00000000" w:rsidDel="00000000" w:rsidP="00000000" w:rsidRDefault="00000000" w:rsidRPr="00000000" w14:paraId="000001D9">
      <w:pPr>
        <w:jc w:val="center"/>
        <w:rPr>
          <w:sz w:val="22"/>
          <w:szCs w:val="22"/>
        </w:rPr>
      </w:pPr>
      <w:r w:rsidDel="00000000" w:rsidR="00000000" w:rsidRPr="00000000">
        <w:rPr>
          <w:sz w:val="22"/>
          <w:szCs w:val="22"/>
          <w:rtl w:val="0"/>
        </w:rPr>
        <w:t xml:space="preserve">Figure 10. SOI of </w:t>
      </w:r>
      <w:r w:rsidDel="00000000" w:rsidR="00000000" w:rsidRPr="00000000">
        <w:rPr>
          <w:sz w:val="22"/>
          <w:szCs w:val="22"/>
          <w:rtl w:val="0"/>
        </w:rPr>
        <w:t xml:space="preserve">South Africa</w:t>
      </w:r>
      <w:r w:rsidDel="00000000" w:rsidR="00000000" w:rsidRPr="00000000">
        <w:rPr>
          <w:sz w:val="22"/>
          <w:szCs w:val="22"/>
          <w:rtl w:val="0"/>
        </w:rPr>
        <w:t xml:space="preserve"> (2019-2022)</w:t>
      </w:r>
    </w:p>
    <w:p w:rsidR="00000000" w:rsidDel="00000000" w:rsidP="00000000" w:rsidRDefault="00000000" w:rsidRPr="00000000" w14:paraId="000001DA">
      <w:pPr>
        <w:pageBreakBefore w:val="0"/>
        <w:jc w:val="both"/>
        <w:rPr>
          <w:b w:val="1"/>
          <w:bCs w:val="1"/>
        </w:rPr>
      </w:pPr>
      <w:r w:rsidDel="00000000" w:rsidR="00000000" w:rsidRPr="00000000">
        <w:rPr>
          <w:rtl w:val="0"/>
        </w:rPr>
      </w:r>
    </w:p>
    <w:p w:rsidR="00000000" w:rsidDel="00000000" w:rsidP="00000000" w:rsidRDefault="00000000" w:rsidRPr="00000000" w14:paraId="000001DB">
      <w:pPr>
        <w:pageBreakBefore w:val="0"/>
        <w:jc w:val="both"/>
        <w:rPr>
          <w:b w:val="1"/>
          <w:bCs w:val="1"/>
        </w:rPr>
      </w:pPr>
      <w:r w:rsidDel="00000000" w:rsidR="00000000" w:rsidRPr="00000000">
        <w:rPr>
          <w:rtl w:val="0"/>
        </w:rPr>
      </w:r>
    </w:p>
    <w:p w:rsidR="00000000" w:rsidDel="00000000" w:rsidP="00000000" w:rsidRDefault="00000000" w:rsidRPr="00000000" w14:paraId="000001DC">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DD">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DE">
      <w:pPr>
        <w:pageBreakBefore w:val="0"/>
        <w:jc w:val="both"/>
        <w:rPr/>
      </w:pPr>
      <w:r w:rsidDel="00000000" w:rsidR="00000000" w:rsidRPr="00000000">
        <w:rPr>
          <w:rtl w:val="0"/>
        </w:rPr>
      </w:r>
    </w:p>
    <w:p w:rsidR="00000000" w:rsidDel="00000000" w:rsidP="00000000" w:rsidRDefault="00000000" w:rsidRPr="00000000" w14:paraId="000001DF">
      <w:pPr>
        <w:pageBreakBefore w:val="0"/>
        <w:jc w:val="both"/>
        <w:rPr/>
      </w:pPr>
      <w:r w:rsidDel="00000000" w:rsidR="00000000" w:rsidRPr="00000000">
        <w:rPr>
          <w:rtl w:val="0"/>
        </w:rPr>
        <w:t xml:space="preserve">In conclusion, </w:t>
      </w:r>
      <w:r w:rsidDel="00000000" w:rsidR="00000000" w:rsidRPr="00000000">
        <w:rPr>
          <w:rtl w:val="0"/>
        </w:rPr>
        <w:t xml:space="preserve">South Africa</w:t>
      </w:r>
      <w:r w:rsidDel="00000000" w:rsidR="00000000" w:rsidRPr="00000000">
        <w:rPr>
          <w:rtl w:val="0"/>
        </w:rPr>
        <w:t xml:space="preserve"> has demonstrated a moderate level of economic growth in terms of annual GDP increase during the period from 2019 to 2022, concurrent with an increase in economic complexity as compared with major developed economies. </w:t>
      </w:r>
      <w:r w:rsidDel="00000000" w:rsidR="00000000" w:rsidRPr="00000000">
        <w:rPr>
          <w:rtl w:val="0"/>
        </w:rPr>
      </w:r>
    </w:p>
    <w:p w:rsidR="00000000" w:rsidDel="00000000" w:rsidP="00000000" w:rsidRDefault="00000000" w:rsidRPr="00000000" w14:paraId="000001E0">
      <w:pPr>
        <w:pageBreakBefore w:val="0"/>
        <w:jc w:val="both"/>
        <w:rPr/>
      </w:pPr>
      <w:r w:rsidDel="00000000" w:rsidR="00000000" w:rsidRPr="00000000">
        <w:rPr>
          <w:rtl w:val="0"/>
        </w:rPr>
      </w:r>
    </w:p>
    <w:p w:rsidR="00000000" w:rsidDel="00000000" w:rsidP="00000000" w:rsidRDefault="00000000" w:rsidRPr="00000000" w14:paraId="000001E1">
      <w:pPr>
        <w:pageBreakBefore w:val="0"/>
        <w:jc w:val="both"/>
        <w:rPr/>
      </w:pPr>
      <w:r w:rsidDel="00000000" w:rsidR="00000000" w:rsidRPr="00000000">
        <w:rPr>
          <w:rtl w:val="0"/>
        </w:rPr>
        <w:t xml:space="preserve">We believe that the mixed progress during this period can be partially explained through the analysis of the economic and product complexity structure of </w:t>
      </w:r>
      <w:r w:rsidDel="00000000" w:rsidR="00000000" w:rsidRPr="00000000">
        <w:rPr>
          <w:rtl w:val="0"/>
        </w:rPr>
        <w:t xml:space="preserve">South Africa</w:t>
      </w:r>
      <w:r w:rsidDel="00000000" w:rsidR="00000000" w:rsidRPr="00000000">
        <w:rPr>
          <w:rtl w:val="0"/>
        </w:rPr>
        <w:t xml:space="preserv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w:t>
      </w:r>
      <w:r w:rsidDel="00000000" w:rsidR="00000000" w:rsidRPr="00000000">
        <w:rPr>
          <w:rtl w:val="0"/>
        </w:rPr>
        <w:t xml:space="preserve">South Africa</w:t>
      </w:r>
      <w:r w:rsidDel="00000000" w:rsidR="00000000" w:rsidRPr="00000000">
        <w:rPr>
          <w:rtl w:val="0"/>
        </w:rPr>
        <w:t xml:space="preserve"> regressed in developing </w:t>
      </w:r>
      <w:r w:rsidDel="00000000" w:rsidR="00000000" w:rsidRPr="00000000">
        <w:rPr>
          <w:rtl w:val="0"/>
        </w:rPr>
        <w:t xml:space="preserve">most of its industries during the period</w:t>
      </w:r>
      <w:r w:rsidDel="00000000" w:rsidR="00000000" w:rsidRPr="00000000">
        <w:rPr>
          <w:rtl w:val="0"/>
        </w:rPr>
        <w:t xml:space="preserve">. Despite a large increase in ECI compared to its peers, South Africa did not undergo the similar GDP growth, which indicates that there is further potential to target specific industries.</w:t>
      </w:r>
    </w:p>
    <w:p w:rsidR="00000000" w:rsidDel="00000000" w:rsidP="00000000" w:rsidRDefault="00000000" w:rsidRPr="00000000" w14:paraId="000001E2">
      <w:pPr>
        <w:pageBreakBefore w:val="0"/>
        <w:jc w:val="both"/>
        <w:rPr/>
      </w:pPr>
      <w:r w:rsidDel="00000000" w:rsidR="00000000" w:rsidRPr="00000000">
        <w:rPr>
          <w:rtl w:val="0"/>
        </w:rPr>
      </w:r>
    </w:p>
    <w:p w:rsidR="00000000" w:rsidDel="00000000" w:rsidP="00000000" w:rsidRDefault="00000000" w:rsidRPr="00000000" w14:paraId="000001E3">
      <w:pPr>
        <w:pageBreakBefore w:val="0"/>
        <w:jc w:val="both"/>
        <w:rPr/>
      </w:pPr>
      <w:r w:rsidDel="00000000" w:rsidR="00000000" w:rsidRPr="00000000">
        <w:rPr>
          <w:rtl w:val="0"/>
        </w:rPr>
        <w:t xml:space="preserve">Based on our analysis of the opportunity gain and sensitivity analysis of major industry groups for 2019-2022, </w:t>
      </w:r>
      <w:r w:rsidDel="00000000" w:rsidR="00000000" w:rsidRPr="00000000">
        <w:rPr>
          <w:rtl w:val="0"/>
        </w:rPr>
        <w:t xml:space="preserve">South Africa</w:t>
      </w:r>
      <w:r w:rsidDel="00000000" w:rsidR="00000000" w:rsidRPr="00000000">
        <w:rPr>
          <w:rtl w:val="0"/>
        </w:rPr>
        <w:t xml:space="preserve"> can further its gains by </w:t>
      </w:r>
      <w:r w:rsidDel="00000000" w:rsidR="00000000" w:rsidRPr="00000000">
        <w:rPr>
          <w:rtl w:val="0"/>
        </w:rPr>
        <w:t xml:space="preserve">High-complexity Products and Textiles</w:t>
      </w:r>
      <w:r w:rsidDel="00000000" w:rsidR="00000000" w:rsidRPr="00000000">
        <w:rPr>
          <w:rtl w:val="0"/>
        </w:rPr>
        <w:t xml:space="preserve">. We further note that </w:t>
      </w:r>
      <w:r w:rsidDel="00000000" w:rsidR="00000000" w:rsidRPr="00000000">
        <w:rPr>
          <w:rtl w:val="0"/>
        </w:rPr>
        <w:t xml:space="preserve">South Africa</w:t>
      </w:r>
      <w:r w:rsidDel="00000000" w:rsidR="00000000" w:rsidRPr="00000000">
        <w:rPr>
          <w:rtl w:val="0"/>
        </w:rPr>
        <w:t xml:space="preserve"> has a </w:t>
      </w:r>
      <w:r w:rsidDel="00000000" w:rsidR="00000000" w:rsidRPr="00000000">
        <w:rPr>
          <w:rtl w:val="0"/>
        </w:rPr>
        <w:t xml:space="preserve">heavily mismatched development strategy</w:t>
      </w:r>
      <w:r w:rsidDel="00000000" w:rsidR="00000000" w:rsidRPr="00000000">
        <w:rPr>
          <w:rtl w:val="0"/>
        </w:rPr>
        <w:t xml:space="preserve"> that indicates a low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 1.26%. Since a positive correlation exists between five-year GDP growth and the structural optimality index of an economy as we define and calculate, </w:t>
      </w:r>
      <w:r w:rsidDel="00000000" w:rsidR="00000000" w:rsidRPr="00000000">
        <w:rPr>
          <w:rtl w:val="0"/>
        </w:rPr>
        <w:t xml:space="preserve">South Africa</w:t>
      </w:r>
      <w:r w:rsidDel="00000000" w:rsidR="00000000" w:rsidRPr="00000000">
        <w:rPr>
          <w:rtl w:val="0"/>
        </w:rPr>
        <w:t xml:space="preserve"> indeed has a suboptimal growth experience as compared with fast-growing economies both on a regional scale and on a global scale and has the potential to further its economic gains through industrial structure optimization as suggested in the paper.</w:t>
      </w:r>
      <w:r w:rsidDel="00000000" w:rsidR="00000000" w:rsidRPr="00000000">
        <w:rPr>
          <w:rtl w:val="0"/>
        </w:rPr>
      </w:r>
    </w:p>
    <w:p w:rsidR="00000000" w:rsidDel="00000000" w:rsidP="00000000" w:rsidRDefault="00000000" w:rsidRPr="00000000" w14:paraId="000001E4">
      <w:pPr>
        <w:pageBreakBefore w:val="0"/>
        <w:jc w:val="both"/>
        <w:rPr/>
      </w:pPr>
      <w:r w:rsidDel="00000000" w:rsidR="00000000" w:rsidRPr="00000000">
        <w:rPr>
          <w:rtl w:val="0"/>
        </w:rPr>
      </w:r>
    </w:p>
    <w:p w:rsidR="00000000" w:rsidDel="00000000" w:rsidP="00000000" w:rsidRDefault="00000000" w:rsidRPr="00000000" w14:paraId="000001E5">
      <w:pPr>
        <w:jc w:val="both"/>
        <w:rPr/>
      </w:pPr>
      <w:r w:rsidDel="00000000" w:rsidR="00000000" w:rsidRPr="00000000">
        <w:rPr>
          <w:rtl w:val="0"/>
        </w:rPr>
        <w:t xml:space="preserve">We infer that during the  COVID-19 period, South Africa focused on maintaining </w:t>
      </w:r>
      <w:r w:rsidDel="00000000" w:rsidR="00000000" w:rsidRPr="00000000">
        <w:rPr>
          <w:rtl w:val="0"/>
        </w:rPr>
        <w:t xml:space="preserve">higher complexity industries despite a lower demand for these industries given the global economic downturn</w:t>
      </w:r>
      <w:r w:rsidDel="00000000" w:rsidR="00000000" w:rsidRPr="00000000">
        <w:rPr>
          <w:rtl w:val="0"/>
        </w:rPr>
        <w:t xml:space="preserve">. With the revised focus, </w:t>
      </w:r>
      <w:r w:rsidDel="00000000" w:rsidR="00000000" w:rsidRPr="00000000">
        <w:rPr>
          <w:rtl w:val="0"/>
        </w:rPr>
        <w:t xml:space="preserve">South Africa</w:t>
      </w:r>
      <w:r w:rsidDel="00000000" w:rsidR="00000000" w:rsidRPr="00000000">
        <w:rPr>
          <w:rtl w:val="0"/>
        </w:rPr>
        <w:t xml:space="preserve"> has further potential to advance its economic growth to maintain its position among other countries to continue its </w:t>
      </w:r>
      <w:r w:rsidDel="00000000" w:rsidR="00000000" w:rsidRPr="00000000">
        <w:rPr>
          <w:rtl w:val="0"/>
        </w:rPr>
        <w:t xml:space="preserve">ongoing economic expansion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6">
      <w:pPr>
        <w:pageBreakBefore w:val="0"/>
        <w:jc w:val="both"/>
        <w:rPr/>
      </w:pPr>
      <w:r w:rsidDel="00000000" w:rsidR="00000000" w:rsidRPr="00000000">
        <w:rPr>
          <w:rtl w:val="0"/>
        </w:rPr>
      </w:r>
    </w:p>
    <w:p w:rsidR="00000000" w:rsidDel="00000000" w:rsidP="00000000" w:rsidRDefault="00000000" w:rsidRPr="00000000" w14:paraId="000001E7">
      <w:pPr>
        <w:pageBreakBefore w:val="0"/>
        <w:jc w:val="both"/>
        <w:rPr/>
      </w:pPr>
      <w:r w:rsidDel="00000000" w:rsidR="00000000" w:rsidRPr="00000000">
        <w:rPr>
          <w:rtl w:val="0"/>
        </w:rPr>
      </w:r>
    </w:p>
    <w:p w:rsidR="00000000" w:rsidDel="00000000" w:rsidP="00000000" w:rsidRDefault="00000000" w:rsidRPr="00000000" w14:paraId="000001E8">
      <w:pPr>
        <w:pageBreakBefore w:val="0"/>
        <w:jc w:val="both"/>
        <w:rPr/>
      </w:pPr>
      <w:r w:rsidDel="00000000" w:rsidR="00000000" w:rsidRPr="00000000">
        <w:rPr>
          <w:rtl w:val="0"/>
        </w:rPr>
      </w:r>
    </w:p>
    <w:p w:rsidR="00000000" w:rsidDel="00000000" w:rsidP="00000000" w:rsidRDefault="00000000" w:rsidRPr="00000000" w14:paraId="000001E9">
      <w:pPr>
        <w:pageBreakBefore w:val="0"/>
        <w:jc w:val="both"/>
        <w:rPr/>
      </w:pPr>
      <w:r w:rsidDel="00000000" w:rsidR="00000000" w:rsidRPr="00000000">
        <w:rPr>
          <w:rtl w:val="0"/>
        </w:rPr>
      </w:r>
    </w:p>
    <w:p w:rsidR="00000000" w:rsidDel="00000000" w:rsidP="00000000" w:rsidRDefault="00000000" w:rsidRPr="00000000" w14:paraId="000001EA">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EB">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EC">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ED">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EE">
      <w:pPr>
        <w:pageBreakBefore w:val="0"/>
        <w:jc w:val="both"/>
        <w:rPr>
          <w:color w:val="000000"/>
          <w:highlight w:val="white"/>
        </w:rPr>
      </w:pPr>
      <w:r w:rsidDel="00000000" w:rsidR="00000000" w:rsidRPr="00000000">
        <w:rPr>
          <w:rtl w:val="0"/>
        </w:rPr>
      </w:r>
    </w:p>
    <w:p w:rsidR="00000000" w:rsidDel="00000000" w:rsidP="00000000" w:rsidRDefault="00000000" w:rsidRPr="00000000" w14:paraId="000001EF">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F0">
      <w:pPr>
        <w:pageBreakBefore w:val="0"/>
        <w:jc w:val="both"/>
        <w:rPr>
          <w:color w:val="000000"/>
          <w:highlight w:val="white"/>
        </w:rPr>
      </w:pPr>
      <w:r w:rsidDel="00000000" w:rsidR="00000000" w:rsidRPr="00000000">
        <w:rPr>
          <w:rtl w:val="0"/>
        </w:rPr>
      </w:r>
    </w:p>
    <w:p w:rsidR="00000000" w:rsidDel="00000000" w:rsidP="00000000" w:rsidRDefault="00000000" w:rsidRPr="00000000" w14:paraId="000001F1">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F2">
      <w:pPr>
        <w:pageBreakBefore w:val="0"/>
        <w:jc w:val="both"/>
        <w:rPr>
          <w:color w:val="000000"/>
          <w:highlight w:val="white"/>
        </w:rPr>
      </w:pPr>
      <w:r w:rsidDel="00000000" w:rsidR="00000000" w:rsidRPr="00000000">
        <w:rPr>
          <w:rtl w:val="0"/>
        </w:rPr>
      </w:r>
    </w:p>
    <w:p w:rsidR="00000000" w:rsidDel="00000000" w:rsidP="00000000" w:rsidRDefault="00000000" w:rsidRPr="00000000" w14:paraId="000001F3">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F4">
      <w:pPr>
        <w:pageBreakBefore w:val="0"/>
        <w:jc w:val="both"/>
        <w:rPr>
          <w:color w:val="000000"/>
          <w:highlight w:val="white"/>
        </w:rPr>
      </w:pPr>
      <w:r w:rsidDel="00000000" w:rsidR="00000000" w:rsidRPr="00000000">
        <w:rPr>
          <w:rtl w:val="0"/>
        </w:rPr>
      </w:r>
    </w:p>
    <w:p w:rsidR="00000000" w:rsidDel="00000000" w:rsidP="00000000" w:rsidRDefault="00000000" w:rsidRPr="00000000" w14:paraId="000001F5">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F6">
      <w:pPr>
        <w:pageBreakBefore w:val="0"/>
        <w:jc w:val="both"/>
        <w:rPr>
          <w:color w:val="000000"/>
          <w:highlight w:val="white"/>
        </w:rPr>
      </w:pPr>
      <w:r w:rsidDel="00000000" w:rsidR="00000000" w:rsidRPr="00000000">
        <w:rPr>
          <w:rtl w:val="0"/>
        </w:rPr>
      </w:r>
    </w:p>
    <w:p w:rsidR="00000000" w:rsidDel="00000000" w:rsidP="00000000" w:rsidRDefault="00000000" w:rsidRPr="00000000" w14:paraId="000001F7">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F8">
      <w:pPr>
        <w:pageBreakBefore w:val="0"/>
        <w:jc w:val="both"/>
        <w:rPr>
          <w:color w:val="000000"/>
          <w:highlight w:val="white"/>
        </w:rPr>
      </w:pPr>
      <w:r w:rsidDel="00000000" w:rsidR="00000000" w:rsidRPr="00000000">
        <w:rPr>
          <w:rtl w:val="0"/>
        </w:rPr>
      </w:r>
    </w:p>
    <w:p w:rsidR="00000000" w:rsidDel="00000000" w:rsidP="00000000" w:rsidRDefault="00000000" w:rsidRPr="00000000" w14:paraId="000001F9">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FA">
      <w:pPr>
        <w:pageBreakBefore w:val="0"/>
        <w:jc w:val="both"/>
        <w:rPr>
          <w:color w:val="000000"/>
          <w:highlight w:val="white"/>
        </w:rPr>
      </w:pPr>
      <w:r w:rsidDel="00000000" w:rsidR="00000000" w:rsidRPr="00000000">
        <w:rPr>
          <w:rtl w:val="0"/>
        </w:rPr>
      </w:r>
    </w:p>
    <w:p w:rsidR="00000000" w:rsidDel="00000000" w:rsidP="00000000" w:rsidRDefault="00000000" w:rsidRPr="00000000" w14:paraId="000001FB">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FC">
      <w:pPr>
        <w:pageBreakBefore w:val="0"/>
        <w:jc w:val="both"/>
        <w:rPr/>
      </w:pPr>
      <w:r w:rsidDel="00000000" w:rsidR="00000000" w:rsidRPr="00000000">
        <w:rPr>
          <w:rtl w:val="0"/>
        </w:rPr>
      </w:r>
    </w:p>
    <w:sectPr>
      <w:headerReference r:id="rId21" w:type="default"/>
      <w:footerReference r:id="rId22" w:type="default"/>
      <w:footerReference r:id="rId23" w:type="first"/>
      <w:footerReference r:id="rId24"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6.jpg"/><Relationship Id="rId22" Type="http://schemas.openxmlformats.org/officeDocument/2006/relationships/footer" Target="footer2.xml"/><Relationship Id="rId10" Type="http://schemas.openxmlformats.org/officeDocument/2006/relationships/image" Target="media/image8.png"/><Relationship Id="rId21" Type="http://schemas.openxmlformats.org/officeDocument/2006/relationships/header" Target="header1.xml"/><Relationship Id="rId13" Type="http://schemas.openxmlformats.org/officeDocument/2006/relationships/image" Target="media/image3.png"/><Relationship Id="rId24" Type="http://schemas.openxmlformats.org/officeDocument/2006/relationships/footer" Target="footer1.xml"/><Relationship Id="rId12" Type="http://schemas.openxmlformats.org/officeDocument/2006/relationships/image" Target="media/image5.png"/><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7.png"/><Relationship Id="rId14"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2.jp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1.png"/><Relationship Id="rId18" Type="http://schemas.openxmlformats.org/officeDocument/2006/relationships/image" Target="media/image14.png"/><Relationship Id="rId7" Type="http://schemas.openxmlformats.org/officeDocument/2006/relationships/image" Target="media/image15.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