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799B5" w14:textId="77777777" w:rsidR="009B7827" w:rsidRDefault="00000000">
      <w:pPr>
        <w:pStyle w:val="Heading2"/>
        <w:keepNext w:val="0"/>
        <w:keepLines w:val="0"/>
        <w:spacing w:before="0" w:after="0" w:line="288" w:lineRule="auto"/>
        <w:rPr>
          <w:b w:val="0"/>
          <w:i/>
          <w:color w:val="444499"/>
          <w:sz w:val="20"/>
          <w:szCs w:val="20"/>
        </w:rPr>
      </w:pPr>
      <w:bookmarkStart w:id="0" w:name="_z6ne0og04bp5" w:colFirst="0" w:colLast="0"/>
      <w:bookmarkEnd w:id="0"/>
      <w:r>
        <w:rPr>
          <w:rFonts w:ascii="Open Sans" w:eastAsia="Open Sans" w:hAnsi="Open Sans" w:cs="Open Sans"/>
          <w:b w:val="0"/>
          <w:noProof/>
          <w:color w:val="695D46"/>
          <w:sz w:val="24"/>
          <w:szCs w:val="24"/>
        </w:rPr>
        <w:drawing>
          <wp:inline distT="114300" distB="114300" distL="114300" distR="114300" wp14:anchorId="1B065F58" wp14:editId="5E846F96">
            <wp:extent cx="5731200" cy="1016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6"/>
                    <a:srcRect b="-35184"/>
                    <a:stretch>
                      <a:fillRect/>
                    </a:stretch>
                  </pic:blipFill>
                  <pic:spPr>
                    <a:xfrm>
                      <a:off x="0" y="0"/>
                      <a:ext cx="5731200" cy="101600"/>
                    </a:xfrm>
                    <a:prstGeom prst="rect">
                      <a:avLst/>
                    </a:prstGeom>
                    <a:ln/>
                  </pic:spPr>
                </pic:pic>
              </a:graphicData>
            </a:graphic>
          </wp:inline>
        </w:drawing>
      </w:r>
      <w:r>
        <w:rPr>
          <w:rFonts w:ascii="Open Sans" w:eastAsia="Open Sans" w:hAnsi="Open Sans" w:cs="Open Sans"/>
          <w:noProof/>
          <w:color w:val="695D46"/>
          <w:sz w:val="22"/>
          <w:szCs w:val="22"/>
        </w:rPr>
        <w:drawing>
          <wp:inline distT="114300" distB="114300" distL="114300" distR="114300" wp14:anchorId="19B9A550" wp14:editId="02079D0C">
            <wp:extent cx="5731200" cy="40005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b="22655"/>
                    <a:stretch>
                      <a:fillRect/>
                    </a:stretch>
                  </pic:blipFill>
                  <pic:spPr>
                    <a:xfrm>
                      <a:off x="0" y="0"/>
                      <a:ext cx="5731200" cy="4000500"/>
                    </a:xfrm>
                    <a:prstGeom prst="rect">
                      <a:avLst/>
                    </a:prstGeom>
                    <a:ln/>
                  </pic:spPr>
                </pic:pic>
              </a:graphicData>
            </a:graphic>
          </wp:inline>
        </w:drawing>
      </w:r>
    </w:p>
    <w:p w14:paraId="00B063F7" w14:textId="77777777" w:rsidR="009B7827" w:rsidRDefault="00000000">
      <w:pPr>
        <w:rPr>
          <w:sz w:val="16"/>
          <w:szCs w:val="16"/>
        </w:rPr>
      </w:pPr>
      <w:r>
        <w:t xml:space="preserve">       </w:t>
      </w:r>
      <w:r>
        <w:rPr>
          <w:sz w:val="16"/>
          <w:szCs w:val="16"/>
        </w:rPr>
        <w:t xml:space="preserve"> https://atlas.cid.harvard.edu/</w:t>
      </w:r>
    </w:p>
    <w:p w14:paraId="0CEC5928" w14:textId="22EE4C01" w:rsidR="00BD4111" w:rsidRPr="00FD4B9D" w:rsidRDefault="00000000" w:rsidP="00FD4B9D">
      <w:pPr>
        <w:pStyle w:val="Title"/>
        <w:spacing w:before="320"/>
        <w:rPr>
          <w:rFonts w:ascii="PT Sans Narrow" w:eastAsia="PT Sans Narrow" w:hAnsi="PT Sans Narrow" w:cs="PT Sans Narrow"/>
          <w:b/>
          <w:color w:val="666666"/>
          <w:sz w:val="60"/>
          <w:szCs w:val="60"/>
        </w:rPr>
      </w:pPr>
      <w:bookmarkStart w:id="1" w:name="_2gazcsgmxkub" w:colFirst="0" w:colLast="0"/>
      <w:bookmarkEnd w:id="1"/>
      <w:r>
        <w:rPr>
          <w:rFonts w:ascii="PT Sans Narrow" w:eastAsia="PT Sans Narrow" w:hAnsi="PT Sans Narrow" w:cs="PT Sans Narrow"/>
          <w:b/>
          <w:color w:val="666666"/>
          <w:sz w:val="60"/>
          <w:szCs w:val="60"/>
        </w:rPr>
        <w:t>Optimal Industry Development Strategy Using Economic and Product Complexity</w:t>
      </w:r>
      <w:bookmarkStart w:id="2" w:name="_q5cok54tx0k8" w:colFirst="0" w:colLast="0"/>
      <w:bookmarkEnd w:id="2"/>
    </w:p>
    <w:p w14:paraId="7E137ABE" w14:textId="38B4D8C2" w:rsidR="009B7827" w:rsidRDefault="00BD4111">
      <w:pPr>
        <w:pStyle w:val="Title"/>
        <w:spacing w:before="320"/>
        <w:rPr>
          <w:rFonts w:ascii="PT Sans Narrow" w:eastAsia="PT Sans Narrow" w:hAnsi="PT Sans Narrow" w:cs="PT Sans Narrow"/>
          <w:b/>
          <w:sz w:val="60"/>
          <w:szCs w:val="60"/>
        </w:rPr>
      </w:pPr>
      <w:r>
        <w:rPr>
          <w:rFonts w:ascii="PT Sans Narrow" w:eastAsia="PT Sans Narrow" w:hAnsi="PT Sans Narrow" w:cs="PT Sans Narrow"/>
          <w:b/>
          <w:sz w:val="60"/>
          <w:szCs w:val="60"/>
        </w:rPr>
        <w:t>Tunisia</w:t>
      </w:r>
    </w:p>
    <w:p w14:paraId="4C58BBE5" w14:textId="77777777" w:rsidR="009B7827" w:rsidRDefault="009B7827"/>
    <w:p w14:paraId="032D1025" w14:textId="77777777" w:rsidR="009B7827" w:rsidRDefault="00000000">
      <w:pPr>
        <w:spacing w:after="1440" w:line="288" w:lineRule="auto"/>
        <w:rPr>
          <w:rFonts w:ascii="Open Sans" w:eastAsia="Open Sans" w:hAnsi="Open Sans" w:cs="Open Sans"/>
          <w:sz w:val="22"/>
          <w:szCs w:val="22"/>
        </w:rPr>
      </w:pPr>
      <w:r>
        <w:rPr>
          <w:rFonts w:ascii="Arial Unicode MS" w:eastAsia="Arial Unicode MS" w:hAnsi="Arial Unicode MS" w:cs="Arial Unicode MS"/>
          <w:b/>
          <w:sz w:val="36"/>
          <w:szCs w:val="36"/>
        </w:rPr>
        <w:t>─</w:t>
      </w:r>
    </w:p>
    <w:p w14:paraId="72D107A5" w14:textId="77777777" w:rsidR="009B7827" w:rsidRDefault="00000000">
      <w:pPr>
        <w:spacing w:before="120"/>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The Economic Complexity Lab - Columbia University</w:t>
      </w:r>
    </w:p>
    <w:p w14:paraId="581F4B97" w14:textId="77777777" w:rsidR="009B7827" w:rsidRDefault="00000000">
      <w:pPr>
        <w:rPr>
          <w:sz w:val="40"/>
          <w:szCs w:val="40"/>
        </w:rPr>
      </w:pPr>
      <w:r>
        <w:rPr>
          <w:rFonts w:ascii="PT Sans Narrow" w:eastAsia="PT Sans Narrow" w:hAnsi="PT Sans Narrow" w:cs="PT Sans Narrow"/>
          <w:sz w:val="28"/>
          <w:szCs w:val="28"/>
        </w:rPr>
        <w:t xml:space="preserve">Alexandra Garcia, Kelly Mi, Margarita Demkina, Allison Lin, Helena </w:t>
      </w:r>
      <w:proofErr w:type="gramStart"/>
      <w:r>
        <w:rPr>
          <w:rFonts w:ascii="PT Sans Narrow" w:eastAsia="PT Sans Narrow" w:hAnsi="PT Sans Narrow" w:cs="PT Sans Narrow"/>
          <w:sz w:val="28"/>
          <w:szCs w:val="28"/>
        </w:rPr>
        <w:t>Yang,  Jane</w:t>
      </w:r>
      <w:proofErr w:type="gramEnd"/>
      <w:r>
        <w:rPr>
          <w:rFonts w:ascii="PT Sans Narrow" w:eastAsia="PT Sans Narrow" w:hAnsi="PT Sans Narrow" w:cs="PT Sans Narrow"/>
          <w:sz w:val="28"/>
          <w:szCs w:val="28"/>
        </w:rPr>
        <w:t xml:space="preserve"> Zhang, Daniel Xu, Ryo Shibata, </w:t>
      </w:r>
      <w:proofErr w:type="spellStart"/>
      <w:r>
        <w:rPr>
          <w:rFonts w:ascii="PT Sans Narrow" w:eastAsia="PT Sans Narrow" w:hAnsi="PT Sans Narrow" w:cs="PT Sans Narrow"/>
          <w:sz w:val="28"/>
          <w:szCs w:val="28"/>
        </w:rPr>
        <w:t>Navia</w:t>
      </w:r>
      <w:proofErr w:type="spellEnd"/>
      <w:r>
        <w:rPr>
          <w:rFonts w:ascii="PT Sans Narrow" w:eastAsia="PT Sans Narrow" w:hAnsi="PT Sans Narrow" w:cs="PT Sans Narrow"/>
          <w:sz w:val="28"/>
          <w:szCs w:val="28"/>
        </w:rPr>
        <w:t xml:space="preserve"> Zhang,</w:t>
      </w:r>
      <w:r>
        <w:rPr>
          <w:rFonts w:ascii="PT Sans Narrow" w:eastAsia="PT Sans Narrow" w:hAnsi="PT Sans Narrow" w:cs="PT Sans Narrow"/>
          <w:sz w:val="30"/>
          <w:szCs w:val="30"/>
        </w:rPr>
        <w:t xml:space="preserve"> </w:t>
      </w:r>
      <w:proofErr w:type="spellStart"/>
      <w:r>
        <w:rPr>
          <w:rFonts w:ascii="PT Sans Narrow" w:eastAsia="PT Sans Narrow" w:hAnsi="PT Sans Narrow" w:cs="PT Sans Narrow"/>
          <w:sz w:val="16"/>
          <w:szCs w:val="16"/>
        </w:rPr>
        <w:t>Haoxian</w:t>
      </w:r>
      <w:proofErr w:type="spellEnd"/>
      <w:r>
        <w:rPr>
          <w:rFonts w:ascii="PT Sans Narrow" w:eastAsia="PT Sans Narrow" w:hAnsi="PT Sans Narrow" w:cs="PT Sans Narrow"/>
          <w:sz w:val="16"/>
          <w:szCs w:val="16"/>
        </w:rPr>
        <w:t xml:space="preserve"> Chen, </w:t>
      </w:r>
      <w:proofErr w:type="spellStart"/>
      <w:r>
        <w:rPr>
          <w:rFonts w:ascii="PT Sans Narrow" w:eastAsia="PT Sans Narrow" w:hAnsi="PT Sans Narrow" w:cs="PT Sans Narrow"/>
          <w:sz w:val="16"/>
          <w:szCs w:val="16"/>
        </w:rPr>
        <w:t>Davepriyan</w:t>
      </w:r>
      <w:proofErr w:type="spellEnd"/>
      <w:r>
        <w:rPr>
          <w:rFonts w:ascii="PT Sans Narrow" w:eastAsia="PT Sans Narrow" w:hAnsi="PT Sans Narrow" w:cs="PT Sans Narrow"/>
          <w:sz w:val="16"/>
          <w:szCs w:val="16"/>
        </w:rPr>
        <w:t xml:space="preserve"> </w:t>
      </w:r>
      <w:proofErr w:type="spellStart"/>
      <w:r>
        <w:rPr>
          <w:rFonts w:ascii="PT Sans Narrow" w:eastAsia="PT Sans Narrow" w:hAnsi="PT Sans Narrow" w:cs="PT Sans Narrow"/>
          <w:sz w:val="16"/>
          <w:szCs w:val="16"/>
        </w:rPr>
        <w:t>Gunaratnam</w:t>
      </w:r>
      <w:proofErr w:type="spellEnd"/>
      <w:r>
        <w:rPr>
          <w:rFonts w:ascii="PT Sans Narrow" w:eastAsia="PT Sans Narrow" w:hAnsi="PT Sans Narrow" w:cs="PT Sans Narrow"/>
          <w:sz w:val="16"/>
          <w:szCs w:val="16"/>
        </w:rPr>
        <w:t xml:space="preserve">, Rohan </w:t>
      </w:r>
      <w:proofErr w:type="spellStart"/>
      <w:r>
        <w:rPr>
          <w:rFonts w:ascii="PT Sans Narrow" w:eastAsia="PT Sans Narrow" w:hAnsi="PT Sans Narrow" w:cs="PT Sans Narrow"/>
          <w:sz w:val="16"/>
          <w:szCs w:val="16"/>
        </w:rPr>
        <w:t>Macherla</w:t>
      </w:r>
      <w:proofErr w:type="spellEnd"/>
      <w:r>
        <w:rPr>
          <w:rFonts w:ascii="PT Sans Narrow" w:eastAsia="PT Sans Narrow" w:hAnsi="PT Sans Narrow" w:cs="PT Sans Narrow"/>
          <w:sz w:val="16"/>
          <w:szCs w:val="16"/>
        </w:rPr>
        <w:t xml:space="preserve">, </w:t>
      </w:r>
      <w:proofErr w:type="spellStart"/>
      <w:r>
        <w:rPr>
          <w:rFonts w:ascii="PT Sans Narrow" w:eastAsia="PT Sans Narrow" w:hAnsi="PT Sans Narrow" w:cs="PT Sans Narrow"/>
          <w:sz w:val="16"/>
          <w:szCs w:val="16"/>
        </w:rPr>
        <w:t>Ajit</w:t>
      </w:r>
      <w:proofErr w:type="spellEnd"/>
      <w:r>
        <w:rPr>
          <w:rFonts w:ascii="PT Sans Narrow" w:eastAsia="PT Sans Narrow" w:hAnsi="PT Sans Narrow" w:cs="PT Sans Narrow"/>
          <w:sz w:val="16"/>
          <w:szCs w:val="16"/>
        </w:rPr>
        <w:t xml:space="preserve"> </w:t>
      </w:r>
      <w:proofErr w:type="spellStart"/>
      <w:r>
        <w:rPr>
          <w:rFonts w:ascii="PT Sans Narrow" w:eastAsia="PT Sans Narrow" w:hAnsi="PT Sans Narrow" w:cs="PT Sans Narrow"/>
          <w:sz w:val="16"/>
          <w:szCs w:val="16"/>
        </w:rPr>
        <w:t>Akole</w:t>
      </w:r>
      <w:proofErr w:type="spellEnd"/>
      <w:r>
        <w:rPr>
          <w:rFonts w:ascii="PT Sans Narrow" w:eastAsia="PT Sans Narrow" w:hAnsi="PT Sans Narrow" w:cs="PT Sans Narrow"/>
          <w:sz w:val="16"/>
          <w:szCs w:val="16"/>
        </w:rPr>
        <w:t xml:space="preserve">, </w:t>
      </w:r>
      <w:proofErr w:type="spellStart"/>
      <w:r>
        <w:rPr>
          <w:rFonts w:ascii="PT Sans Narrow" w:eastAsia="PT Sans Narrow" w:hAnsi="PT Sans Narrow" w:cs="PT Sans Narrow"/>
          <w:sz w:val="16"/>
          <w:szCs w:val="16"/>
        </w:rPr>
        <w:t>Shomik</w:t>
      </w:r>
      <w:proofErr w:type="spellEnd"/>
      <w:r>
        <w:rPr>
          <w:rFonts w:ascii="PT Sans Narrow" w:eastAsia="PT Sans Narrow" w:hAnsi="PT Sans Narrow" w:cs="PT Sans Narrow"/>
          <w:sz w:val="16"/>
          <w:szCs w:val="16"/>
        </w:rPr>
        <w:t xml:space="preserve"> Ghose, Alex Wei-Liang Ku, </w:t>
      </w:r>
      <w:proofErr w:type="spellStart"/>
      <w:r>
        <w:rPr>
          <w:rFonts w:ascii="PT Sans Narrow" w:eastAsia="PT Sans Narrow" w:hAnsi="PT Sans Narrow" w:cs="PT Sans Narrow"/>
          <w:sz w:val="16"/>
          <w:szCs w:val="16"/>
        </w:rPr>
        <w:t>Sannidhya</w:t>
      </w:r>
      <w:proofErr w:type="spellEnd"/>
      <w:r>
        <w:rPr>
          <w:rFonts w:ascii="PT Sans Narrow" w:eastAsia="PT Sans Narrow" w:hAnsi="PT Sans Narrow" w:cs="PT Sans Narrow"/>
          <w:sz w:val="16"/>
          <w:szCs w:val="16"/>
        </w:rPr>
        <w:t xml:space="preserve"> Modi, </w:t>
      </w:r>
      <w:proofErr w:type="spellStart"/>
      <w:r>
        <w:rPr>
          <w:rFonts w:ascii="PT Sans Narrow" w:eastAsia="PT Sans Narrow" w:hAnsi="PT Sans Narrow" w:cs="PT Sans Narrow"/>
          <w:sz w:val="16"/>
          <w:szCs w:val="16"/>
        </w:rPr>
        <w:t>Xilin</w:t>
      </w:r>
      <w:proofErr w:type="spellEnd"/>
      <w:r>
        <w:rPr>
          <w:rFonts w:ascii="PT Sans Narrow" w:eastAsia="PT Sans Narrow" w:hAnsi="PT Sans Narrow" w:cs="PT Sans Narrow"/>
          <w:sz w:val="16"/>
          <w:szCs w:val="16"/>
        </w:rPr>
        <w:t xml:space="preserve"> Wang</w:t>
      </w:r>
      <w:r>
        <w:br w:type="page"/>
      </w:r>
    </w:p>
    <w:p w14:paraId="43A3B9FF" w14:textId="77C8E8D4" w:rsidR="009B7827" w:rsidRDefault="00000000">
      <w:pPr>
        <w:jc w:val="center"/>
        <w:rPr>
          <w:sz w:val="40"/>
          <w:szCs w:val="40"/>
        </w:rPr>
      </w:pPr>
      <w:r>
        <w:rPr>
          <w:sz w:val="40"/>
          <w:szCs w:val="40"/>
        </w:rPr>
        <w:lastRenderedPageBreak/>
        <w:t xml:space="preserve">Optimal Industry Development Strategy for </w:t>
      </w:r>
      <w:r w:rsidR="00BD4111">
        <w:rPr>
          <w:sz w:val="40"/>
          <w:szCs w:val="40"/>
        </w:rPr>
        <w:t>Tunisia</w:t>
      </w:r>
    </w:p>
    <w:p w14:paraId="7B2332D1" w14:textId="77777777" w:rsidR="009B7827" w:rsidRDefault="009B7827">
      <w:pPr>
        <w:jc w:val="center"/>
        <w:rPr>
          <w:sz w:val="40"/>
          <w:szCs w:val="40"/>
        </w:rPr>
      </w:pPr>
    </w:p>
    <w:p w14:paraId="10616B33" w14:textId="77777777" w:rsidR="009B7827" w:rsidRDefault="00000000">
      <w:pPr>
        <w:rPr>
          <w:rFonts w:ascii="Times" w:eastAsia="Times" w:hAnsi="Times" w:cs="Times"/>
          <w:b/>
          <w:sz w:val="28"/>
          <w:szCs w:val="28"/>
        </w:rPr>
      </w:pPr>
      <w:r>
        <w:rPr>
          <w:rFonts w:ascii="Times" w:eastAsia="Times" w:hAnsi="Times" w:cs="Times"/>
          <w:b/>
          <w:sz w:val="28"/>
          <w:szCs w:val="28"/>
        </w:rPr>
        <w:t>0. Executive Summary</w:t>
      </w:r>
    </w:p>
    <w:p w14:paraId="045A2CF7" w14:textId="77777777" w:rsidR="009B7827" w:rsidRDefault="009B7827">
      <w:pPr>
        <w:rPr>
          <w:rFonts w:ascii="Times" w:eastAsia="Times" w:hAnsi="Times" w:cs="Times"/>
          <w:b/>
          <w:sz w:val="28"/>
          <w:szCs w:val="28"/>
        </w:rPr>
      </w:pPr>
    </w:p>
    <w:p w14:paraId="127BC45E" w14:textId="205E4D2A" w:rsidR="009B7827" w:rsidRDefault="00000000">
      <w:pPr>
        <w:jc w:val="both"/>
      </w:pPr>
      <w:r>
        <w:t xml:space="preserve">In this report, we aim to uncover the economic path </w:t>
      </w:r>
      <w:r w:rsidR="00BD4111">
        <w:t>Tunisia</w:t>
      </w:r>
      <w:r>
        <w:t xml:space="preserve"> went through from 2019 to 2022, including the impacts of the COVID-19 pandemic. Specifically, we dive into the topic through a macroeconomic overview of </w:t>
      </w:r>
      <w:r w:rsidR="00BD4111">
        <w:t>Tunisia</w:t>
      </w:r>
      <w:r>
        <w:t xml:space="preserve"> from the perspective of Gross Domestic Product (GDP) and Economic Complexity Index (ECI), which reflect countries’ production capability and production structure, respectively. We find that during the period of our interest, </w:t>
      </w:r>
      <w:r w:rsidR="00BD4111">
        <w:t>Tunisia</w:t>
      </w:r>
      <w:r>
        <w:t xml:space="preserve"> demonstrated a moderate level of economic growth with an average annual GDP growth rate of </w:t>
      </w:r>
      <w:r w:rsidR="00E219E8">
        <w:t>2.8</w:t>
      </w:r>
      <w:r>
        <w:t>% between 2019 and 2022, with a</w:t>
      </w:r>
      <w:r w:rsidR="0039503B">
        <w:t xml:space="preserve"> de</w:t>
      </w:r>
      <w:r>
        <w:t>creased economic complexity compared to</w:t>
      </w:r>
      <w:r w:rsidR="0039503B">
        <w:t xml:space="preserve"> its peers and</w:t>
      </w:r>
      <w:r>
        <w:t xml:space="preserve"> major developed economies.</w:t>
      </w:r>
    </w:p>
    <w:p w14:paraId="31290C50" w14:textId="77777777" w:rsidR="009B7827" w:rsidRDefault="009B7827">
      <w:pPr>
        <w:jc w:val="both"/>
      </w:pPr>
    </w:p>
    <w:p w14:paraId="0ECA1B74" w14:textId="3387CC40" w:rsidR="009B7827" w:rsidRDefault="000A46AF">
      <w:pPr>
        <w:jc w:val="both"/>
      </w:pPr>
      <w:r>
        <w:t>We believe the mixed progress during the period can be partially explained through the analysis of Tunisia's economic and product complexity structure</w:t>
      </w:r>
      <w:r w:rsidR="00000000">
        <w:t xml:space="preserve"> on the industry group level, as well as the </w:t>
      </w:r>
      <w:r w:rsidR="00A64742">
        <w:t>stagnant</w:t>
      </w:r>
      <w:r w:rsidR="00000000">
        <w:t xml:space="preserve"> macro and microeconomic strategies. The product classification system we adopt allows us to measure the realized industry development for various industry groups and </w:t>
      </w:r>
      <w:r w:rsidR="00A64742">
        <w:t>observe that Tunisia regressed in developing most of its industries. In contrast,</w:t>
      </w:r>
      <w:r w:rsidR="00000000">
        <w:t xml:space="preserve"> its counterparts and economies around the globe adopted</w:t>
      </w:r>
      <w:r w:rsidR="00A64742">
        <w:t xml:space="preserve"> appropriately</w:t>
      </w:r>
      <w:r w:rsidR="00000000">
        <w:t xml:space="preserve"> complex and progressive paths with variable degrees of success.</w:t>
      </w:r>
    </w:p>
    <w:p w14:paraId="7A8BE211" w14:textId="77777777" w:rsidR="009B7827" w:rsidRDefault="009B7827">
      <w:pPr>
        <w:jc w:val="both"/>
      </w:pPr>
    </w:p>
    <w:p w14:paraId="636C9777" w14:textId="24C97585" w:rsidR="009B7827" w:rsidRDefault="00000000">
      <w:pPr>
        <w:jc w:val="both"/>
      </w:pPr>
      <w:r>
        <w:t xml:space="preserve">Based on our analysis of </w:t>
      </w:r>
      <w:r w:rsidR="00C92029">
        <w:t>major industry groups' opportunity gain and sensitivity analysi</w:t>
      </w:r>
      <w:r>
        <w:t xml:space="preserve">s, </w:t>
      </w:r>
      <w:r w:rsidR="00BD4111">
        <w:t>Tunisia</w:t>
      </w:r>
      <w:r>
        <w:t xml:space="preserve"> could further its gains by prioritizing </w:t>
      </w:r>
      <w:r w:rsidR="00C92029">
        <w:t xml:space="preserve">Precious Stones </w:t>
      </w:r>
      <w:r>
        <w:t xml:space="preserve">and Energy Drilling Mining. We further note that </w:t>
      </w:r>
      <w:r w:rsidR="00BD4111">
        <w:t>Tunisia</w:t>
      </w:r>
      <w:r>
        <w:t xml:space="preserve"> has a heavily mismatched development strategy that indicates a low level of structural optimality on the complexity level, having an adjusted R-square of around </w:t>
      </w:r>
      <w:r w:rsidR="00034854">
        <w:t>0.46</w:t>
      </w:r>
      <w:r>
        <w:t xml:space="preserve"> in 2022. Since </w:t>
      </w:r>
      <w:r w:rsidR="00252399">
        <w:t>only a slight</w:t>
      </w:r>
      <w:r>
        <w:t xml:space="preserve"> positive correlation </w:t>
      </w:r>
      <w:r w:rsidR="00252399">
        <w:t>exist</w:t>
      </w:r>
      <w:r w:rsidR="004C5189">
        <w:t>s</w:t>
      </w:r>
      <w:r w:rsidR="00252399">
        <w:t xml:space="preserve"> </w:t>
      </w:r>
      <w:r>
        <w:t xml:space="preserve">between GDP growth and the structural optimality index of an economy as we define and calculate, </w:t>
      </w:r>
      <w:r w:rsidR="00BD4111">
        <w:t>Tunisia</w:t>
      </w:r>
      <w:r>
        <w:t xml:space="preserve"> indeed has a suboptimal growth experience compared with fast-growing economies both on a regional scale and on a global scale</w:t>
      </w:r>
      <w:r w:rsidR="004C5189">
        <w:t xml:space="preserve">. </w:t>
      </w:r>
      <w:r w:rsidR="00AA6A2D">
        <w:t>As suggested in the paper, it has the potential to further its economic gains through industrial structure optimization</w:t>
      </w:r>
      <w:r>
        <w:t xml:space="preserve">.  </w:t>
      </w:r>
    </w:p>
    <w:p w14:paraId="57FBA2A5" w14:textId="77777777" w:rsidR="009B7827" w:rsidRDefault="009B7827">
      <w:pPr>
        <w:jc w:val="both"/>
      </w:pPr>
    </w:p>
    <w:p w14:paraId="6B9B7BCA" w14:textId="0F1746D4" w:rsidR="009B7827" w:rsidRDefault="00000000">
      <w:pPr>
        <w:jc w:val="both"/>
      </w:pPr>
      <w:r>
        <w:t xml:space="preserve">The four years between 2019 and 2022 showed a significant improvement in </w:t>
      </w:r>
      <w:r w:rsidR="00BD4111">
        <w:t>Tunisia</w:t>
      </w:r>
      <w:r>
        <w:t xml:space="preserve">'s economic growth, boosting its position on the global scale. Its GDP recovered above the pre-pandemic levels, </w:t>
      </w:r>
      <w:r w:rsidR="00276E7B">
        <w:t>but it did not see</w:t>
      </w:r>
      <w:r>
        <w:t xml:space="preserve"> </w:t>
      </w:r>
      <w:r w:rsidR="00276E7B">
        <w:t xml:space="preserve">a corresponding </w:t>
      </w:r>
      <w:r>
        <w:t xml:space="preserve">boost in the ECI, particularly compared to its peer countries. Its current strategy has </w:t>
      </w:r>
      <w:r w:rsidR="00276E7B">
        <w:t xml:space="preserve">a lot of </w:t>
      </w:r>
      <w:r>
        <w:t>viable potential upside</w:t>
      </w:r>
      <w:r w:rsidR="00923984">
        <w:t>s, such as increasing its performance and optimizing</w:t>
      </w:r>
      <w:r>
        <w:t xml:space="preserve"> its structure further.</w:t>
      </w:r>
    </w:p>
    <w:p w14:paraId="46E8EB25" w14:textId="77777777" w:rsidR="009B7827" w:rsidRDefault="00000000">
      <w:r>
        <w:br w:type="page"/>
      </w:r>
    </w:p>
    <w:p w14:paraId="7091C088" w14:textId="77777777" w:rsidR="009B7827" w:rsidRDefault="00000000">
      <w:pPr>
        <w:rPr>
          <w:rFonts w:ascii="Times" w:eastAsia="Times" w:hAnsi="Times" w:cs="Times"/>
          <w:b/>
          <w:sz w:val="28"/>
          <w:szCs w:val="28"/>
        </w:rPr>
      </w:pPr>
      <w:r>
        <w:rPr>
          <w:rFonts w:ascii="Times" w:eastAsia="Times" w:hAnsi="Times" w:cs="Times"/>
          <w:b/>
          <w:sz w:val="28"/>
          <w:szCs w:val="28"/>
        </w:rPr>
        <w:lastRenderedPageBreak/>
        <w:t>1. Report Overview</w:t>
      </w:r>
    </w:p>
    <w:p w14:paraId="2294164C" w14:textId="77777777" w:rsidR="009B7827" w:rsidRDefault="009B7827">
      <w:pPr>
        <w:rPr>
          <w:rFonts w:ascii="Times" w:eastAsia="Times" w:hAnsi="Times" w:cs="Times"/>
          <w:b/>
          <w:sz w:val="28"/>
          <w:szCs w:val="28"/>
        </w:rPr>
      </w:pPr>
    </w:p>
    <w:p w14:paraId="262822E0" w14:textId="6EB7AE91" w:rsidR="009B7827" w:rsidRDefault="00000000">
      <w:pPr>
        <w:jc w:val="both"/>
      </w:pPr>
      <w:r>
        <w:t xml:space="preserve">In this report, we aim to uncover the economic path </w:t>
      </w:r>
      <w:r w:rsidR="00BD4111">
        <w:t>Tunisia</w:t>
      </w:r>
      <w:r>
        <w:t xml:space="preserve"> went through during the period from 2019 to 2022, including the COVID-pandemic. Specifically, we dive into the topic through a macroeconomic overview of </w:t>
      </w:r>
      <w:r w:rsidR="00BD4111">
        <w:t>Tunisia</w:t>
      </w:r>
      <w:r>
        <w:t xml:space="preserve"> from the perspective of Gross Domestic Product (GDP) and Economic Complexity Index (ECI), which reflect countries’ production capability and production structure, respectively. We then analyze the industrial framework and changes of </w:t>
      </w:r>
      <w:r w:rsidR="00BD4111">
        <w:t>Tunisia</w:t>
      </w:r>
      <w:r>
        <w:t xml:space="preserve"> during the period based on quantitative measures such as the Product Complexity Index (PCI) and Product Family Complexity Index (</w:t>
      </w:r>
      <w:proofErr w:type="spellStart"/>
      <w:r>
        <w:t>PfCI</w:t>
      </w:r>
      <w:proofErr w:type="spellEnd"/>
      <w:r>
        <w:t xml:space="preserve">), followed by a detailed analysis of how such changes have matched with development strategies as quantitatively measured by opportunity gains on an industry-level. We conclude our report with macro-level results and predictions of </w:t>
      </w:r>
      <w:r w:rsidR="00BD4111">
        <w:t>Tunisia</w:t>
      </w:r>
      <w:r>
        <w:t xml:space="preserve">, as deduced from regression models we have established on a global scale, which </w:t>
      </w:r>
      <w:proofErr w:type="gramStart"/>
      <w:r>
        <w:t>take into account</w:t>
      </w:r>
      <w:proofErr w:type="gramEnd"/>
      <w:r>
        <w:t xml:space="preserve"> countries’ stances in their product space.</w:t>
      </w:r>
    </w:p>
    <w:p w14:paraId="6CCEA6DE" w14:textId="77777777" w:rsidR="009B7827" w:rsidRDefault="009B7827">
      <w:pPr>
        <w:jc w:val="both"/>
      </w:pPr>
    </w:p>
    <w:p w14:paraId="4EE47507" w14:textId="77777777" w:rsidR="009B7827" w:rsidRDefault="00000000">
      <w:pPr>
        <w:jc w:val="both"/>
        <w:rPr>
          <w:rFonts w:ascii="Times" w:eastAsia="Times" w:hAnsi="Times" w:cs="Times"/>
          <w:b/>
          <w:sz w:val="28"/>
          <w:szCs w:val="28"/>
        </w:rPr>
      </w:pPr>
      <w:r>
        <w:br w:type="page"/>
      </w:r>
    </w:p>
    <w:p w14:paraId="2D6A7A6A" w14:textId="77777777" w:rsidR="009B7827" w:rsidRDefault="00000000">
      <w:pPr>
        <w:jc w:val="both"/>
        <w:rPr>
          <w:rFonts w:ascii="Times" w:eastAsia="Times" w:hAnsi="Times" w:cs="Times"/>
          <w:b/>
          <w:sz w:val="28"/>
          <w:szCs w:val="28"/>
        </w:rPr>
      </w:pPr>
      <w:r>
        <w:rPr>
          <w:rFonts w:ascii="Times" w:eastAsia="Times" w:hAnsi="Times" w:cs="Times"/>
          <w:b/>
          <w:sz w:val="28"/>
          <w:szCs w:val="28"/>
        </w:rPr>
        <w:lastRenderedPageBreak/>
        <w:t>2. Macroeconomic Results</w:t>
      </w:r>
    </w:p>
    <w:p w14:paraId="68E70B6C" w14:textId="77777777" w:rsidR="009B7827" w:rsidRDefault="009B7827">
      <w:pPr>
        <w:jc w:val="both"/>
        <w:rPr>
          <w:rFonts w:ascii="Times" w:eastAsia="Times" w:hAnsi="Times" w:cs="Times"/>
          <w:b/>
          <w:sz w:val="28"/>
          <w:szCs w:val="28"/>
        </w:rPr>
      </w:pPr>
    </w:p>
    <w:p w14:paraId="02AE230D" w14:textId="77777777" w:rsidR="009B7827" w:rsidRDefault="00000000">
      <w:pPr>
        <w:jc w:val="both"/>
        <w:rPr>
          <w:b/>
        </w:rPr>
      </w:pPr>
      <w:r>
        <w:rPr>
          <w:b/>
        </w:rPr>
        <w:t>2.1 GDP Ranking and Changes</w:t>
      </w:r>
    </w:p>
    <w:p w14:paraId="6D836404" w14:textId="3DC875F1" w:rsidR="009B7827" w:rsidRDefault="00000000">
      <w:pPr>
        <w:jc w:val="both"/>
      </w:pPr>
      <w:r>
        <w:t xml:space="preserve">Figure 1 illustrates the time-series GDP results for </w:t>
      </w:r>
      <w:r w:rsidR="00BD4111">
        <w:t>Tunisia</w:t>
      </w:r>
      <w:r>
        <w:t xml:space="preserve"> and three of its peer countries</w:t>
      </w:r>
      <w:r w:rsidR="005050DB">
        <w:t>, Morocco, Senegal, and Libya,</w:t>
      </w:r>
      <w:r>
        <w:t xml:space="preserve"> from 2019 to 2022. </w:t>
      </w:r>
      <w:r w:rsidR="005050DB">
        <w:t>Lik</w:t>
      </w:r>
      <w:r>
        <w:t xml:space="preserve">e other countries, </w:t>
      </w:r>
      <w:r w:rsidR="00BD4111">
        <w:t>Tunisia</w:t>
      </w:r>
      <w:r>
        <w:t xml:space="preserve"> displayed a general </w:t>
      </w:r>
      <w:r w:rsidR="005050DB">
        <w:t>stagnant downward</w:t>
      </w:r>
      <w:r>
        <w:t xml:space="preserve"> trend in 2020 due to COVID-19; however, its growth was not as </w:t>
      </w:r>
      <w:r w:rsidR="00E53D88">
        <w:t>in</w:t>
      </w:r>
      <w:r>
        <w:t xml:space="preserve">consistent as </w:t>
      </w:r>
      <w:r w:rsidR="00EC78B8">
        <w:t>Morocco</w:t>
      </w:r>
      <w:r w:rsidR="00E53D88">
        <w:t>’s</w:t>
      </w:r>
      <w:r>
        <w:t xml:space="preserve">. </w:t>
      </w:r>
      <w:r w:rsidR="00BD4111">
        <w:t>Tunisia</w:t>
      </w:r>
      <w:r>
        <w:t xml:space="preserve">’s average annual GDP growth rate </w:t>
      </w:r>
      <w:r w:rsidR="00A12183">
        <w:t xml:space="preserve">is </w:t>
      </w:r>
      <w:r w:rsidR="00424353">
        <w:t>2.8</w:t>
      </w:r>
      <w:r>
        <w:t xml:space="preserve">%, which puts it lower than </w:t>
      </w:r>
      <w:r w:rsidR="00424353">
        <w:t>Senegal’s 4.4% but higher than Morocco’s 1.42% and Libya’s -8.11%.</w:t>
      </w:r>
      <w:r>
        <w:t xml:space="preserve"> </w:t>
      </w:r>
    </w:p>
    <w:p w14:paraId="64A0D36E" w14:textId="1035BDE2" w:rsidR="009B7827" w:rsidRDefault="005050DB">
      <w:pPr>
        <w:jc w:val="center"/>
        <w:rPr>
          <w:i/>
          <w:color w:val="444499"/>
          <w:sz w:val="20"/>
          <w:szCs w:val="20"/>
        </w:rPr>
      </w:pPr>
      <w:r>
        <w:rPr>
          <w:i/>
          <w:noProof/>
          <w:color w:val="444499"/>
          <w:sz w:val="20"/>
          <w:szCs w:val="20"/>
        </w:rPr>
        <w:drawing>
          <wp:inline distT="0" distB="0" distL="0" distR="0" wp14:anchorId="78C22FB6" wp14:editId="5DA6CDB0">
            <wp:extent cx="4267200" cy="3200400"/>
            <wp:effectExtent l="0" t="0" r="0" b="0"/>
            <wp:docPr id="11998588" name="Picture 1" descr="A graph of the country's average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588" name="Picture 1" descr="A graph of the country's average growt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275244" cy="3206433"/>
                    </a:xfrm>
                    <a:prstGeom prst="rect">
                      <a:avLst/>
                    </a:prstGeom>
                  </pic:spPr>
                </pic:pic>
              </a:graphicData>
            </a:graphic>
          </wp:inline>
        </w:drawing>
      </w:r>
    </w:p>
    <w:p w14:paraId="08DC1BF9" w14:textId="77777777" w:rsidR="009B7827" w:rsidRDefault="00000000">
      <w:pPr>
        <w:jc w:val="center"/>
        <w:rPr>
          <w:sz w:val="22"/>
          <w:szCs w:val="22"/>
        </w:rPr>
      </w:pPr>
      <w:r>
        <w:rPr>
          <w:sz w:val="22"/>
          <w:szCs w:val="22"/>
        </w:rPr>
        <w:t>Figures 1. GDP Comparison Among Peer Countries (2019-2022)</w:t>
      </w:r>
    </w:p>
    <w:p w14:paraId="7F29E057" w14:textId="77777777" w:rsidR="009B7827" w:rsidRDefault="009B7827"/>
    <w:p w14:paraId="0490755A" w14:textId="77777777" w:rsidR="009B7827" w:rsidRDefault="00000000">
      <w:pPr>
        <w:jc w:val="both"/>
        <w:rPr>
          <w:b/>
        </w:rPr>
      </w:pPr>
      <w:r>
        <w:rPr>
          <w:b/>
        </w:rPr>
        <w:t>2.2 ECI Ranking and Changes</w:t>
      </w:r>
    </w:p>
    <w:p w14:paraId="34F2A808" w14:textId="77777777" w:rsidR="009B7827" w:rsidRDefault="00000000">
      <w:pPr>
        <w:jc w:val="both"/>
      </w:pPr>
      <w:r>
        <w:t>The Economic Complexity Index (ECI), as defined by Ricardo Hausmann and Cesar Hidalgo in 2009 to explain the knowledge accumulated in a country's population, is illustrated in Figures 2.</w:t>
      </w:r>
    </w:p>
    <w:p w14:paraId="5C25066F" w14:textId="77777777" w:rsidR="009B7827" w:rsidRDefault="009B7827">
      <w:pPr>
        <w:jc w:val="both"/>
      </w:pPr>
    </w:p>
    <w:p w14:paraId="1374ADC3" w14:textId="758E558B" w:rsidR="009B7827" w:rsidRDefault="00000000">
      <w:pPr>
        <w:jc w:val="both"/>
      </w:pPr>
      <w:r>
        <w:t xml:space="preserve">As shown, </w:t>
      </w:r>
      <w:r w:rsidR="00BD4111">
        <w:t>Tunisia</w:t>
      </w:r>
      <w:r w:rsidR="00107A0F">
        <w:t>'s production capability decreased significantl</w:t>
      </w:r>
      <w:r>
        <w:t xml:space="preserve">y from 2019 to 2022. </w:t>
      </w:r>
      <w:r w:rsidR="00BD4111">
        <w:t>Tunisia</w:t>
      </w:r>
      <w:r>
        <w:t xml:space="preserve"> is in a </w:t>
      </w:r>
      <w:r w:rsidR="001B5F0E">
        <w:t>weak</w:t>
      </w:r>
      <w:r>
        <w:t xml:space="preserve"> position in ECI terms, as its ECI change of </w:t>
      </w:r>
      <w:r w:rsidR="001B5F0E">
        <w:t>-172.19</w:t>
      </w:r>
      <w:r>
        <w:t xml:space="preserve">% is </w:t>
      </w:r>
      <w:r w:rsidR="001B5F0E">
        <w:t xml:space="preserve">much less than Senegal’s 191.47%. The data is not available for Morocco and Libya. </w:t>
      </w:r>
      <w:r>
        <w:t xml:space="preserve">This </w:t>
      </w:r>
      <w:r w:rsidR="006812F1">
        <w:t>decrease</w:t>
      </w:r>
      <w:r>
        <w:t xml:space="preserve"> in </w:t>
      </w:r>
      <w:r w:rsidR="00BD4111">
        <w:t>Tunisia</w:t>
      </w:r>
      <w:r>
        <w:t xml:space="preserve"> may be explained by the </w:t>
      </w:r>
      <w:r w:rsidR="004016EA">
        <w:t xml:space="preserve">slow recovery and a lack of </w:t>
      </w:r>
      <w:r>
        <w:t>government support for industries impacted by COVID-19 and skills development in emerging industries.</w:t>
      </w:r>
    </w:p>
    <w:p w14:paraId="7E3AD8B8" w14:textId="1C2CEF12" w:rsidR="009B7827" w:rsidRDefault="00000000">
      <w:pPr>
        <w:jc w:val="center"/>
      </w:pPr>
      <w:r>
        <w:lastRenderedPageBreak/>
        <w:t xml:space="preserve">    </w:t>
      </w:r>
      <w:r w:rsidR="001B5F0E" w:rsidRPr="001B5F0E">
        <w:rPr>
          <w:noProof/>
        </w:rPr>
        <w:drawing>
          <wp:inline distT="0" distB="0" distL="0" distR="0" wp14:anchorId="3A6F4A89" wp14:editId="17291ECB">
            <wp:extent cx="3412067" cy="2559050"/>
            <wp:effectExtent l="0" t="0" r="4445" b="0"/>
            <wp:docPr id="23315892" name="Picture 1" descr="A graph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892" name="Picture 1" descr="A graph of different countries/regions&#10;&#10;Description automatically generated"/>
                    <pic:cNvPicPr/>
                  </pic:nvPicPr>
                  <pic:blipFill>
                    <a:blip r:embed="rId9"/>
                    <a:stretch>
                      <a:fillRect/>
                    </a:stretch>
                  </pic:blipFill>
                  <pic:spPr>
                    <a:xfrm>
                      <a:off x="0" y="0"/>
                      <a:ext cx="3414362" cy="2560771"/>
                    </a:xfrm>
                    <a:prstGeom prst="rect">
                      <a:avLst/>
                    </a:prstGeom>
                  </pic:spPr>
                </pic:pic>
              </a:graphicData>
            </a:graphic>
          </wp:inline>
        </w:drawing>
      </w:r>
    </w:p>
    <w:p w14:paraId="3299049A" w14:textId="77777777" w:rsidR="009B7827" w:rsidRDefault="00000000">
      <w:pPr>
        <w:jc w:val="center"/>
      </w:pPr>
      <w:r>
        <w:t xml:space="preserve">   </w:t>
      </w:r>
      <w:r>
        <w:rPr>
          <w:sz w:val="22"/>
          <w:szCs w:val="22"/>
        </w:rPr>
        <w:t xml:space="preserve">    Figures 2. ECI Comparison Among Peer Countries (2019-2022)</w:t>
      </w:r>
      <w:r>
        <w:t xml:space="preserve">                       </w:t>
      </w:r>
    </w:p>
    <w:p w14:paraId="3352683B" w14:textId="77777777" w:rsidR="009B7827" w:rsidRDefault="009B7827"/>
    <w:p w14:paraId="7B756291" w14:textId="2BC6F3BD" w:rsidR="009B7827" w:rsidRDefault="00000000">
      <w:pPr>
        <w:jc w:val="both"/>
      </w:pPr>
      <w:r>
        <w:t>Figure</w:t>
      </w:r>
      <w:r w:rsidR="009D378B">
        <w:t xml:space="preserve"> 3 offers</w:t>
      </w:r>
      <w:r>
        <w:t xml:space="preserve"> a further comparison of GDP Growth and ECI over the time span from 2019 to 2022 for </w:t>
      </w:r>
      <w:r w:rsidR="00BD4111">
        <w:t>Tunisia</w:t>
      </w:r>
      <w:r>
        <w:t xml:space="preserve">. The GDP growth is accompanied by </w:t>
      </w:r>
      <w:r w:rsidR="00C64449">
        <w:t>the opposing decrease</w:t>
      </w:r>
      <w:r>
        <w:t xml:space="preserve"> in ECI. The results show that the economic growth experienced by </w:t>
      </w:r>
      <w:r w:rsidR="00BD4111">
        <w:t>Tunisia</w:t>
      </w:r>
      <w:r>
        <w:t xml:space="preserve"> from 2019 to 2022 is </w:t>
      </w:r>
      <w:r w:rsidR="00BF77E1">
        <w:t>in</w:t>
      </w:r>
      <w:r>
        <w:t xml:space="preserve">consistent with the predictions by ECI and that </w:t>
      </w:r>
      <w:r w:rsidR="00BD4111">
        <w:t>Tunisia</w:t>
      </w:r>
      <w:r>
        <w:t xml:space="preserve"> made </w:t>
      </w:r>
      <w:r w:rsidR="00BF77E1">
        <w:t xml:space="preserve">little progress </w:t>
      </w:r>
      <w:r>
        <w:t>toward</w:t>
      </w:r>
      <w:r w:rsidR="00BF77E1">
        <w:t xml:space="preserve"> </w:t>
      </w:r>
      <w:r>
        <w:t xml:space="preserve">effectively developing a competitive product space that helps to accumulate complicated knowledge and technology. </w:t>
      </w:r>
      <w:r w:rsidR="00CE51BC">
        <w:t>T</w:t>
      </w:r>
      <w:r>
        <w:t xml:space="preserve">o provide a more concrete answer to why this has happened, we will dive into an analysis of </w:t>
      </w:r>
      <w:r w:rsidR="00BD4111">
        <w:t>Tunisia</w:t>
      </w:r>
      <w:r>
        <w:t>’s production structure and its product space designs in the next few sections.</w:t>
      </w:r>
    </w:p>
    <w:p w14:paraId="61534B49" w14:textId="77777777" w:rsidR="009B7827" w:rsidRDefault="009B7827">
      <w:pPr>
        <w:jc w:val="both"/>
      </w:pPr>
    </w:p>
    <w:p w14:paraId="537C1E0A" w14:textId="405AC61E" w:rsidR="009B7827" w:rsidRDefault="00C64449">
      <w:pPr>
        <w:jc w:val="center"/>
      </w:pPr>
      <w:r>
        <w:rPr>
          <w:noProof/>
        </w:rPr>
        <w:drawing>
          <wp:inline distT="0" distB="0" distL="0" distR="0" wp14:anchorId="756F4C47" wp14:editId="7EEC7FE8">
            <wp:extent cx="4343400" cy="3257550"/>
            <wp:effectExtent l="0" t="0" r="0" b="6350"/>
            <wp:docPr id="1712349257" name="Picture 2"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9257" name="Picture 2" descr="A graph with red and blu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345856" cy="3259392"/>
                    </a:xfrm>
                    <a:prstGeom prst="rect">
                      <a:avLst/>
                    </a:prstGeom>
                  </pic:spPr>
                </pic:pic>
              </a:graphicData>
            </a:graphic>
          </wp:inline>
        </w:drawing>
      </w:r>
    </w:p>
    <w:p w14:paraId="5B993C66" w14:textId="5DE8E75F" w:rsidR="009B7827" w:rsidRDefault="00000000">
      <w:pPr>
        <w:jc w:val="center"/>
        <w:rPr>
          <w:i/>
          <w:color w:val="444499"/>
          <w:sz w:val="20"/>
          <w:szCs w:val="20"/>
        </w:rPr>
      </w:pPr>
      <w:r>
        <w:rPr>
          <w:sz w:val="22"/>
          <w:szCs w:val="22"/>
        </w:rPr>
        <w:t xml:space="preserve">Figures 3. GDP Growth and ECI for </w:t>
      </w:r>
      <w:r w:rsidR="00BD4111">
        <w:rPr>
          <w:sz w:val="22"/>
          <w:szCs w:val="22"/>
        </w:rPr>
        <w:t>Tunisia</w:t>
      </w:r>
      <w:r>
        <w:rPr>
          <w:sz w:val="22"/>
          <w:szCs w:val="22"/>
        </w:rPr>
        <w:t xml:space="preserve"> (2019-2022)</w:t>
      </w:r>
    </w:p>
    <w:p w14:paraId="20AEFBEF" w14:textId="77777777" w:rsidR="009B7827" w:rsidRDefault="009B7827">
      <w:pPr>
        <w:jc w:val="both"/>
        <w:rPr>
          <w:b/>
        </w:rPr>
      </w:pPr>
    </w:p>
    <w:p w14:paraId="7403C25C" w14:textId="77777777" w:rsidR="009B7827" w:rsidRDefault="00000000">
      <w:pPr>
        <w:jc w:val="both"/>
        <w:rPr>
          <w:rFonts w:ascii="Times" w:eastAsia="Times" w:hAnsi="Times" w:cs="Times"/>
          <w:b/>
          <w:sz w:val="28"/>
          <w:szCs w:val="28"/>
        </w:rPr>
      </w:pPr>
      <w:r>
        <w:br w:type="page"/>
      </w:r>
    </w:p>
    <w:p w14:paraId="4F4428A6" w14:textId="77777777" w:rsidR="009B7827" w:rsidRDefault="00000000">
      <w:pPr>
        <w:jc w:val="both"/>
        <w:rPr>
          <w:rFonts w:ascii="Times" w:eastAsia="Times" w:hAnsi="Times" w:cs="Times"/>
          <w:b/>
          <w:sz w:val="28"/>
          <w:szCs w:val="28"/>
        </w:rPr>
      </w:pPr>
      <w:r>
        <w:rPr>
          <w:rFonts w:ascii="Times" w:eastAsia="Times" w:hAnsi="Times" w:cs="Times"/>
          <w:b/>
          <w:sz w:val="28"/>
          <w:szCs w:val="28"/>
        </w:rPr>
        <w:lastRenderedPageBreak/>
        <w:t>3. Production Analysis</w:t>
      </w:r>
    </w:p>
    <w:p w14:paraId="04D8516F" w14:textId="77777777" w:rsidR="009B7827" w:rsidRDefault="009B7827">
      <w:pPr>
        <w:jc w:val="both"/>
        <w:rPr>
          <w:rFonts w:ascii="Times" w:eastAsia="Times" w:hAnsi="Times" w:cs="Times"/>
          <w:b/>
          <w:sz w:val="28"/>
          <w:szCs w:val="28"/>
        </w:rPr>
      </w:pPr>
    </w:p>
    <w:p w14:paraId="79B8BCBA" w14:textId="77777777" w:rsidR="009B7827" w:rsidRDefault="00000000">
      <w:pPr>
        <w:jc w:val="both"/>
        <w:rPr>
          <w:b/>
        </w:rPr>
      </w:pPr>
      <w:r>
        <w:rPr>
          <w:b/>
        </w:rPr>
        <w:t>3.1 Product Categorization</w:t>
      </w:r>
    </w:p>
    <w:p w14:paraId="3F2D2E9F" w14:textId="77777777" w:rsidR="009B7827" w:rsidRDefault="00000000">
      <w:pPr>
        <w:jc w:val="both"/>
      </w:pPr>
      <w:r>
        <w:t xml:space="preserve">Our main data source in this research is the UN </w:t>
      </w:r>
      <w:proofErr w:type="spellStart"/>
      <w:r>
        <w:t>Comtrade</w:t>
      </w:r>
      <w:proofErr w:type="spellEnd"/>
      <w:r>
        <w:t xml:space="preserve"> Website (https://comtrade.un.org), which provides us with valuable information on countries’ export values on an annual basis, including highly specific export data for more than 5000 categories of products. </w:t>
      </w:r>
      <w:proofErr w:type="gramStart"/>
      <w:r>
        <w:t>In order to</w:t>
      </w:r>
      <w:proofErr w:type="gramEnd"/>
      <w:r>
        <w:t xml:space="preserve">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t>
      </w:r>
      <w:proofErr w:type="gramStart"/>
      <w:r>
        <w:t>widely-accepted</w:t>
      </w:r>
      <w:proofErr w:type="gramEnd"/>
      <w:r>
        <w:t xml:space="preserve"> industries, as summarized in Table 1.</w:t>
      </w:r>
    </w:p>
    <w:p w14:paraId="436257C3" w14:textId="77777777" w:rsidR="009B7827" w:rsidRDefault="009B7827">
      <w:pPr>
        <w:jc w:val="both"/>
      </w:pPr>
    </w:p>
    <w:p w14:paraId="2ECDB10D" w14:textId="77777777" w:rsidR="009B7827" w:rsidRDefault="00000000">
      <w:pPr>
        <w:jc w:val="both"/>
      </w:pPr>
      <w:r>
        <w:t xml:space="preserve">Note that the High-complexity Products industry group is not a distinct industry but rather an aggregated industry that encompasses the most complicated products from the most </w:t>
      </w:r>
      <w:proofErr w:type="gramStart"/>
      <w:r>
        <w:t>technologically-advanced</w:t>
      </w:r>
      <w:proofErr w:type="gramEnd"/>
      <w:r>
        <w:t xml:space="preserve">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the High-complexity Products industry has the highest </w:t>
      </w:r>
      <w:proofErr w:type="spellStart"/>
      <w:r>
        <w:t>PfCI</w:t>
      </w:r>
      <w:proofErr w:type="spellEnd"/>
      <w:r>
        <w:t xml:space="preserve"> among all industry groups. </w:t>
      </w:r>
    </w:p>
    <w:p w14:paraId="240E1811" w14:textId="77777777" w:rsidR="009B7827" w:rsidRDefault="009B7827">
      <w:pPr>
        <w:jc w:val="both"/>
      </w:pPr>
    </w:p>
    <w:tbl>
      <w:tblPr>
        <w:tblStyle w:val="a"/>
        <w:tblW w:w="9010" w:type="dxa"/>
        <w:tblInd w:w="-1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723"/>
        <w:gridCol w:w="6287"/>
      </w:tblGrid>
      <w:tr w:rsidR="009B7827" w14:paraId="1E25F75C" w14:textId="77777777" w:rsidTr="009B7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BBDFD92" w14:textId="77777777" w:rsidR="009B7827" w:rsidRDefault="00000000">
            <w:pPr>
              <w:jc w:val="both"/>
            </w:pPr>
            <w:r>
              <w:rPr>
                <w:b w:val="0"/>
              </w:rPr>
              <w:t>Category</w:t>
            </w:r>
          </w:p>
        </w:tc>
        <w:tc>
          <w:tcPr>
            <w:tcW w:w="6287" w:type="dxa"/>
          </w:tcPr>
          <w:p w14:paraId="52B5A91F"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rPr>
                <w:b w:val="0"/>
              </w:rPr>
              <w:t>Description</w:t>
            </w:r>
          </w:p>
        </w:tc>
      </w:tr>
      <w:tr w:rsidR="009B7827" w14:paraId="10298439"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18F49E2" w14:textId="77777777" w:rsidR="009B7827" w:rsidRDefault="00000000">
            <w:pPr>
              <w:jc w:val="both"/>
              <w:rPr>
                <w:sz w:val="20"/>
                <w:szCs w:val="20"/>
              </w:rPr>
            </w:pPr>
            <w:r>
              <w:rPr>
                <w:sz w:val="20"/>
                <w:szCs w:val="20"/>
              </w:rPr>
              <w:t>Animals and By-products</w:t>
            </w:r>
          </w:p>
        </w:tc>
        <w:tc>
          <w:tcPr>
            <w:tcW w:w="6287" w:type="dxa"/>
          </w:tcPr>
          <w:p w14:paraId="61122530"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All kinds of meat, </w:t>
            </w:r>
            <w:proofErr w:type="gramStart"/>
            <w:r>
              <w:rPr>
                <w:sz w:val="20"/>
                <w:szCs w:val="20"/>
              </w:rPr>
              <w:t>livestock</w:t>
            </w:r>
            <w:proofErr w:type="gramEnd"/>
            <w:r>
              <w:rPr>
                <w:sz w:val="20"/>
                <w:szCs w:val="20"/>
              </w:rPr>
              <w:t xml:space="preserve"> and related by-products </w:t>
            </w:r>
          </w:p>
        </w:tc>
      </w:tr>
      <w:tr w:rsidR="009B7827" w14:paraId="3032567B"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23C233C2" w14:textId="77777777" w:rsidR="009B7827" w:rsidRDefault="00000000">
            <w:pPr>
              <w:jc w:val="both"/>
              <w:rPr>
                <w:sz w:val="20"/>
                <w:szCs w:val="20"/>
              </w:rPr>
            </w:pPr>
            <w:r>
              <w:rPr>
                <w:sz w:val="20"/>
                <w:szCs w:val="20"/>
              </w:rPr>
              <w:t xml:space="preserve">Vegetables, </w:t>
            </w:r>
            <w:proofErr w:type="gramStart"/>
            <w:r>
              <w:rPr>
                <w:sz w:val="20"/>
                <w:szCs w:val="20"/>
              </w:rPr>
              <w:t>Fruits</w:t>
            </w:r>
            <w:proofErr w:type="gramEnd"/>
            <w:r>
              <w:rPr>
                <w:sz w:val="20"/>
                <w:szCs w:val="20"/>
              </w:rPr>
              <w:t xml:space="preserve"> and Plants</w:t>
            </w:r>
          </w:p>
        </w:tc>
        <w:tc>
          <w:tcPr>
            <w:tcW w:w="6287" w:type="dxa"/>
          </w:tcPr>
          <w:p w14:paraId="6C486407"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All kinds of plants, edible </w:t>
            </w:r>
            <w:proofErr w:type="gramStart"/>
            <w:r>
              <w:rPr>
                <w:sz w:val="20"/>
                <w:szCs w:val="20"/>
              </w:rPr>
              <w:t>vegetables</w:t>
            </w:r>
            <w:proofErr w:type="gramEnd"/>
            <w:r>
              <w:rPr>
                <w:sz w:val="20"/>
                <w:szCs w:val="20"/>
              </w:rPr>
              <w:t xml:space="preserve"> and fruits </w:t>
            </w:r>
          </w:p>
        </w:tc>
      </w:tr>
      <w:tr w:rsidR="009B7827" w14:paraId="10546B8E"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62C82C7" w14:textId="77777777" w:rsidR="009B7827" w:rsidRDefault="00000000">
            <w:pPr>
              <w:jc w:val="both"/>
              <w:rPr>
                <w:sz w:val="20"/>
                <w:szCs w:val="20"/>
              </w:rPr>
            </w:pPr>
            <w:r>
              <w:rPr>
                <w:sz w:val="20"/>
                <w:szCs w:val="20"/>
              </w:rPr>
              <w:t>Food and Preparations</w:t>
            </w:r>
          </w:p>
        </w:tc>
        <w:tc>
          <w:tcPr>
            <w:tcW w:w="6287" w:type="dxa"/>
          </w:tcPr>
          <w:p w14:paraId="44A1DAD1"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Edible preparations, raw cooking materials and appliances</w:t>
            </w:r>
          </w:p>
        </w:tc>
      </w:tr>
      <w:tr w:rsidR="009B7827" w14:paraId="6879D5BC"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11AEE215" w14:textId="77777777" w:rsidR="009B7827" w:rsidRDefault="00000000">
            <w:pPr>
              <w:jc w:val="both"/>
              <w:rPr>
                <w:sz w:val="20"/>
                <w:szCs w:val="20"/>
              </w:rPr>
            </w:pPr>
            <w:r>
              <w:rPr>
                <w:sz w:val="20"/>
                <w:szCs w:val="20"/>
              </w:rPr>
              <w:t>Clothing and Accessories</w:t>
            </w:r>
          </w:p>
        </w:tc>
        <w:tc>
          <w:tcPr>
            <w:tcW w:w="6287" w:type="dxa"/>
          </w:tcPr>
          <w:p w14:paraId="7D23FBA5"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All kinds of fabrics, filament, </w:t>
            </w:r>
            <w:proofErr w:type="gramStart"/>
            <w:r>
              <w:rPr>
                <w:sz w:val="20"/>
                <w:szCs w:val="20"/>
              </w:rPr>
              <w:t>clothing</w:t>
            </w:r>
            <w:proofErr w:type="gramEnd"/>
            <w:r>
              <w:rPr>
                <w:sz w:val="20"/>
                <w:szCs w:val="20"/>
              </w:rPr>
              <w:t xml:space="preserve"> and accessories</w:t>
            </w:r>
          </w:p>
        </w:tc>
      </w:tr>
      <w:tr w:rsidR="009B7827" w14:paraId="2DFD8CCF"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509839C" w14:textId="77777777" w:rsidR="009B7827" w:rsidRDefault="00000000">
            <w:pPr>
              <w:jc w:val="both"/>
              <w:rPr>
                <w:sz w:val="20"/>
                <w:szCs w:val="20"/>
              </w:rPr>
            </w:pPr>
            <w:r>
              <w:rPr>
                <w:sz w:val="20"/>
                <w:szCs w:val="20"/>
              </w:rPr>
              <w:t>Textiles</w:t>
            </w:r>
          </w:p>
        </w:tc>
        <w:tc>
          <w:tcPr>
            <w:tcW w:w="6287" w:type="dxa"/>
          </w:tcPr>
          <w:p w14:paraId="790ACA3D"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9B7827" w14:paraId="71A9DEBE"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730FA468" w14:textId="77777777" w:rsidR="009B7827" w:rsidRDefault="00000000">
            <w:pPr>
              <w:jc w:val="both"/>
              <w:rPr>
                <w:sz w:val="20"/>
                <w:szCs w:val="20"/>
              </w:rPr>
            </w:pPr>
            <w:r>
              <w:rPr>
                <w:sz w:val="20"/>
                <w:szCs w:val="20"/>
              </w:rPr>
              <w:t>Wood Products</w:t>
            </w:r>
          </w:p>
        </w:tc>
        <w:tc>
          <w:tcPr>
            <w:tcW w:w="6287" w:type="dxa"/>
          </w:tcPr>
          <w:p w14:paraId="3A23275D"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Book, </w:t>
            </w:r>
            <w:proofErr w:type="gramStart"/>
            <w:r>
              <w:rPr>
                <w:sz w:val="20"/>
                <w:szCs w:val="20"/>
              </w:rPr>
              <w:t>paper</w:t>
            </w:r>
            <w:proofErr w:type="gramEnd"/>
            <w:r>
              <w:rPr>
                <w:sz w:val="20"/>
                <w:szCs w:val="20"/>
              </w:rPr>
              <w:t xml:space="preserve"> and other elementary products related to wood</w:t>
            </w:r>
          </w:p>
        </w:tc>
      </w:tr>
      <w:tr w:rsidR="009B7827" w14:paraId="32708785"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CD31590" w14:textId="77777777" w:rsidR="009B7827" w:rsidRDefault="00000000">
            <w:pPr>
              <w:jc w:val="both"/>
              <w:rPr>
                <w:sz w:val="20"/>
                <w:szCs w:val="20"/>
              </w:rPr>
            </w:pPr>
            <w:r>
              <w:rPr>
                <w:sz w:val="20"/>
                <w:szCs w:val="20"/>
              </w:rPr>
              <w:t>Metals</w:t>
            </w:r>
          </w:p>
        </w:tc>
        <w:tc>
          <w:tcPr>
            <w:tcW w:w="6287" w:type="dxa"/>
          </w:tcPr>
          <w:p w14:paraId="68EEF66C"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9B7827" w14:paraId="0FA2BEC6"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220BBD94" w14:textId="77777777" w:rsidR="009B7827" w:rsidRDefault="00000000">
            <w:pPr>
              <w:rPr>
                <w:sz w:val="20"/>
                <w:szCs w:val="20"/>
              </w:rPr>
            </w:pPr>
            <w:r>
              <w:rPr>
                <w:sz w:val="20"/>
                <w:szCs w:val="20"/>
              </w:rPr>
              <w:t>Refined and Processed Stones</w:t>
            </w:r>
          </w:p>
        </w:tc>
        <w:tc>
          <w:tcPr>
            <w:tcW w:w="6287" w:type="dxa"/>
          </w:tcPr>
          <w:p w14:paraId="37749C73"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9B7827" w14:paraId="4B848C0E"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17D60FB" w14:textId="77777777" w:rsidR="009B7827" w:rsidRDefault="00000000">
            <w:pPr>
              <w:jc w:val="both"/>
              <w:rPr>
                <w:sz w:val="20"/>
                <w:szCs w:val="20"/>
              </w:rPr>
            </w:pPr>
            <w:r>
              <w:rPr>
                <w:sz w:val="20"/>
                <w:szCs w:val="20"/>
              </w:rPr>
              <w:t>Energy Drilling and Mining</w:t>
            </w:r>
          </w:p>
        </w:tc>
        <w:tc>
          <w:tcPr>
            <w:tcW w:w="6287" w:type="dxa"/>
          </w:tcPr>
          <w:p w14:paraId="71FE8015"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industry for energy, minerals, stone materials, etc.</w:t>
            </w:r>
          </w:p>
        </w:tc>
      </w:tr>
      <w:tr w:rsidR="009B7827" w14:paraId="1B9C84E7"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36FDDA9D" w14:textId="77777777" w:rsidR="009B7827" w:rsidRDefault="00000000">
            <w:pPr>
              <w:jc w:val="both"/>
              <w:rPr>
                <w:sz w:val="20"/>
                <w:szCs w:val="20"/>
              </w:rPr>
            </w:pPr>
            <w:r>
              <w:rPr>
                <w:sz w:val="20"/>
                <w:szCs w:val="20"/>
              </w:rPr>
              <w:t>Daily Instruments</w:t>
            </w:r>
          </w:p>
        </w:tc>
        <w:tc>
          <w:tcPr>
            <w:tcW w:w="6287" w:type="dxa"/>
          </w:tcPr>
          <w:p w14:paraId="43B89798"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9B7827" w14:paraId="1AB157D2"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EA34DDC" w14:textId="77777777" w:rsidR="009B7827" w:rsidRDefault="00000000">
            <w:pPr>
              <w:jc w:val="both"/>
              <w:rPr>
                <w:sz w:val="20"/>
                <w:szCs w:val="20"/>
              </w:rPr>
            </w:pPr>
            <w:r>
              <w:rPr>
                <w:sz w:val="20"/>
                <w:szCs w:val="20"/>
              </w:rPr>
              <w:t>Raw Manufacturing</w:t>
            </w:r>
          </w:p>
        </w:tc>
        <w:tc>
          <w:tcPr>
            <w:tcW w:w="6287" w:type="dxa"/>
          </w:tcPr>
          <w:p w14:paraId="39EED6C0"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9B7827" w14:paraId="2642E7F0"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2082E57D" w14:textId="77777777" w:rsidR="009B7827" w:rsidRDefault="00000000">
            <w:pPr>
              <w:jc w:val="both"/>
              <w:rPr>
                <w:sz w:val="20"/>
                <w:szCs w:val="20"/>
              </w:rPr>
            </w:pPr>
            <w:r>
              <w:rPr>
                <w:sz w:val="20"/>
                <w:szCs w:val="20"/>
              </w:rPr>
              <w:t>Chemical Manufacturing</w:t>
            </w:r>
          </w:p>
        </w:tc>
        <w:tc>
          <w:tcPr>
            <w:tcW w:w="6287" w:type="dxa"/>
          </w:tcPr>
          <w:p w14:paraId="58AAA9DA"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Advanced chemical products and pharmaceutical products</w:t>
            </w:r>
          </w:p>
        </w:tc>
      </w:tr>
      <w:tr w:rsidR="009B7827" w14:paraId="5165102C"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FC8B08F" w14:textId="77777777" w:rsidR="009B7827" w:rsidRDefault="00000000">
            <w:pPr>
              <w:jc w:val="both"/>
              <w:rPr>
                <w:sz w:val="20"/>
                <w:szCs w:val="20"/>
              </w:rPr>
            </w:pPr>
            <w:r>
              <w:rPr>
                <w:sz w:val="20"/>
                <w:szCs w:val="20"/>
              </w:rPr>
              <w:t>Chemicals</w:t>
            </w:r>
          </w:p>
        </w:tc>
        <w:tc>
          <w:tcPr>
            <w:tcW w:w="6287" w:type="dxa"/>
          </w:tcPr>
          <w:p w14:paraId="012A5E01"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chemical materials and by-products</w:t>
            </w:r>
          </w:p>
        </w:tc>
      </w:tr>
      <w:tr w:rsidR="009B7827" w14:paraId="17EF4B38"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2D2A5096" w14:textId="77777777" w:rsidR="009B7827" w:rsidRDefault="00000000">
            <w:pPr>
              <w:tabs>
                <w:tab w:val="left" w:pos="1718"/>
              </w:tabs>
              <w:jc w:val="both"/>
              <w:rPr>
                <w:sz w:val="20"/>
                <w:szCs w:val="20"/>
              </w:rPr>
            </w:pPr>
            <w:r>
              <w:rPr>
                <w:sz w:val="20"/>
                <w:szCs w:val="20"/>
              </w:rPr>
              <w:t>Machinery and Construction</w:t>
            </w:r>
          </w:p>
        </w:tc>
        <w:tc>
          <w:tcPr>
            <w:tcW w:w="6287" w:type="dxa"/>
          </w:tcPr>
          <w:p w14:paraId="4B625F50"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9B7827" w14:paraId="330E0D5F"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2255DF0" w14:textId="77777777" w:rsidR="009B7827" w:rsidRDefault="00000000">
            <w:pPr>
              <w:jc w:val="both"/>
              <w:rPr>
                <w:sz w:val="20"/>
                <w:szCs w:val="20"/>
              </w:rPr>
            </w:pPr>
            <w:r>
              <w:rPr>
                <w:sz w:val="20"/>
                <w:szCs w:val="20"/>
              </w:rPr>
              <w:t>Transportation</w:t>
            </w:r>
          </w:p>
        </w:tc>
        <w:tc>
          <w:tcPr>
            <w:tcW w:w="6287" w:type="dxa"/>
          </w:tcPr>
          <w:p w14:paraId="7E919BAC"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9B7827" w14:paraId="085E6189" w14:textId="77777777" w:rsidTr="009B7827">
        <w:tc>
          <w:tcPr>
            <w:cnfStyle w:val="001000000000" w:firstRow="0" w:lastRow="0" w:firstColumn="1" w:lastColumn="0" w:oddVBand="0" w:evenVBand="0" w:oddHBand="0" w:evenHBand="0" w:firstRowFirstColumn="0" w:firstRowLastColumn="0" w:lastRowFirstColumn="0" w:lastRowLastColumn="0"/>
            <w:tcW w:w="2723" w:type="dxa"/>
          </w:tcPr>
          <w:p w14:paraId="3D23C0F7" w14:textId="77777777" w:rsidR="009B7827" w:rsidRDefault="00000000">
            <w:pPr>
              <w:jc w:val="both"/>
              <w:rPr>
                <w:sz w:val="20"/>
                <w:szCs w:val="20"/>
              </w:rPr>
            </w:pPr>
            <w:r>
              <w:rPr>
                <w:sz w:val="20"/>
                <w:szCs w:val="20"/>
              </w:rPr>
              <w:t>Weapons</w:t>
            </w:r>
          </w:p>
        </w:tc>
        <w:tc>
          <w:tcPr>
            <w:tcW w:w="6287" w:type="dxa"/>
          </w:tcPr>
          <w:p w14:paraId="1FAE9A33"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Explosives, </w:t>
            </w:r>
            <w:proofErr w:type="gramStart"/>
            <w:r>
              <w:rPr>
                <w:sz w:val="20"/>
                <w:szCs w:val="20"/>
              </w:rPr>
              <w:t>arms</w:t>
            </w:r>
            <w:proofErr w:type="gramEnd"/>
            <w:r>
              <w:rPr>
                <w:sz w:val="20"/>
                <w:szCs w:val="20"/>
              </w:rPr>
              <w:t xml:space="preserve"> and ammunition</w:t>
            </w:r>
          </w:p>
        </w:tc>
      </w:tr>
      <w:tr w:rsidR="009B7827" w14:paraId="4042D54A"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7D0716E" w14:textId="77777777" w:rsidR="009B7827" w:rsidRDefault="00000000">
            <w:pPr>
              <w:jc w:val="both"/>
              <w:rPr>
                <w:sz w:val="20"/>
                <w:szCs w:val="20"/>
              </w:rPr>
            </w:pPr>
            <w:r>
              <w:rPr>
                <w:sz w:val="20"/>
                <w:szCs w:val="20"/>
              </w:rPr>
              <w:t>Services and Utilities</w:t>
            </w:r>
          </w:p>
        </w:tc>
        <w:tc>
          <w:tcPr>
            <w:tcW w:w="6287" w:type="dxa"/>
          </w:tcPr>
          <w:p w14:paraId="029C4655"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9B7827" w14:paraId="52943B24" w14:textId="77777777" w:rsidTr="009B7827">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EFD4A61" w14:textId="77777777" w:rsidR="009B7827" w:rsidRDefault="00000000">
            <w:pPr>
              <w:jc w:val="both"/>
              <w:rPr>
                <w:sz w:val="20"/>
                <w:szCs w:val="20"/>
              </w:rPr>
            </w:pPr>
            <w:r>
              <w:rPr>
                <w:sz w:val="20"/>
                <w:szCs w:val="20"/>
              </w:rPr>
              <w:t>High-complexity Products</w:t>
            </w:r>
          </w:p>
        </w:tc>
        <w:tc>
          <w:tcPr>
            <w:tcW w:w="6287" w:type="dxa"/>
          </w:tcPr>
          <w:p w14:paraId="361B5B8F"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Agglomeration of advanced products with highest PCIs</w:t>
            </w:r>
          </w:p>
        </w:tc>
      </w:tr>
    </w:tbl>
    <w:p w14:paraId="1BADA4C7" w14:textId="77777777" w:rsidR="009B7827" w:rsidRDefault="00000000">
      <w:pPr>
        <w:jc w:val="center"/>
        <w:rPr>
          <w:sz w:val="22"/>
          <w:szCs w:val="22"/>
        </w:rPr>
      </w:pPr>
      <w:r>
        <w:rPr>
          <w:sz w:val="22"/>
          <w:szCs w:val="22"/>
        </w:rPr>
        <w:t>Table 1. Categorization of Products</w:t>
      </w:r>
    </w:p>
    <w:p w14:paraId="6F9731D1" w14:textId="77777777" w:rsidR="009B7827" w:rsidRDefault="009B7827">
      <w:pPr>
        <w:jc w:val="both"/>
      </w:pPr>
    </w:p>
    <w:p w14:paraId="165F22BA" w14:textId="77777777" w:rsidR="009B7827" w:rsidRDefault="00000000">
      <w:pPr>
        <w:jc w:val="both"/>
      </w:pPr>
      <w: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w:t>
      </w:r>
      <w:proofErr w:type="gramStart"/>
      <w:r>
        <w:t>are capable of producing</w:t>
      </w:r>
      <w:proofErr w:type="gramEnd"/>
      <w:r>
        <w:t xml:space="preserve"> and exporting High-complexity Products as we define them. Tables 2a and 2b show the OLS results in a universe of 107 and 21 typical countries respectively.</w:t>
      </w:r>
    </w:p>
    <w:p w14:paraId="5AC40087" w14:textId="77777777" w:rsidR="009B7827" w:rsidRDefault="009B7827">
      <w:pPr>
        <w:jc w:val="both"/>
      </w:pPr>
    </w:p>
    <w:p w14:paraId="2C551568" w14:textId="77777777" w:rsidR="009B7827" w:rsidRDefault="009B7827">
      <w:pPr>
        <w:jc w:val="center"/>
      </w:pPr>
    </w:p>
    <w:tbl>
      <w:tblPr>
        <w:tblStyle w:val="a0"/>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9B7827" w14:paraId="71E0F672" w14:textId="77777777" w:rsidTr="009B7827">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572312DE" w14:textId="77777777" w:rsidR="009B7827" w:rsidRDefault="009B7827">
            <w:pPr>
              <w:jc w:val="center"/>
            </w:pPr>
          </w:p>
        </w:tc>
        <w:tc>
          <w:tcPr>
            <w:tcW w:w="2565" w:type="dxa"/>
          </w:tcPr>
          <w:p w14:paraId="7797B18D"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11836570"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78D72CDC"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9B7827" w14:paraId="5353E102" w14:textId="77777777" w:rsidTr="009B782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5E5B5D49" w14:textId="77777777" w:rsidR="009B7827" w:rsidRDefault="00000000">
            <w:pPr>
              <w:jc w:val="center"/>
              <w:rPr>
                <w:sz w:val="20"/>
                <w:szCs w:val="20"/>
              </w:rPr>
            </w:pPr>
            <w:r>
              <w:rPr>
                <w:b w:val="0"/>
                <w:sz w:val="20"/>
                <w:szCs w:val="20"/>
              </w:rPr>
              <w:t>Adj. R-squared</w:t>
            </w:r>
          </w:p>
        </w:tc>
        <w:tc>
          <w:tcPr>
            <w:tcW w:w="2565" w:type="dxa"/>
            <w:vAlign w:val="bottom"/>
          </w:tcPr>
          <w:p w14:paraId="7216ACAE"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0.075</w:t>
            </w:r>
          </w:p>
        </w:tc>
        <w:tc>
          <w:tcPr>
            <w:tcW w:w="2550" w:type="dxa"/>
            <w:vAlign w:val="bottom"/>
          </w:tcPr>
          <w:p w14:paraId="6AEB9661"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0.006</w:t>
            </w:r>
          </w:p>
        </w:tc>
        <w:tc>
          <w:tcPr>
            <w:tcW w:w="2610" w:type="dxa"/>
            <w:vAlign w:val="bottom"/>
          </w:tcPr>
          <w:p w14:paraId="6AF4FB26"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0.002</w:t>
            </w:r>
          </w:p>
        </w:tc>
      </w:tr>
      <w:tr w:rsidR="009B7827" w14:paraId="133D933A" w14:textId="77777777" w:rsidTr="009B7827">
        <w:tc>
          <w:tcPr>
            <w:cnfStyle w:val="001000000000" w:firstRow="0" w:lastRow="0" w:firstColumn="1" w:lastColumn="0" w:oddVBand="0" w:evenVBand="0" w:oddHBand="0" w:evenHBand="0" w:firstRowFirstColumn="0" w:firstRowLastColumn="0" w:lastRowFirstColumn="0" w:lastRowLastColumn="0"/>
            <w:tcW w:w="1650" w:type="dxa"/>
          </w:tcPr>
          <w:p w14:paraId="53EBDB79" w14:textId="77777777" w:rsidR="009B7827" w:rsidRDefault="00000000">
            <w:pPr>
              <w:jc w:val="center"/>
              <w:rPr>
                <w:sz w:val="20"/>
                <w:szCs w:val="20"/>
              </w:rPr>
            </w:pPr>
            <w:r>
              <w:rPr>
                <w:b w:val="0"/>
                <w:sz w:val="20"/>
                <w:szCs w:val="20"/>
                <w:highlight w:val="white"/>
              </w:rPr>
              <w:lastRenderedPageBreak/>
              <w:t>F-statistic</w:t>
            </w:r>
          </w:p>
        </w:tc>
        <w:tc>
          <w:tcPr>
            <w:tcW w:w="2565" w:type="dxa"/>
            <w:vAlign w:val="bottom"/>
          </w:tcPr>
          <w:p w14:paraId="1A4F9151"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9.556</w:t>
            </w:r>
          </w:p>
        </w:tc>
        <w:tc>
          <w:tcPr>
            <w:tcW w:w="2550" w:type="dxa"/>
            <w:vAlign w:val="bottom"/>
          </w:tcPr>
          <w:p w14:paraId="79869A87"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1.638</w:t>
            </w:r>
          </w:p>
        </w:tc>
        <w:tc>
          <w:tcPr>
            <w:tcW w:w="2610" w:type="dxa"/>
            <w:vAlign w:val="bottom"/>
          </w:tcPr>
          <w:p w14:paraId="3BE31F89"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1.175</w:t>
            </w:r>
          </w:p>
        </w:tc>
      </w:tr>
      <w:tr w:rsidR="009B7827" w14:paraId="53AB4722"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3C45E459" w14:textId="77777777" w:rsidR="009B7827" w:rsidRDefault="00000000">
            <w:pPr>
              <w:jc w:val="center"/>
              <w:rPr>
                <w:sz w:val="20"/>
                <w:szCs w:val="20"/>
              </w:rPr>
            </w:pPr>
            <w:r>
              <w:rPr>
                <w:b w:val="0"/>
                <w:sz w:val="20"/>
                <w:szCs w:val="20"/>
              </w:rPr>
              <w:t>No. Observations</w:t>
            </w:r>
          </w:p>
        </w:tc>
        <w:tc>
          <w:tcPr>
            <w:tcW w:w="2565" w:type="dxa"/>
            <w:vAlign w:val="bottom"/>
          </w:tcPr>
          <w:p w14:paraId="605600B9"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550" w:type="dxa"/>
            <w:vAlign w:val="bottom"/>
          </w:tcPr>
          <w:p w14:paraId="5E66A39B"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610" w:type="dxa"/>
            <w:vAlign w:val="bottom"/>
          </w:tcPr>
          <w:p w14:paraId="229F4874"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r>
    </w:tbl>
    <w:p w14:paraId="6CD4B7A5" w14:textId="77777777" w:rsidR="009B7827" w:rsidRDefault="00000000">
      <w:pPr>
        <w:jc w:val="center"/>
        <w:rPr>
          <w:sz w:val="22"/>
          <w:szCs w:val="22"/>
        </w:rPr>
      </w:pPr>
      <w:r>
        <w:rPr>
          <w:sz w:val="22"/>
          <w:szCs w:val="22"/>
        </w:rPr>
        <w:t xml:space="preserve">Table 2a. OLS Regression Results of GDP against Percentage Volume of Exports </w:t>
      </w:r>
    </w:p>
    <w:p w14:paraId="37961C0B" w14:textId="77777777" w:rsidR="009B7827" w:rsidRDefault="009B7827">
      <w:pPr>
        <w:jc w:val="center"/>
      </w:pPr>
    </w:p>
    <w:tbl>
      <w:tblPr>
        <w:tblStyle w:val="a1"/>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9B7827" w14:paraId="68C9A68B" w14:textId="77777777" w:rsidTr="009B7827">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14BEA971" w14:textId="77777777" w:rsidR="009B7827" w:rsidRDefault="009B7827">
            <w:pPr>
              <w:jc w:val="center"/>
            </w:pPr>
          </w:p>
        </w:tc>
        <w:tc>
          <w:tcPr>
            <w:tcW w:w="2565" w:type="dxa"/>
          </w:tcPr>
          <w:p w14:paraId="7177068D"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7E433964"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73FDC05D" w14:textId="77777777" w:rsidR="009B7827"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9B7827" w14:paraId="3C967742" w14:textId="77777777" w:rsidTr="009B782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1B071EF4" w14:textId="77777777" w:rsidR="009B7827" w:rsidRDefault="00000000">
            <w:pPr>
              <w:jc w:val="center"/>
              <w:rPr>
                <w:sz w:val="20"/>
                <w:szCs w:val="20"/>
              </w:rPr>
            </w:pPr>
            <w:r>
              <w:rPr>
                <w:b w:val="0"/>
                <w:sz w:val="20"/>
                <w:szCs w:val="20"/>
              </w:rPr>
              <w:t>Adj. R-squared</w:t>
            </w:r>
          </w:p>
        </w:tc>
        <w:tc>
          <w:tcPr>
            <w:tcW w:w="2565" w:type="dxa"/>
            <w:vAlign w:val="bottom"/>
          </w:tcPr>
          <w:p w14:paraId="7B3B452A"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0.149</w:t>
            </w:r>
          </w:p>
        </w:tc>
        <w:tc>
          <w:tcPr>
            <w:tcW w:w="2550" w:type="dxa"/>
            <w:vAlign w:val="bottom"/>
          </w:tcPr>
          <w:p w14:paraId="2BD943E3"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0.003</w:t>
            </w:r>
          </w:p>
        </w:tc>
        <w:tc>
          <w:tcPr>
            <w:tcW w:w="2610" w:type="dxa"/>
            <w:vAlign w:val="bottom"/>
          </w:tcPr>
          <w:p w14:paraId="490E1708"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-0.012</w:t>
            </w:r>
          </w:p>
        </w:tc>
      </w:tr>
      <w:tr w:rsidR="009B7827" w14:paraId="764C5E76" w14:textId="77777777" w:rsidTr="009B7827">
        <w:tc>
          <w:tcPr>
            <w:cnfStyle w:val="001000000000" w:firstRow="0" w:lastRow="0" w:firstColumn="1" w:lastColumn="0" w:oddVBand="0" w:evenVBand="0" w:oddHBand="0" w:evenHBand="0" w:firstRowFirstColumn="0" w:firstRowLastColumn="0" w:lastRowFirstColumn="0" w:lastRowLastColumn="0"/>
            <w:tcW w:w="1650" w:type="dxa"/>
          </w:tcPr>
          <w:p w14:paraId="7369E149" w14:textId="77777777" w:rsidR="009B7827" w:rsidRDefault="00000000">
            <w:pPr>
              <w:jc w:val="center"/>
              <w:rPr>
                <w:sz w:val="20"/>
                <w:szCs w:val="20"/>
              </w:rPr>
            </w:pPr>
            <w:r>
              <w:rPr>
                <w:b w:val="0"/>
                <w:sz w:val="20"/>
                <w:szCs w:val="20"/>
                <w:highlight w:val="white"/>
              </w:rPr>
              <w:t>F-statistic</w:t>
            </w:r>
          </w:p>
        </w:tc>
        <w:tc>
          <w:tcPr>
            <w:tcW w:w="2565" w:type="dxa"/>
            <w:vAlign w:val="bottom"/>
          </w:tcPr>
          <w:p w14:paraId="3FF4A435"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4.510</w:t>
            </w:r>
          </w:p>
        </w:tc>
        <w:tc>
          <w:tcPr>
            <w:tcW w:w="2550" w:type="dxa"/>
            <w:vAlign w:val="bottom"/>
          </w:tcPr>
          <w:p w14:paraId="274C544E"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1.059</w:t>
            </w:r>
          </w:p>
        </w:tc>
        <w:tc>
          <w:tcPr>
            <w:tcW w:w="2610" w:type="dxa"/>
            <w:vAlign w:val="bottom"/>
          </w:tcPr>
          <w:p w14:paraId="364B0004" w14:textId="77777777" w:rsidR="009B7827"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0.7542</w:t>
            </w:r>
          </w:p>
        </w:tc>
      </w:tr>
      <w:tr w:rsidR="009B7827" w14:paraId="3E018757" w14:textId="77777777" w:rsidTr="009B7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6AD0B9DE" w14:textId="77777777" w:rsidR="009B7827" w:rsidRDefault="00000000">
            <w:pPr>
              <w:jc w:val="center"/>
              <w:rPr>
                <w:sz w:val="20"/>
                <w:szCs w:val="20"/>
              </w:rPr>
            </w:pPr>
            <w:r>
              <w:rPr>
                <w:b w:val="0"/>
                <w:sz w:val="20"/>
                <w:szCs w:val="20"/>
              </w:rPr>
              <w:t>No. Observations</w:t>
            </w:r>
          </w:p>
        </w:tc>
        <w:tc>
          <w:tcPr>
            <w:tcW w:w="2565" w:type="dxa"/>
            <w:vAlign w:val="bottom"/>
          </w:tcPr>
          <w:p w14:paraId="64777428"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550" w:type="dxa"/>
            <w:vAlign w:val="bottom"/>
          </w:tcPr>
          <w:p w14:paraId="55AFFBC5"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610" w:type="dxa"/>
            <w:vAlign w:val="bottom"/>
          </w:tcPr>
          <w:p w14:paraId="5B5A9B38" w14:textId="77777777" w:rsidR="009B7827"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r>
    </w:tbl>
    <w:p w14:paraId="5BB1DFD5" w14:textId="77777777" w:rsidR="009B7827" w:rsidRDefault="00000000">
      <w:pPr>
        <w:jc w:val="center"/>
        <w:rPr>
          <w:sz w:val="22"/>
          <w:szCs w:val="22"/>
        </w:rPr>
      </w:pPr>
      <w:r>
        <w:rPr>
          <w:sz w:val="22"/>
          <w:szCs w:val="22"/>
        </w:rPr>
        <w:t>Table 2b. OLS Regression Results of GDP against Volume of Percentage Exports</w:t>
      </w:r>
    </w:p>
    <w:p w14:paraId="51E4D64E" w14:textId="77777777" w:rsidR="009B7827" w:rsidRDefault="009B7827">
      <w:pPr>
        <w:jc w:val="both"/>
        <w:rPr>
          <w:b/>
        </w:rPr>
      </w:pPr>
    </w:p>
    <w:p w14:paraId="52FE45B4" w14:textId="77777777" w:rsidR="009B7827" w:rsidRDefault="00000000">
      <w:pPr>
        <w:jc w:val="both"/>
        <w:rPr>
          <w:b/>
        </w:rPr>
      </w:pPr>
      <w:r>
        <w:rPr>
          <w:b/>
        </w:rPr>
        <w:t>3.2 Realized Industry Development</w:t>
      </w:r>
    </w:p>
    <w:p w14:paraId="7FC4DC49" w14:textId="1E27B538" w:rsidR="009B7827" w:rsidRDefault="00000000">
      <w:pPr>
        <w:jc w:val="both"/>
      </w:pPr>
      <w:r>
        <w:t xml:space="preserve">Based on the </w:t>
      </w:r>
      <w:proofErr w:type="gramStart"/>
      <w:r>
        <w:t>aforementioned product</w:t>
      </w:r>
      <w:proofErr w:type="gramEnd"/>
      <w:r>
        <w:t xml:space="preserve"> categorization, we aim to capture </w:t>
      </w:r>
      <w:r w:rsidR="00BD4111">
        <w:t>Tunisia</w:t>
      </w:r>
      <w: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R="00BD4111">
        <w:t>Tunisia</w:t>
      </w:r>
      <w:r>
        <w:t xml:space="preserve"> and the 18 product groups in 2022 through the difference, where a positive RID indicates a shortening of the distance (i.e., advancement of the industry), and a negative RID indicates the reverse. </w:t>
      </w:r>
    </w:p>
    <w:p w14:paraId="3E43CAD0" w14:textId="77777777" w:rsidR="009B7827" w:rsidRDefault="009B7827">
      <w:pPr>
        <w:jc w:val="both"/>
      </w:pPr>
    </w:p>
    <w:tbl>
      <w:tblPr>
        <w:tblStyle w:val="a2"/>
        <w:tblW w:w="4836" w:type="dxa"/>
        <w:jc w:val="center"/>
        <w:tblLayout w:type="fixed"/>
        <w:tblLook w:val="0600" w:firstRow="0" w:lastRow="0" w:firstColumn="0" w:lastColumn="0" w:noHBand="1" w:noVBand="1"/>
      </w:tblPr>
      <w:tblGrid>
        <w:gridCol w:w="3261"/>
        <w:gridCol w:w="1575"/>
      </w:tblGrid>
      <w:tr w:rsidR="009B7827" w14:paraId="162D32C1" w14:textId="77777777" w:rsidTr="00480E8A">
        <w:trPr>
          <w:trHeight w:val="315"/>
          <w:tblHeader/>
          <w:jc w:val="center"/>
        </w:trPr>
        <w:tc>
          <w:tcPr>
            <w:tcW w:w="3261" w:type="dxa"/>
            <w:tcBorders>
              <w:top w:val="nil"/>
              <w:bottom w:val="nil"/>
            </w:tcBorders>
            <w:shd w:val="clear" w:color="auto" w:fill="A5A5A5"/>
            <w:tcMar>
              <w:top w:w="-123" w:type="dxa"/>
              <w:left w:w="-123" w:type="dxa"/>
              <w:bottom w:w="-123" w:type="dxa"/>
              <w:right w:w="-123" w:type="dxa"/>
            </w:tcMar>
            <w:vAlign w:val="center"/>
          </w:tcPr>
          <w:p w14:paraId="49C875CA" w14:textId="77777777" w:rsidR="009B7827" w:rsidRDefault="00000000" w:rsidP="00480E8A">
            <w:pPr>
              <w:pBdr>
                <w:top w:val="nil"/>
                <w:left w:val="nil"/>
                <w:bottom w:val="nil"/>
                <w:right w:val="nil"/>
                <w:between w:val="nil"/>
              </w:pBdr>
              <w:ind w:left="180" w:right="-97"/>
              <w:rPr>
                <w:b/>
                <w:color w:val="FFFFFF"/>
                <w:sz w:val="20"/>
                <w:szCs w:val="20"/>
              </w:rPr>
            </w:pPr>
            <w:r>
              <w:rPr>
                <w:b/>
                <w:color w:val="FFFFFF"/>
                <w:sz w:val="20"/>
                <w:szCs w:val="20"/>
              </w:rPr>
              <w:t>Category</w:t>
            </w:r>
          </w:p>
        </w:tc>
        <w:tc>
          <w:tcPr>
            <w:tcW w:w="1575" w:type="dxa"/>
            <w:tcBorders>
              <w:top w:val="nil"/>
              <w:bottom w:val="nil"/>
            </w:tcBorders>
            <w:shd w:val="clear" w:color="auto" w:fill="A5A5A5"/>
            <w:tcMar>
              <w:top w:w="-123" w:type="dxa"/>
              <w:left w:w="-123" w:type="dxa"/>
              <w:bottom w:w="-123" w:type="dxa"/>
              <w:right w:w="-123" w:type="dxa"/>
            </w:tcMar>
            <w:vAlign w:val="center"/>
          </w:tcPr>
          <w:p w14:paraId="2A5B9343" w14:textId="77777777" w:rsidR="009B7827" w:rsidRDefault="00000000">
            <w:pPr>
              <w:pBdr>
                <w:top w:val="nil"/>
                <w:left w:val="nil"/>
                <w:bottom w:val="nil"/>
                <w:right w:val="nil"/>
                <w:between w:val="nil"/>
              </w:pBdr>
              <w:jc w:val="both"/>
              <w:rPr>
                <w:b/>
                <w:color w:val="FFFFFF"/>
                <w:sz w:val="20"/>
                <w:szCs w:val="20"/>
              </w:rPr>
            </w:pPr>
            <w:r>
              <w:rPr>
                <w:b/>
                <w:color w:val="FFFFFF"/>
                <w:sz w:val="20"/>
                <w:szCs w:val="20"/>
              </w:rPr>
              <w:t>RID (2022)</w:t>
            </w:r>
          </w:p>
        </w:tc>
      </w:tr>
      <w:tr w:rsidR="00480E8A" w:rsidRPr="00480E8A" w14:paraId="13878166" w14:textId="77777777" w:rsidTr="00480E8A">
        <w:trPr>
          <w:trHeight w:val="246"/>
          <w:tblHeader/>
          <w:jc w:val="center"/>
        </w:trPr>
        <w:tc>
          <w:tcPr>
            <w:tcW w:w="3261" w:type="dxa"/>
            <w:shd w:val="clear" w:color="auto" w:fill="D9D9D9"/>
            <w:tcMar>
              <w:top w:w="-123" w:type="dxa"/>
              <w:left w:w="-123" w:type="dxa"/>
              <w:bottom w:w="-123" w:type="dxa"/>
              <w:right w:w="-123" w:type="dxa"/>
            </w:tcMar>
            <w:vAlign w:val="bottom"/>
          </w:tcPr>
          <w:p w14:paraId="5F00DF8B" w14:textId="73752E9D" w:rsidR="00480E8A" w:rsidRPr="00480E8A" w:rsidRDefault="00480E8A" w:rsidP="00480E8A">
            <w:pPr>
              <w:widowControl w:val="0"/>
              <w:spacing w:line="276" w:lineRule="auto"/>
              <w:ind w:left="180"/>
              <w:rPr>
                <w:sz w:val="20"/>
                <w:szCs w:val="20"/>
              </w:rPr>
            </w:pPr>
            <w:r w:rsidRPr="00480E8A">
              <w:rPr>
                <w:color w:val="000000"/>
                <w:sz w:val="22"/>
                <w:szCs w:val="22"/>
              </w:rPr>
              <w:t>Raw Manufacturing</w:t>
            </w:r>
          </w:p>
        </w:tc>
        <w:tc>
          <w:tcPr>
            <w:tcW w:w="1575" w:type="dxa"/>
            <w:shd w:val="clear" w:color="auto" w:fill="D9D9D9"/>
            <w:tcMar>
              <w:top w:w="-123" w:type="dxa"/>
              <w:left w:w="-123" w:type="dxa"/>
              <w:bottom w:w="-123" w:type="dxa"/>
              <w:right w:w="-123" w:type="dxa"/>
            </w:tcMar>
            <w:vAlign w:val="bottom"/>
          </w:tcPr>
          <w:p w14:paraId="3F8CB1A3" w14:textId="5CAD1DBD" w:rsidR="00480E8A" w:rsidRPr="00480E8A" w:rsidRDefault="00480E8A" w:rsidP="00480E8A">
            <w:pPr>
              <w:widowControl w:val="0"/>
              <w:spacing w:line="276" w:lineRule="auto"/>
              <w:rPr>
                <w:sz w:val="20"/>
                <w:szCs w:val="20"/>
              </w:rPr>
            </w:pPr>
            <w:r w:rsidRPr="00480E8A">
              <w:rPr>
                <w:color w:val="000000"/>
                <w:sz w:val="22"/>
                <w:szCs w:val="22"/>
              </w:rPr>
              <w:t>0.03683</w:t>
            </w:r>
          </w:p>
        </w:tc>
      </w:tr>
      <w:tr w:rsidR="00480E8A" w:rsidRPr="00480E8A" w14:paraId="1DCE0D63" w14:textId="77777777" w:rsidTr="00480E8A">
        <w:trPr>
          <w:trHeight w:val="246"/>
          <w:tblHeader/>
          <w:jc w:val="center"/>
        </w:trPr>
        <w:tc>
          <w:tcPr>
            <w:tcW w:w="3261" w:type="dxa"/>
            <w:tcMar>
              <w:top w:w="-123" w:type="dxa"/>
              <w:left w:w="-123" w:type="dxa"/>
              <w:bottom w:w="-123" w:type="dxa"/>
              <w:right w:w="-123" w:type="dxa"/>
            </w:tcMar>
            <w:vAlign w:val="bottom"/>
          </w:tcPr>
          <w:p w14:paraId="507BEEF6" w14:textId="4EC31533" w:rsidR="00480E8A" w:rsidRPr="00480E8A" w:rsidRDefault="00480E8A" w:rsidP="00480E8A">
            <w:pPr>
              <w:widowControl w:val="0"/>
              <w:spacing w:line="276" w:lineRule="auto"/>
              <w:ind w:left="180"/>
              <w:rPr>
                <w:sz w:val="20"/>
                <w:szCs w:val="20"/>
              </w:rPr>
            </w:pPr>
            <w:r w:rsidRPr="00480E8A">
              <w:rPr>
                <w:color w:val="000000"/>
                <w:sz w:val="22"/>
                <w:szCs w:val="22"/>
              </w:rPr>
              <w:t>Weapons</w:t>
            </w:r>
          </w:p>
        </w:tc>
        <w:tc>
          <w:tcPr>
            <w:tcW w:w="1575" w:type="dxa"/>
            <w:tcMar>
              <w:top w:w="-123" w:type="dxa"/>
              <w:left w:w="-123" w:type="dxa"/>
              <w:bottom w:w="-123" w:type="dxa"/>
              <w:right w:w="-123" w:type="dxa"/>
            </w:tcMar>
            <w:vAlign w:val="bottom"/>
          </w:tcPr>
          <w:p w14:paraId="3D8B2317" w14:textId="07994C0B" w:rsidR="00480E8A" w:rsidRPr="00480E8A" w:rsidRDefault="00480E8A" w:rsidP="00480E8A">
            <w:pPr>
              <w:widowControl w:val="0"/>
              <w:spacing w:line="276" w:lineRule="auto"/>
              <w:rPr>
                <w:sz w:val="20"/>
                <w:szCs w:val="20"/>
              </w:rPr>
            </w:pPr>
            <w:r w:rsidRPr="00480E8A">
              <w:rPr>
                <w:color w:val="000000"/>
                <w:sz w:val="22"/>
                <w:szCs w:val="22"/>
              </w:rPr>
              <w:t>0.05261</w:t>
            </w:r>
          </w:p>
        </w:tc>
      </w:tr>
      <w:tr w:rsidR="00480E8A" w:rsidRPr="00480E8A" w14:paraId="1872F728" w14:textId="77777777" w:rsidTr="00480E8A">
        <w:trPr>
          <w:trHeight w:val="246"/>
          <w:tblHeader/>
          <w:jc w:val="center"/>
        </w:trPr>
        <w:tc>
          <w:tcPr>
            <w:tcW w:w="3261" w:type="dxa"/>
            <w:shd w:val="clear" w:color="auto" w:fill="D9D9D9"/>
            <w:tcMar>
              <w:top w:w="-123" w:type="dxa"/>
              <w:left w:w="-123" w:type="dxa"/>
              <w:bottom w:w="-123" w:type="dxa"/>
              <w:right w:w="-123" w:type="dxa"/>
            </w:tcMar>
            <w:vAlign w:val="bottom"/>
          </w:tcPr>
          <w:p w14:paraId="04E45540" w14:textId="6B70D8B1" w:rsidR="00480E8A" w:rsidRPr="00480E8A" w:rsidRDefault="00480E8A" w:rsidP="00480E8A">
            <w:pPr>
              <w:widowControl w:val="0"/>
              <w:spacing w:line="276" w:lineRule="auto"/>
              <w:ind w:left="180"/>
              <w:rPr>
                <w:sz w:val="20"/>
                <w:szCs w:val="20"/>
              </w:rPr>
            </w:pPr>
            <w:r w:rsidRPr="00480E8A">
              <w:rPr>
                <w:color w:val="000000"/>
                <w:sz w:val="22"/>
                <w:szCs w:val="22"/>
              </w:rPr>
              <w:t>Machinery and Construction</w:t>
            </w:r>
          </w:p>
        </w:tc>
        <w:tc>
          <w:tcPr>
            <w:tcW w:w="1575" w:type="dxa"/>
            <w:shd w:val="clear" w:color="auto" w:fill="D9D9D9"/>
            <w:tcMar>
              <w:top w:w="-123" w:type="dxa"/>
              <w:left w:w="-123" w:type="dxa"/>
              <w:bottom w:w="-123" w:type="dxa"/>
              <w:right w:w="-123" w:type="dxa"/>
            </w:tcMar>
            <w:vAlign w:val="bottom"/>
          </w:tcPr>
          <w:p w14:paraId="46A73A43" w14:textId="28353AD6" w:rsidR="00480E8A" w:rsidRPr="00480E8A" w:rsidRDefault="00480E8A" w:rsidP="00480E8A">
            <w:pPr>
              <w:widowControl w:val="0"/>
              <w:spacing w:line="276" w:lineRule="auto"/>
              <w:rPr>
                <w:sz w:val="20"/>
                <w:szCs w:val="20"/>
              </w:rPr>
            </w:pPr>
            <w:r w:rsidRPr="00480E8A">
              <w:rPr>
                <w:color w:val="000000"/>
                <w:sz w:val="22"/>
                <w:szCs w:val="22"/>
              </w:rPr>
              <w:t>0.05874</w:t>
            </w:r>
          </w:p>
        </w:tc>
      </w:tr>
      <w:tr w:rsidR="00480E8A" w:rsidRPr="00480E8A" w14:paraId="5B8A0D22" w14:textId="77777777" w:rsidTr="00480E8A">
        <w:trPr>
          <w:trHeight w:val="246"/>
          <w:tblHeader/>
          <w:jc w:val="center"/>
        </w:trPr>
        <w:tc>
          <w:tcPr>
            <w:tcW w:w="3261" w:type="dxa"/>
            <w:tcMar>
              <w:top w:w="-123" w:type="dxa"/>
              <w:left w:w="-123" w:type="dxa"/>
              <w:bottom w:w="-123" w:type="dxa"/>
              <w:right w:w="-123" w:type="dxa"/>
            </w:tcMar>
            <w:vAlign w:val="bottom"/>
          </w:tcPr>
          <w:p w14:paraId="0D8072B4" w14:textId="48DEEFB5" w:rsidR="00480E8A" w:rsidRPr="00480E8A" w:rsidRDefault="00480E8A" w:rsidP="00480E8A">
            <w:pPr>
              <w:widowControl w:val="0"/>
              <w:spacing w:line="276" w:lineRule="auto"/>
              <w:ind w:left="180"/>
              <w:rPr>
                <w:sz w:val="20"/>
                <w:szCs w:val="20"/>
              </w:rPr>
            </w:pPr>
            <w:r w:rsidRPr="00480E8A">
              <w:rPr>
                <w:color w:val="000000"/>
                <w:sz w:val="22"/>
                <w:szCs w:val="22"/>
              </w:rPr>
              <w:t xml:space="preserve">Vegetables, </w:t>
            </w:r>
            <w:proofErr w:type="gramStart"/>
            <w:r w:rsidRPr="00480E8A">
              <w:rPr>
                <w:color w:val="000000"/>
                <w:sz w:val="22"/>
                <w:szCs w:val="22"/>
              </w:rPr>
              <w:t>Fruits</w:t>
            </w:r>
            <w:proofErr w:type="gramEnd"/>
            <w:r w:rsidRPr="00480E8A">
              <w:rPr>
                <w:color w:val="000000"/>
                <w:sz w:val="22"/>
                <w:szCs w:val="22"/>
              </w:rPr>
              <w:t xml:space="preserve"> and Plants</w:t>
            </w:r>
          </w:p>
        </w:tc>
        <w:tc>
          <w:tcPr>
            <w:tcW w:w="1575" w:type="dxa"/>
            <w:tcMar>
              <w:top w:w="-123" w:type="dxa"/>
              <w:left w:w="-123" w:type="dxa"/>
              <w:bottom w:w="-123" w:type="dxa"/>
              <w:right w:w="-123" w:type="dxa"/>
            </w:tcMar>
            <w:vAlign w:val="bottom"/>
          </w:tcPr>
          <w:p w14:paraId="13BD2D93" w14:textId="049D6618" w:rsidR="00480E8A" w:rsidRPr="00480E8A" w:rsidRDefault="00480E8A" w:rsidP="00480E8A">
            <w:pPr>
              <w:widowControl w:val="0"/>
              <w:spacing w:line="276" w:lineRule="auto"/>
              <w:rPr>
                <w:sz w:val="20"/>
                <w:szCs w:val="20"/>
              </w:rPr>
            </w:pPr>
            <w:r w:rsidRPr="00480E8A">
              <w:rPr>
                <w:color w:val="000000"/>
                <w:sz w:val="22"/>
                <w:szCs w:val="22"/>
              </w:rPr>
              <w:t>0.06616</w:t>
            </w:r>
          </w:p>
        </w:tc>
      </w:tr>
      <w:tr w:rsidR="00480E8A" w:rsidRPr="00480E8A" w14:paraId="450634BF"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5A26BC0C" w14:textId="4AC04F9A" w:rsidR="00480E8A" w:rsidRPr="00480E8A" w:rsidRDefault="00480E8A" w:rsidP="00480E8A">
            <w:pPr>
              <w:widowControl w:val="0"/>
              <w:spacing w:line="276" w:lineRule="auto"/>
              <w:ind w:left="180"/>
              <w:rPr>
                <w:sz w:val="20"/>
                <w:szCs w:val="20"/>
              </w:rPr>
            </w:pPr>
            <w:r w:rsidRPr="00480E8A">
              <w:rPr>
                <w:color w:val="000000"/>
                <w:sz w:val="22"/>
                <w:szCs w:val="22"/>
              </w:rPr>
              <w:t>Textile</w:t>
            </w:r>
          </w:p>
        </w:tc>
        <w:tc>
          <w:tcPr>
            <w:tcW w:w="1575" w:type="dxa"/>
            <w:shd w:val="clear" w:color="auto" w:fill="D9D9D9"/>
            <w:tcMar>
              <w:top w:w="-123" w:type="dxa"/>
              <w:left w:w="-123" w:type="dxa"/>
              <w:bottom w:w="-123" w:type="dxa"/>
              <w:right w:w="-123" w:type="dxa"/>
            </w:tcMar>
            <w:vAlign w:val="bottom"/>
          </w:tcPr>
          <w:p w14:paraId="1B090B60" w14:textId="67CE3B2A" w:rsidR="00480E8A" w:rsidRPr="00480E8A" w:rsidRDefault="00480E8A" w:rsidP="00480E8A">
            <w:pPr>
              <w:widowControl w:val="0"/>
              <w:spacing w:line="276" w:lineRule="auto"/>
              <w:rPr>
                <w:sz w:val="20"/>
                <w:szCs w:val="20"/>
              </w:rPr>
            </w:pPr>
            <w:r w:rsidRPr="00480E8A">
              <w:rPr>
                <w:color w:val="000000"/>
                <w:sz w:val="22"/>
                <w:szCs w:val="22"/>
              </w:rPr>
              <w:t>0.07348</w:t>
            </w:r>
          </w:p>
        </w:tc>
      </w:tr>
      <w:tr w:rsidR="00480E8A" w:rsidRPr="00480E8A" w14:paraId="270F3B52" w14:textId="77777777" w:rsidTr="00480E8A">
        <w:trPr>
          <w:trHeight w:val="246"/>
          <w:jc w:val="center"/>
        </w:trPr>
        <w:tc>
          <w:tcPr>
            <w:tcW w:w="3261" w:type="dxa"/>
            <w:tcMar>
              <w:top w:w="-123" w:type="dxa"/>
              <w:left w:w="-123" w:type="dxa"/>
              <w:bottom w:w="-123" w:type="dxa"/>
              <w:right w:w="-123" w:type="dxa"/>
            </w:tcMar>
            <w:vAlign w:val="bottom"/>
          </w:tcPr>
          <w:p w14:paraId="1A22592F" w14:textId="13F5071B" w:rsidR="00480E8A" w:rsidRPr="00480E8A" w:rsidRDefault="00480E8A" w:rsidP="00480E8A">
            <w:pPr>
              <w:widowControl w:val="0"/>
              <w:spacing w:line="276" w:lineRule="auto"/>
              <w:ind w:left="180"/>
              <w:rPr>
                <w:sz w:val="20"/>
                <w:szCs w:val="20"/>
              </w:rPr>
            </w:pPr>
            <w:r w:rsidRPr="00480E8A">
              <w:rPr>
                <w:color w:val="000000"/>
                <w:sz w:val="22"/>
                <w:szCs w:val="22"/>
              </w:rPr>
              <w:t>Chemicals</w:t>
            </w:r>
          </w:p>
        </w:tc>
        <w:tc>
          <w:tcPr>
            <w:tcW w:w="1575" w:type="dxa"/>
            <w:tcMar>
              <w:top w:w="-123" w:type="dxa"/>
              <w:left w:w="-123" w:type="dxa"/>
              <w:bottom w:w="-123" w:type="dxa"/>
              <w:right w:w="-123" w:type="dxa"/>
            </w:tcMar>
            <w:vAlign w:val="bottom"/>
          </w:tcPr>
          <w:p w14:paraId="32C412BA" w14:textId="377C1F89" w:rsidR="00480E8A" w:rsidRPr="00480E8A" w:rsidRDefault="00480E8A" w:rsidP="00480E8A">
            <w:pPr>
              <w:widowControl w:val="0"/>
              <w:spacing w:line="276" w:lineRule="auto"/>
              <w:rPr>
                <w:sz w:val="20"/>
                <w:szCs w:val="20"/>
              </w:rPr>
            </w:pPr>
            <w:r w:rsidRPr="00480E8A">
              <w:rPr>
                <w:color w:val="000000"/>
                <w:sz w:val="22"/>
                <w:szCs w:val="22"/>
              </w:rPr>
              <w:t>0.07538</w:t>
            </w:r>
          </w:p>
        </w:tc>
      </w:tr>
      <w:tr w:rsidR="00480E8A" w:rsidRPr="00480E8A" w14:paraId="1D7CBEC1"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0E6372C9" w14:textId="3FB3FE53" w:rsidR="00480E8A" w:rsidRPr="00480E8A" w:rsidRDefault="00480E8A" w:rsidP="00480E8A">
            <w:pPr>
              <w:widowControl w:val="0"/>
              <w:spacing w:line="276" w:lineRule="auto"/>
              <w:ind w:left="180"/>
              <w:rPr>
                <w:sz w:val="20"/>
                <w:szCs w:val="20"/>
              </w:rPr>
            </w:pPr>
            <w:r w:rsidRPr="00480E8A">
              <w:rPr>
                <w:color w:val="000000"/>
                <w:sz w:val="22"/>
                <w:szCs w:val="22"/>
              </w:rPr>
              <w:t>Animals and By-products</w:t>
            </w:r>
          </w:p>
        </w:tc>
        <w:tc>
          <w:tcPr>
            <w:tcW w:w="1575" w:type="dxa"/>
            <w:shd w:val="clear" w:color="auto" w:fill="D9D9D9"/>
            <w:tcMar>
              <w:top w:w="-123" w:type="dxa"/>
              <w:left w:w="-123" w:type="dxa"/>
              <w:bottom w:w="-123" w:type="dxa"/>
              <w:right w:w="-123" w:type="dxa"/>
            </w:tcMar>
            <w:vAlign w:val="bottom"/>
          </w:tcPr>
          <w:p w14:paraId="18375320" w14:textId="1EF3BF39" w:rsidR="00480E8A" w:rsidRPr="00480E8A" w:rsidRDefault="00480E8A" w:rsidP="00480E8A">
            <w:pPr>
              <w:widowControl w:val="0"/>
              <w:spacing w:line="276" w:lineRule="auto"/>
              <w:rPr>
                <w:sz w:val="20"/>
                <w:szCs w:val="20"/>
              </w:rPr>
            </w:pPr>
            <w:r w:rsidRPr="00480E8A">
              <w:rPr>
                <w:color w:val="000000"/>
                <w:sz w:val="22"/>
                <w:szCs w:val="22"/>
              </w:rPr>
              <w:t>0.07666</w:t>
            </w:r>
          </w:p>
        </w:tc>
      </w:tr>
      <w:tr w:rsidR="00480E8A" w:rsidRPr="00480E8A" w14:paraId="27E1DCD2" w14:textId="77777777" w:rsidTr="00480E8A">
        <w:trPr>
          <w:trHeight w:val="246"/>
          <w:jc w:val="center"/>
        </w:trPr>
        <w:tc>
          <w:tcPr>
            <w:tcW w:w="3261" w:type="dxa"/>
            <w:tcMar>
              <w:top w:w="-123" w:type="dxa"/>
              <w:left w:w="-123" w:type="dxa"/>
              <w:bottom w:w="-123" w:type="dxa"/>
              <w:right w:w="-123" w:type="dxa"/>
            </w:tcMar>
            <w:vAlign w:val="bottom"/>
          </w:tcPr>
          <w:p w14:paraId="55AEBA91" w14:textId="5B0D1DA0" w:rsidR="00480E8A" w:rsidRPr="00480E8A" w:rsidRDefault="00480E8A" w:rsidP="00480E8A">
            <w:pPr>
              <w:widowControl w:val="0"/>
              <w:spacing w:line="276" w:lineRule="auto"/>
              <w:ind w:left="180"/>
              <w:rPr>
                <w:sz w:val="20"/>
                <w:szCs w:val="20"/>
              </w:rPr>
            </w:pPr>
            <w:r w:rsidRPr="00480E8A">
              <w:rPr>
                <w:color w:val="000000"/>
                <w:sz w:val="22"/>
                <w:szCs w:val="22"/>
              </w:rPr>
              <w:t>Wood Products</w:t>
            </w:r>
          </w:p>
        </w:tc>
        <w:tc>
          <w:tcPr>
            <w:tcW w:w="1575" w:type="dxa"/>
            <w:tcMar>
              <w:top w:w="-123" w:type="dxa"/>
              <w:left w:w="-123" w:type="dxa"/>
              <w:bottom w:w="-123" w:type="dxa"/>
              <w:right w:w="-123" w:type="dxa"/>
            </w:tcMar>
            <w:vAlign w:val="bottom"/>
          </w:tcPr>
          <w:p w14:paraId="2B383F51" w14:textId="3ECFB36F" w:rsidR="00480E8A" w:rsidRPr="00480E8A" w:rsidRDefault="00480E8A" w:rsidP="00480E8A">
            <w:pPr>
              <w:widowControl w:val="0"/>
              <w:spacing w:line="276" w:lineRule="auto"/>
              <w:rPr>
                <w:sz w:val="20"/>
                <w:szCs w:val="20"/>
              </w:rPr>
            </w:pPr>
            <w:r w:rsidRPr="00480E8A">
              <w:rPr>
                <w:color w:val="000000"/>
                <w:sz w:val="22"/>
                <w:szCs w:val="22"/>
              </w:rPr>
              <w:t>0.08180</w:t>
            </w:r>
          </w:p>
        </w:tc>
      </w:tr>
      <w:tr w:rsidR="00480E8A" w:rsidRPr="00480E8A" w14:paraId="0521539B"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1EE12854" w14:textId="0CA4DA54" w:rsidR="00480E8A" w:rsidRPr="00480E8A" w:rsidRDefault="00480E8A" w:rsidP="00480E8A">
            <w:pPr>
              <w:widowControl w:val="0"/>
              <w:spacing w:line="276" w:lineRule="auto"/>
              <w:ind w:left="180"/>
              <w:rPr>
                <w:sz w:val="20"/>
                <w:szCs w:val="20"/>
              </w:rPr>
            </w:pPr>
            <w:r w:rsidRPr="00480E8A">
              <w:rPr>
                <w:color w:val="000000"/>
                <w:sz w:val="22"/>
                <w:szCs w:val="22"/>
              </w:rPr>
              <w:t>Energy Drilling and Mining</w:t>
            </w:r>
          </w:p>
        </w:tc>
        <w:tc>
          <w:tcPr>
            <w:tcW w:w="1575" w:type="dxa"/>
            <w:shd w:val="clear" w:color="auto" w:fill="D9D9D9"/>
            <w:tcMar>
              <w:top w:w="-123" w:type="dxa"/>
              <w:left w:w="-123" w:type="dxa"/>
              <w:bottom w:w="-123" w:type="dxa"/>
              <w:right w:w="-123" w:type="dxa"/>
            </w:tcMar>
            <w:vAlign w:val="bottom"/>
          </w:tcPr>
          <w:p w14:paraId="3ED4CF4B" w14:textId="7AFBA391" w:rsidR="00480E8A" w:rsidRPr="00480E8A" w:rsidRDefault="00480E8A" w:rsidP="00480E8A">
            <w:pPr>
              <w:widowControl w:val="0"/>
              <w:spacing w:line="276" w:lineRule="auto"/>
              <w:rPr>
                <w:sz w:val="20"/>
                <w:szCs w:val="20"/>
              </w:rPr>
            </w:pPr>
            <w:r w:rsidRPr="00480E8A">
              <w:rPr>
                <w:color w:val="000000"/>
                <w:sz w:val="22"/>
                <w:szCs w:val="22"/>
              </w:rPr>
              <w:t>0.08316</w:t>
            </w:r>
          </w:p>
        </w:tc>
      </w:tr>
      <w:tr w:rsidR="00480E8A" w:rsidRPr="00480E8A" w14:paraId="2CB2A7C8" w14:textId="77777777" w:rsidTr="00480E8A">
        <w:trPr>
          <w:trHeight w:val="246"/>
          <w:jc w:val="center"/>
        </w:trPr>
        <w:tc>
          <w:tcPr>
            <w:tcW w:w="3261" w:type="dxa"/>
            <w:tcMar>
              <w:top w:w="-123" w:type="dxa"/>
              <w:left w:w="-123" w:type="dxa"/>
              <w:bottom w:w="-123" w:type="dxa"/>
              <w:right w:w="-123" w:type="dxa"/>
            </w:tcMar>
            <w:vAlign w:val="bottom"/>
          </w:tcPr>
          <w:p w14:paraId="6A910F3D" w14:textId="0F32FA71" w:rsidR="00480E8A" w:rsidRPr="00480E8A" w:rsidRDefault="00480E8A" w:rsidP="00480E8A">
            <w:pPr>
              <w:widowControl w:val="0"/>
              <w:spacing w:line="276" w:lineRule="auto"/>
              <w:ind w:left="180"/>
              <w:rPr>
                <w:sz w:val="20"/>
                <w:szCs w:val="20"/>
              </w:rPr>
            </w:pPr>
            <w:r w:rsidRPr="00480E8A">
              <w:rPr>
                <w:color w:val="000000"/>
                <w:sz w:val="22"/>
                <w:szCs w:val="22"/>
              </w:rPr>
              <w:t xml:space="preserve">Precious Stones </w:t>
            </w:r>
          </w:p>
        </w:tc>
        <w:tc>
          <w:tcPr>
            <w:tcW w:w="1575" w:type="dxa"/>
            <w:tcMar>
              <w:top w:w="-123" w:type="dxa"/>
              <w:left w:w="-123" w:type="dxa"/>
              <w:bottom w:w="-123" w:type="dxa"/>
              <w:right w:w="-123" w:type="dxa"/>
            </w:tcMar>
            <w:vAlign w:val="bottom"/>
          </w:tcPr>
          <w:p w14:paraId="5A027E43" w14:textId="72BA0E83" w:rsidR="00480E8A" w:rsidRPr="00480E8A" w:rsidRDefault="00480E8A" w:rsidP="00480E8A">
            <w:pPr>
              <w:widowControl w:val="0"/>
              <w:spacing w:line="276" w:lineRule="auto"/>
              <w:rPr>
                <w:sz w:val="20"/>
                <w:szCs w:val="20"/>
              </w:rPr>
            </w:pPr>
            <w:r w:rsidRPr="00480E8A">
              <w:rPr>
                <w:color w:val="000000"/>
                <w:sz w:val="22"/>
                <w:szCs w:val="22"/>
              </w:rPr>
              <w:t>0.08503</w:t>
            </w:r>
          </w:p>
        </w:tc>
      </w:tr>
      <w:tr w:rsidR="00480E8A" w:rsidRPr="00480E8A" w14:paraId="4CFE7802"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5CDB7C85" w14:textId="31454DAF" w:rsidR="00480E8A" w:rsidRPr="00480E8A" w:rsidRDefault="00480E8A" w:rsidP="00480E8A">
            <w:pPr>
              <w:widowControl w:val="0"/>
              <w:spacing w:line="276" w:lineRule="auto"/>
              <w:ind w:left="180"/>
              <w:rPr>
                <w:sz w:val="20"/>
                <w:szCs w:val="20"/>
              </w:rPr>
            </w:pPr>
            <w:r w:rsidRPr="00480E8A">
              <w:rPr>
                <w:color w:val="000000"/>
                <w:sz w:val="22"/>
                <w:szCs w:val="22"/>
              </w:rPr>
              <w:t>Clothing and Accessories</w:t>
            </w:r>
          </w:p>
        </w:tc>
        <w:tc>
          <w:tcPr>
            <w:tcW w:w="1575" w:type="dxa"/>
            <w:shd w:val="clear" w:color="auto" w:fill="D9D9D9"/>
            <w:tcMar>
              <w:top w:w="-123" w:type="dxa"/>
              <w:left w:w="-123" w:type="dxa"/>
              <w:bottom w:w="-123" w:type="dxa"/>
              <w:right w:w="-123" w:type="dxa"/>
            </w:tcMar>
            <w:vAlign w:val="bottom"/>
          </w:tcPr>
          <w:p w14:paraId="6B44E47D" w14:textId="11CD6B66" w:rsidR="00480E8A" w:rsidRPr="00480E8A" w:rsidRDefault="00480E8A" w:rsidP="00480E8A">
            <w:pPr>
              <w:widowControl w:val="0"/>
              <w:spacing w:line="276" w:lineRule="auto"/>
              <w:rPr>
                <w:sz w:val="20"/>
                <w:szCs w:val="20"/>
              </w:rPr>
            </w:pPr>
            <w:r w:rsidRPr="00480E8A">
              <w:rPr>
                <w:color w:val="000000"/>
                <w:sz w:val="22"/>
                <w:szCs w:val="22"/>
              </w:rPr>
              <w:t>0.10296</w:t>
            </w:r>
          </w:p>
        </w:tc>
      </w:tr>
      <w:tr w:rsidR="00480E8A" w:rsidRPr="00480E8A" w14:paraId="62D901CB" w14:textId="77777777" w:rsidTr="00480E8A">
        <w:trPr>
          <w:trHeight w:val="246"/>
          <w:jc w:val="center"/>
        </w:trPr>
        <w:tc>
          <w:tcPr>
            <w:tcW w:w="3261" w:type="dxa"/>
            <w:tcMar>
              <w:top w:w="-123" w:type="dxa"/>
              <w:left w:w="-123" w:type="dxa"/>
              <w:bottom w:w="-123" w:type="dxa"/>
              <w:right w:w="-123" w:type="dxa"/>
            </w:tcMar>
            <w:vAlign w:val="bottom"/>
          </w:tcPr>
          <w:p w14:paraId="594ED472" w14:textId="130FE12D" w:rsidR="00480E8A" w:rsidRPr="00480E8A" w:rsidRDefault="00480E8A" w:rsidP="00480E8A">
            <w:pPr>
              <w:widowControl w:val="0"/>
              <w:spacing w:line="276" w:lineRule="auto"/>
              <w:ind w:left="180"/>
              <w:rPr>
                <w:sz w:val="20"/>
                <w:szCs w:val="20"/>
              </w:rPr>
            </w:pPr>
            <w:r w:rsidRPr="00480E8A">
              <w:rPr>
                <w:color w:val="000000"/>
                <w:sz w:val="22"/>
                <w:szCs w:val="22"/>
              </w:rPr>
              <w:t>Food and Preparations</w:t>
            </w:r>
          </w:p>
        </w:tc>
        <w:tc>
          <w:tcPr>
            <w:tcW w:w="1575" w:type="dxa"/>
            <w:tcMar>
              <w:top w:w="-123" w:type="dxa"/>
              <w:left w:w="-123" w:type="dxa"/>
              <w:bottom w:w="-123" w:type="dxa"/>
              <w:right w:w="-123" w:type="dxa"/>
            </w:tcMar>
            <w:vAlign w:val="bottom"/>
          </w:tcPr>
          <w:p w14:paraId="4038EC96" w14:textId="64F2F6AC" w:rsidR="00480E8A" w:rsidRPr="00480E8A" w:rsidRDefault="00480E8A" w:rsidP="00480E8A">
            <w:pPr>
              <w:widowControl w:val="0"/>
              <w:spacing w:line="276" w:lineRule="auto"/>
              <w:rPr>
                <w:sz w:val="20"/>
                <w:szCs w:val="20"/>
              </w:rPr>
            </w:pPr>
            <w:r w:rsidRPr="00480E8A">
              <w:rPr>
                <w:color w:val="000000"/>
                <w:sz w:val="22"/>
                <w:szCs w:val="22"/>
              </w:rPr>
              <w:t>0.10341</w:t>
            </w:r>
          </w:p>
        </w:tc>
      </w:tr>
      <w:tr w:rsidR="00480E8A" w:rsidRPr="00480E8A" w14:paraId="4B672DEC"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3A26B7A4" w14:textId="65F3E641" w:rsidR="00480E8A" w:rsidRPr="00480E8A" w:rsidRDefault="00480E8A" w:rsidP="00480E8A">
            <w:pPr>
              <w:widowControl w:val="0"/>
              <w:spacing w:line="276" w:lineRule="auto"/>
              <w:ind w:left="180"/>
              <w:rPr>
                <w:sz w:val="20"/>
                <w:szCs w:val="20"/>
              </w:rPr>
            </w:pPr>
            <w:r w:rsidRPr="00480E8A">
              <w:rPr>
                <w:color w:val="000000"/>
                <w:sz w:val="22"/>
                <w:szCs w:val="22"/>
              </w:rPr>
              <w:t>Metals</w:t>
            </w:r>
          </w:p>
        </w:tc>
        <w:tc>
          <w:tcPr>
            <w:tcW w:w="1575" w:type="dxa"/>
            <w:shd w:val="clear" w:color="auto" w:fill="D9D9D9"/>
            <w:tcMar>
              <w:top w:w="-123" w:type="dxa"/>
              <w:left w:w="-123" w:type="dxa"/>
              <w:bottom w:w="-123" w:type="dxa"/>
              <w:right w:w="-123" w:type="dxa"/>
            </w:tcMar>
            <w:vAlign w:val="bottom"/>
          </w:tcPr>
          <w:p w14:paraId="7A5FE1D2" w14:textId="070FE207" w:rsidR="00480E8A" w:rsidRPr="00480E8A" w:rsidRDefault="00480E8A" w:rsidP="00480E8A">
            <w:pPr>
              <w:widowControl w:val="0"/>
              <w:spacing w:line="276" w:lineRule="auto"/>
              <w:rPr>
                <w:sz w:val="20"/>
                <w:szCs w:val="20"/>
              </w:rPr>
            </w:pPr>
            <w:r w:rsidRPr="00480E8A">
              <w:rPr>
                <w:color w:val="000000"/>
                <w:sz w:val="22"/>
                <w:szCs w:val="22"/>
              </w:rPr>
              <w:t>0.10897</w:t>
            </w:r>
          </w:p>
        </w:tc>
      </w:tr>
      <w:tr w:rsidR="00480E8A" w:rsidRPr="00480E8A" w14:paraId="22BA1295" w14:textId="77777777" w:rsidTr="00480E8A">
        <w:trPr>
          <w:trHeight w:val="246"/>
          <w:jc w:val="center"/>
        </w:trPr>
        <w:tc>
          <w:tcPr>
            <w:tcW w:w="3261" w:type="dxa"/>
            <w:tcMar>
              <w:top w:w="-123" w:type="dxa"/>
              <w:left w:w="-123" w:type="dxa"/>
              <w:bottom w:w="-123" w:type="dxa"/>
              <w:right w:w="-123" w:type="dxa"/>
            </w:tcMar>
            <w:vAlign w:val="bottom"/>
          </w:tcPr>
          <w:p w14:paraId="5059A182" w14:textId="5D65DD69" w:rsidR="00480E8A" w:rsidRPr="00480E8A" w:rsidRDefault="00480E8A" w:rsidP="00480E8A">
            <w:pPr>
              <w:widowControl w:val="0"/>
              <w:spacing w:line="276" w:lineRule="auto"/>
              <w:ind w:left="180"/>
              <w:rPr>
                <w:sz w:val="20"/>
                <w:szCs w:val="20"/>
              </w:rPr>
            </w:pPr>
            <w:r w:rsidRPr="00480E8A">
              <w:rPr>
                <w:color w:val="000000"/>
                <w:sz w:val="22"/>
                <w:szCs w:val="22"/>
              </w:rPr>
              <w:t>Services and Utilities</w:t>
            </w:r>
          </w:p>
        </w:tc>
        <w:tc>
          <w:tcPr>
            <w:tcW w:w="1575" w:type="dxa"/>
            <w:tcMar>
              <w:top w:w="-123" w:type="dxa"/>
              <w:left w:w="-123" w:type="dxa"/>
              <w:bottom w:w="-123" w:type="dxa"/>
              <w:right w:w="-123" w:type="dxa"/>
            </w:tcMar>
            <w:vAlign w:val="bottom"/>
          </w:tcPr>
          <w:p w14:paraId="1995CBD9" w14:textId="1E7D1F3B" w:rsidR="00480E8A" w:rsidRPr="00480E8A" w:rsidRDefault="00480E8A" w:rsidP="00480E8A">
            <w:pPr>
              <w:widowControl w:val="0"/>
              <w:spacing w:line="276" w:lineRule="auto"/>
              <w:rPr>
                <w:sz w:val="20"/>
                <w:szCs w:val="20"/>
              </w:rPr>
            </w:pPr>
            <w:r w:rsidRPr="00480E8A">
              <w:rPr>
                <w:color w:val="000000"/>
                <w:sz w:val="22"/>
                <w:szCs w:val="22"/>
              </w:rPr>
              <w:t>0.11277</w:t>
            </w:r>
          </w:p>
        </w:tc>
      </w:tr>
      <w:tr w:rsidR="00480E8A" w:rsidRPr="00480E8A" w14:paraId="07A3D1F4"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5767B44C" w14:textId="1773C03D" w:rsidR="00480E8A" w:rsidRPr="00480E8A" w:rsidRDefault="00480E8A" w:rsidP="00480E8A">
            <w:pPr>
              <w:widowControl w:val="0"/>
              <w:spacing w:line="276" w:lineRule="auto"/>
              <w:ind w:left="180"/>
              <w:rPr>
                <w:sz w:val="20"/>
                <w:szCs w:val="20"/>
              </w:rPr>
            </w:pPr>
            <w:r w:rsidRPr="00480E8A">
              <w:rPr>
                <w:color w:val="000000"/>
                <w:sz w:val="22"/>
                <w:szCs w:val="22"/>
              </w:rPr>
              <w:t>Chemical Manufacturing</w:t>
            </w:r>
          </w:p>
        </w:tc>
        <w:tc>
          <w:tcPr>
            <w:tcW w:w="1575" w:type="dxa"/>
            <w:shd w:val="clear" w:color="auto" w:fill="D9D9D9"/>
            <w:tcMar>
              <w:top w:w="-123" w:type="dxa"/>
              <w:left w:w="-123" w:type="dxa"/>
              <w:bottom w:w="-123" w:type="dxa"/>
              <w:right w:w="-123" w:type="dxa"/>
            </w:tcMar>
            <w:vAlign w:val="bottom"/>
          </w:tcPr>
          <w:p w14:paraId="407C9D1A" w14:textId="51605A33" w:rsidR="00480E8A" w:rsidRPr="00480E8A" w:rsidRDefault="00480E8A" w:rsidP="00480E8A">
            <w:pPr>
              <w:widowControl w:val="0"/>
              <w:spacing w:line="276" w:lineRule="auto"/>
              <w:rPr>
                <w:sz w:val="20"/>
                <w:szCs w:val="20"/>
              </w:rPr>
            </w:pPr>
            <w:r w:rsidRPr="00480E8A">
              <w:rPr>
                <w:color w:val="000000"/>
                <w:sz w:val="22"/>
                <w:szCs w:val="22"/>
              </w:rPr>
              <w:t>0.13566</w:t>
            </w:r>
          </w:p>
        </w:tc>
      </w:tr>
      <w:tr w:rsidR="00480E8A" w:rsidRPr="00480E8A" w14:paraId="1A78972F" w14:textId="77777777" w:rsidTr="00480E8A">
        <w:trPr>
          <w:trHeight w:val="246"/>
          <w:jc w:val="center"/>
        </w:trPr>
        <w:tc>
          <w:tcPr>
            <w:tcW w:w="3261" w:type="dxa"/>
            <w:tcMar>
              <w:top w:w="-123" w:type="dxa"/>
              <w:left w:w="-123" w:type="dxa"/>
              <w:bottom w:w="-123" w:type="dxa"/>
              <w:right w:w="-123" w:type="dxa"/>
            </w:tcMar>
            <w:vAlign w:val="bottom"/>
          </w:tcPr>
          <w:p w14:paraId="32BA3982" w14:textId="2D334B77" w:rsidR="00480E8A" w:rsidRPr="00480E8A" w:rsidRDefault="00480E8A" w:rsidP="00480E8A">
            <w:pPr>
              <w:widowControl w:val="0"/>
              <w:spacing w:line="276" w:lineRule="auto"/>
              <w:ind w:left="180"/>
              <w:rPr>
                <w:sz w:val="20"/>
                <w:szCs w:val="20"/>
              </w:rPr>
            </w:pPr>
            <w:r w:rsidRPr="00480E8A">
              <w:rPr>
                <w:color w:val="000000"/>
                <w:sz w:val="22"/>
                <w:szCs w:val="22"/>
              </w:rPr>
              <w:t>Daily Instruments</w:t>
            </w:r>
          </w:p>
        </w:tc>
        <w:tc>
          <w:tcPr>
            <w:tcW w:w="1575" w:type="dxa"/>
            <w:tcMar>
              <w:top w:w="-123" w:type="dxa"/>
              <w:left w:w="-123" w:type="dxa"/>
              <w:bottom w:w="-123" w:type="dxa"/>
              <w:right w:w="-123" w:type="dxa"/>
            </w:tcMar>
            <w:vAlign w:val="bottom"/>
          </w:tcPr>
          <w:p w14:paraId="2D3D0F16" w14:textId="4EE8F2DB" w:rsidR="00480E8A" w:rsidRPr="00480E8A" w:rsidRDefault="00480E8A" w:rsidP="00480E8A">
            <w:pPr>
              <w:widowControl w:val="0"/>
              <w:spacing w:line="276" w:lineRule="auto"/>
              <w:rPr>
                <w:sz w:val="20"/>
                <w:szCs w:val="20"/>
              </w:rPr>
            </w:pPr>
            <w:r w:rsidRPr="00480E8A">
              <w:rPr>
                <w:color w:val="000000"/>
                <w:sz w:val="22"/>
                <w:szCs w:val="22"/>
              </w:rPr>
              <w:t>0.17305</w:t>
            </w:r>
          </w:p>
        </w:tc>
      </w:tr>
      <w:tr w:rsidR="00480E8A" w:rsidRPr="00480E8A" w14:paraId="3CEEBB4D" w14:textId="77777777" w:rsidTr="00480E8A">
        <w:trPr>
          <w:trHeight w:val="246"/>
          <w:jc w:val="center"/>
        </w:trPr>
        <w:tc>
          <w:tcPr>
            <w:tcW w:w="3261" w:type="dxa"/>
            <w:shd w:val="clear" w:color="auto" w:fill="D9D9D9"/>
            <w:tcMar>
              <w:top w:w="-123" w:type="dxa"/>
              <w:left w:w="-123" w:type="dxa"/>
              <w:bottom w:w="-123" w:type="dxa"/>
              <w:right w:w="-123" w:type="dxa"/>
            </w:tcMar>
            <w:vAlign w:val="bottom"/>
          </w:tcPr>
          <w:p w14:paraId="1F4CB7E6" w14:textId="3FDEB924" w:rsidR="00480E8A" w:rsidRPr="00480E8A" w:rsidRDefault="00480E8A" w:rsidP="00480E8A">
            <w:pPr>
              <w:widowControl w:val="0"/>
              <w:spacing w:line="276" w:lineRule="auto"/>
              <w:ind w:left="180"/>
              <w:rPr>
                <w:sz w:val="20"/>
                <w:szCs w:val="20"/>
              </w:rPr>
            </w:pPr>
            <w:r w:rsidRPr="00480E8A">
              <w:rPr>
                <w:color w:val="000000"/>
                <w:sz w:val="22"/>
                <w:szCs w:val="22"/>
              </w:rPr>
              <w:t>Transportation</w:t>
            </w:r>
          </w:p>
        </w:tc>
        <w:tc>
          <w:tcPr>
            <w:tcW w:w="1575" w:type="dxa"/>
            <w:shd w:val="clear" w:color="auto" w:fill="D9D9D9"/>
            <w:tcMar>
              <w:top w:w="-123" w:type="dxa"/>
              <w:left w:w="-123" w:type="dxa"/>
              <w:bottom w:w="-123" w:type="dxa"/>
              <w:right w:w="-123" w:type="dxa"/>
            </w:tcMar>
            <w:vAlign w:val="bottom"/>
          </w:tcPr>
          <w:p w14:paraId="5D37B384" w14:textId="408D1AA6" w:rsidR="00480E8A" w:rsidRPr="00480E8A" w:rsidRDefault="00480E8A" w:rsidP="00480E8A">
            <w:pPr>
              <w:widowControl w:val="0"/>
              <w:spacing w:line="276" w:lineRule="auto"/>
              <w:rPr>
                <w:sz w:val="20"/>
                <w:szCs w:val="20"/>
              </w:rPr>
            </w:pPr>
            <w:r w:rsidRPr="00480E8A">
              <w:rPr>
                <w:color w:val="000000"/>
                <w:sz w:val="22"/>
                <w:szCs w:val="22"/>
              </w:rPr>
              <w:t>0.19541</w:t>
            </w:r>
          </w:p>
        </w:tc>
      </w:tr>
      <w:tr w:rsidR="00480E8A" w:rsidRPr="00480E8A" w14:paraId="4CA781A6" w14:textId="77777777" w:rsidTr="00480E8A">
        <w:trPr>
          <w:trHeight w:val="246"/>
          <w:jc w:val="center"/>
        </w:trPr>
        <w:tc>
          <w:tcPr>
            <w:tcW w:w="3261" w:type="dxa"/>
            <w:tcBorders>
              <w:bottom w:val="nil"/>
            </w:tcBorders>
            <w:tcMar>
              <w:top w:w="-123" w:type="dxa"/>
              <w:left w:w="-123" w:type="dxa"/>
              <w:bottom w:w="-123" w:type="dxa"/>
              <w:right w:w="-123" w:type="dxa"/>
            </w:tcMar>
            <w:vAlign w:val="bottom"/>
          </w:tcPr>
          <w:p w14:paraId="2D94457A" w14:textId="51336690" w:rsidR="00480E8A" w:rsidRPr="00480E8A" w:rsidRDefault="00480E8A" w:rsidP="00480E8A">
            <w:pPr>
              <w:widowControl w:val="0"/>
              <w:spacing w:line="276" w:lineRule="auto"/>
              <w:ind w:left="180"/>
              <w:rPr>
                <w:sz w:val="20"/>
                <w:szCs w:val="20"/>
              </w:rPr>
            </w:pPr>
            <w:r w:rsidRPr="00480E8A">
              <w:rPr>
                <w:color w:val="000000"/>
                <w:sz w:val="22"/>
                <w:szCs w:val="22"/>
              </w:rPr>
              <w:t>High-complexity Products</w:t>
            </w:r>
          </w:p>
        </w:tc>
        <w:tc>
          <w:tcPr>
            <w:tcW w:w="1575" w:type="dxa"/>
            <w:tcBorders>
              <w:bottom w:val="nil"/>
            </w:tcBorders>
            <w:tcMar>
              <w:top w:w="-123" w:type="dxa"/>
              <w:left w:w="-123" w:type="dxa"/>
              <w:bottom w:w="-123" w:type="dxa"/>
              <w:right w:w="-123" w:type="dxa"/>
            </w:tcMar>
            <w:vAlign w:val="bottom"/>
          </w:tcPr>
          <w:p w14:paraId="2C3A1E42" w14:textId="617D799F" w:rsidR="00480E8A" w:rsidRPr="00480E8A" w:rsidRDefault="00480E8A" w:rsidP="00480E8A">
            <w:pPr>
              <w:widowControl w:val="0"/>
              <w:spacing w:line="276" w:lineRule="auto"/>
              <w:rPr>
                <w:sz w:val="20"/>
                <w:szCs w:val="20"/>
              </w:rPr>
            </w:pPr>
            <w:r w:rsidRPr="00480E8A">
              <w:rPr>
                <w:color w:val="000000"/>
                <w:sz w:val="22"/>
                <w:szCs w:val="22"/>
              </w:rPr>
              <w:t>0.20628</w:t>
            </w:r>
          </w:p>
        </w:tc>
      </w:tr>
    </w:tbl>
    <w:p w14:paraId="51259592" w14:textId="1E5267D7" w:rsidR="009B7827" w:rsidRDefault="00000000">
      <w:pPr>
        <w:jc w:val="center"/>
        <w:rPr>
          <w:b/>
        </w:rPr>
      </w:pPr>
      <w:r w:rsidRPr="00480E8A">
        <w:rPr>
          <w:sz w:val="22"/>
          <w:szCs w:val="22"/>
        </w:rPr>
        <w:t>Table 3. Realized Industry Development (RI</w:t>
      </w:r>
      <w:r>
        <w:rPr>
          <w:sz w:val="22"/>
          <w:szCs w:val="22"/>
        </w:rPr>
        <w:t xml:space="preserve">D) of </w:t>
      </w:r>
      <w:r w:rsidR="00BD4111">
        <w:rPr>
          <w:sz w:val="22"/>
          <w:szCs w:val="22"/>
        </w:rPr>
        <w:t>Tunisia</w:t>
      </w:r>
    </w:p>
    <w:p w14:paraId="29E7DAD5" w14:textId="77777777" w:rsidR="009B7827" w:rsidRDefault="009B7827">
      <w:pPr>
        <w:jc w:val="both"/>
        <w:rPr>
          <w:b/>
        </w:rPr>
      </w:pPr>
    </w:p>
    <w:p w14:paraId="3EC2DA39" w14:textId="77777777" w:rsidR="009B7827" w:rsidRDefault="009B7827">
      <w:pPr>
        <w:jc w:val="both"/>
        <w:rPr>
          <w:b/>
        </w:rPr>
      </w:pPr>
    </w:p>
    <w:p w14:paraId="543A8310" w14:textId="77777777" w:rsidR="009B7827" w:rsidRDefault="00000000">
      <w:pPr>
        <w:jc w:val="both"/>
        <w:rPr>
          <w:b/>
        </w:rPr>
      </w:pPr>
      <w:r>
        <w:rPr>
          <w:b/>
        </w:rPr>
        <w:t>3.3 Regional and Global Comparison</w:t>
      </w:r>
    </w:p>
    <w:p w14:paraId="63C2EC27" w14:textId="24BDD0AA" w:rsidR="009B7827" w:rsidRDefault="00000000">
      <w:pPr>
        <w:jc w:val="both"/>
      </w:pPr>
      <w:r>
        <w:t xml:space="preserve">Table 4a below summarize how the production strategy adopted by </w:t>
      </w:r>
      <w:r w:rsidR="00BD4111">
        <w:t>Tunisia</w:t>
      </w:r>
      <w:r>
        <w:t xml:space="preserve"> compares with selected leading economies in the world across different years, as measured in RID. Leading </w:t>
      </w:r>
      <w:r>
        <w:lastRenderedPageBreak/>
        <w:t>economies such as France, Greece, and Portugal gave a considerable level of attention to more advanced product groups such as Services and Utilities, Energy Drilling and Textiles in 2022.</w:t>
      </w:r>
    </w:p>
    <w:p w14:paraId="47EA9139" w14:textId="77777777" w:rsidR="009B7827" w:rsidRDefault="009B7827">
      <w:pPr>
        <w:jc w:val="both"/>
      </w:pPr>
    </w:p>
    <w:tbl>
      <w:tblPr>
        <w:tblStyle w:val="a3"/>
        <w:tblW w:w="8955" w:type="dxa"/>
        <w:jc w:val="center"/>
        <w:tblLayout w:type="fixed"/>
        <w:tblLook w:val="04A0" w:firstRow="1" w:lastRow="0" w:firstColumn="1" w:lastColumn="0" w:noHBand="0" w:noVBand="1"/>
      </w:tblPr>
      <w:tblGrid>
        <w:gridCol w:w="1110"/>
        <w:gridCol w:w="2625"/>
        <w:gridCol w:w="2580"/>
        <w:gridCol w:w="2640"/>
      </w:tblGrid>
      <w:tr w:rsidR="009B7827" w14:paraId="4D481AE2" w14:textId="77777777" w:rsidTr="009B78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0CD2179E" w14:textId="77777777" w:rsidR="009B7827" w:rsidRDefault="00000000">
            <w:pPr>
              <w:jc w:val="both"/>
            </w:pPr>
            <w:r>
              <w:t>Ranking</w:t>
            </w:r>
          </w:p>
        </w:tc>
        <w:tc>
          <w:tcPr>
            <w:tcW w:w="2625" w:type="dxa"/>
            <w:vAlign w:val="center"/>
          </w:tcPr>
          <w:p w14:paraId="72E0CF0E"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t>France</w:t>
            </w:r>
          </w:p>
        </w:tc>
        <w:tc>
          <w:tcPr>
            <w:tcW w:w="2580" w:type="dxa"/>
            <w:vAlign w:val="center"/>
          </w:tcPr>
          <w:p w14:paraId="357430F1"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t>USA</w:t>
            </w:r>
          </w:p>
        </w:tc>
        <w:tc>
          <w:tcPr>
            <w:tcW w:w="2640" w:type="dxa"/>
            <w:vAlign w:val="center"/>
          </w:tcPr>
          <w:p w14:paraId="458653C2"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t>United Arab Emirates</w:t>
            </w:r>
          </w:p>
        </w:tc>
      </w:tr>
      <w:tr w:rsidR="009B7827" w14:paraId="19ABB88C" w14:textId="77777777" w:rsidTr="009B78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623C2F09" w14:textId="77777777" w:rsidR="009B7827" w:rsidRDefault="00000000">
            <w:pPr>
              <w:jc w:val="both"/>
              <w:rPr>
                <w:sz w:val="20"/>
                <w:szCs w:val="20"/>
              </w:rPr>
            </w:pPr>
            <w:r>
              <w:rPr>
                <w:b w:val="0"/>
                <w:sz w:val="20"/>
                <w:szCs w:val="20"/>
              </w:rPr>
              <w:t>1</w:t>
            </w:r>
          </w:p>
        </w:tc>
        <w:tc>
          <w:tcPr>
            <w:tcW w:w="2625" w:type="dxa"/>
            <w:vAlign w:val="center"/>
          </w:tcPr>
          <w:p w14:paraId="39E54B6E"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Machinery &amp; Construction</w:t>
            </w:r>
          </w:p>
        </w:tc>
        <w:tc>
          <w:tcPr>
            <w:tcW w:w="2580" w:type="dxa"/>
            <w:vAlign w:val="center"/>
          </w:tcPr>
          <w:p w14:paraId="2C8B88AA"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Wood Products</w:t>
            </w:r>
          </w:p>
        </w:tc>
        <w:tc>
          <w:tcPr>
            <w:tcW w:w="2640" w:type="dxa"/>
            <w:vAlign w:val="center"/>
          </w:tcPr>
          <w:p w14:paraId="0006A319"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Chemical Manufacturing</w:t>
            </w:r>
          </w:p>
        </w:tc>
      </w:tr>
      <w:tr w:rsidR="009B7827" w14:paraId="2D65B62A" w14:textId="77777777" w:rsidTr="009B7827">
        <w:trPr>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6BD38AC1" w14:textId="77777777" w:rsidR="009B7827" w:rsidRDefault="00000000">
            <w:pPr>
              <w:jc w:val="both"/>
              <w:rPr>
                <w:sz w:val="20"/>
                <w:szCs w:val="20"/>
              </w:rPr>
            </w:pPr>
            <w:r>
              <w:rPr>
                <w:b w:val="0"/>
                <w:sz w:val="20"/>
                <w:szCs w:val="20"/>
              </w:rPr>
              <w:t>2</w:t>
            </w:r>
          </w:p>
        </w:tc>
        <w:tc>
          <w:tcPr>
            <w:tcW w:w="2625" w:type="dxa"/>
            <w:vAlign w:val="center"/>
          </w:tcPr>
          <w:p w14:paraId="2D7F08F1"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18"/>
                <w:szCs w:val="18"/>
              </w:rPr>
            </w:pPr>
            <w:r>
              <w:rPr>
                <w:color w:val="000000"/>
                <w:sz w:val="22"/>
                <w:szCs w:val="22"/>
              </w:rPr>
              <w:t>Services &amp; Utilities</w:t>
            </w:r>
          </w:p>
        </w:tc>
        <w:tc>
          <w:tcPr>
            <w:tcW w:w="2580" w:type="dxa"/>
            <w:vAlign w:val="center"/>
          </w:tcPr>
          <w:p w14:paraId="7D86CC5B"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18"/>
                <w:szCs w:val="18"/>
              </w:rPr>
            </w:pPr>
            <w:r>
              <w:rPr>
                <w:color w:val="000000"/>
                <w:sz w:val="22"/>
                <w:szCs w:val="22"/>
              </w:rPr>
              <w:t>Precious Stones</w:t>
            </w:r>
          </w:p>
        </w:tc>
        <w:tc>
          <w:tcPr>
            <w:tcW w:w="2640" w:type="dxa"/>
            <w:vAlign w:val="center"/>
          </w:tcPr>
          <w:p w14:paraId="375AB1D9"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18"/>
                <w:szCs w:val="18"/>
              </w:rPr>
            </w:pPr>
            <w:r>
              <w:rPr>
                <w:color w:val="000000"/>
                <w:sz w:val="22"/>
                <w:szCs w:val="22"/>
              </w:rPr>
              <w:t>Machinery &amp; Construction</w:t>
            </w:r>
          </w:p>
        </w:tc>
      </w:tr>
      <w:tr w:rsidR="009B7827" w14:paraId="0162CA25" w14:textId="77777777" w:rsidTr="009B78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320A250D" w14:textId="77777777" w:rsidR="009B7827" w:rsidRDefault="00000000">
            <w:pPr>
              <w:jc w:val="both"/>
              <w:rPr>
                <w:sz w:val="20"/>
                <w:szCs w:val="20"/>
              </w:rPr>
            </w:pPr>
            <w:r>
              <w:rPr>
                <w:b w:val="0"/>
                <w:sz w:val="20"/>
                <w:szCs w:val="20"/>
              </w:rPr>
              <w:t>3</w:t>
            </w:r>
          </w:p>
        </w:tc>
        <w:tc>
          <w:tcPr>
            <w:tcW w:w="2625" w:type="dxa"/>
            <w:vAlign w:val="center"/>
          </w:tcPr>
          <w:p w14:paraId="4A3C3B9D"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High-complexity Products</w:t>
            </w:r>
          </w:p>
        </w:tc>
        <w:tc>
          <w:tcPr>
            <w:tcW w:w="2580" w:type="dxa"/>
            <w:vAlign w:val="center"/>
          </w:tcPr>
          <w:p w14:paraId="03C7D25A"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Machinery &amp; Construction</w:t>
            </w:r>
          </w:p>
        </w:tc>
        <w:tc>
          <w:tcPr>
            <w:tcW w:w="2640" w:type="dxa"/>
            <w:vAlign w:val="center"/>
          </w:tcPr>
          <w:p w14:paraId="23DD71C8"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Energy Drilling &amp; Mining</w:t>
            </w:r>
          </w:p>
        </w:tc>
      </w:tr>
      <w:tr w:rsidR="009B7827" w14:paraId="3794EE84" w14:textId="77777777" w:rsidTr="009B7827">
        <w:trPr>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45F1A1AB" w14:textId="77777777" w:rsidR="009B7827" w:rsidRDefault="00000000">
            <w:pPr>
              <w:jc w:val="both"/>
              <w:rPr>
                <w:sz w:val="20"/>
                <w:szCs w:val="20"/>
              </w:rPr>
            </w:pPr>
            <w:r>
              <w:rPr>
                <w:b w:val="0"/>
                <w:sz w:val="20"/>
                <w:szCs w:val="20"/>
              </w:rPr>
              <w:t>4</w:t>
            </w:r>
          </w:p>
        </w:tc>
        <w:tc>
          <w:tcPr>
            <w:tcW w:w="2625" w:type="dxa"/>
            <w:vAlign w:val="center"/>
          </w:tcPr>
          <w:p w14:paraId="61D3E7C0"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Wood Products</w:t>
            </w:r>
          </w:p>
        </w:tc>
        <w:tc>
          <w:tcPr>
            <w:tcW w:w="2580" w:type="dxa"/>
            <w:vAlign w:val="center"/>
          </w:tcPr>
          <w:p w14:paraId="196E92C2"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18"/>
                <w:szCs w:val="18"/>
              </w:rPr>
            </w:pPr>
            <w:r>
              <w:rPr>
                <w:color w:val="000000"/>
                <w:sz w:val="22"/>
                <w:szCs w:val="22"/>
              </w:rPr>
              <w:t>High-complexity Products</w:t>
            </w:r>
          </w:p>
        </w:tc>
        <w:tc>
          <w:tcPr>
            <w:tcW w:w="2640" w:type="dxa"/>
            <w:vAlign w:val="center"/>
          </w:tcPr>
          <w:p w14:paraId="4200E66E"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sz w:val="18"/>
                <w:szCs w:val="18"/>
              </w:rPr>
            </w:pPr>
            <w:r>
              <w:rPr>
                <w:color w:val="000000"/>
                <w:sz w:val="22"/>
                <w:szCs w:val="22"/>
              </w:rPr>
              <w:t>Metals</w:t>
            </w:r>
          </w:p>
        </w:tc>
      </w:tr>
      <w:tr w:rsidR="009B7827" w14:paraId="7CF5A55A" w14:textId="77777777" w:rsidTr="009B78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0" w:type="dxa"/>
            <w:vAlign w:val="center"/>
          </w:tcPr>
          <w:p w14:paraId="678F0EA6" w14:textId="77777777" w:rsidR="009B7827" w:rsidRDefault="00000000">
            <w:pPr>
              <w:jc w:val="both"/>
              <w:rPr>
                <w:sz w:val="20"/>
                <w:szCs w:val="20"/>
              </w:rPr>
            </w:pPr>
            <w:r>
              <w:rPr>
                <w:b w:val="0"/>
                <w:sz w:val="20"/>
                <w:szCs w:val="20"/>
              </w:rPr>
              <w:t>5</w:t>
            </w:r>
          </w:p>
        </w:tc>
        <w:tc>
          <w:tcPr>
            <w:tcW w:w="2625" w:type="dxa"/>
            <w:vAlign w:val="center"/>
          </w:tcPr>
          <w:p w14:paraId="7631E831"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Textile</w:t>
            </w:r>
          </w:p>
        </w:tc>
        <w:tc>
          <w:tcPr>
            <w:tcW w:w="2580" w:type="dxa"/>
            <w:vAlign w:val="center"/>
          </w:tcPr>
          <w:p w14:paraId="73A5A399"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Transportation</w:t>
            </w:r>
          </w:p>
        </w:tc>
        <w:tc>
          <w:tcPr>
            <w:tcW w:w="2640" w:type="dxa"/>
            <w:vAlign w:val="center"/>
          </w:tcPr>
          <w:p w14:paraId="348211E7"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sz w:val="18"/>
                <w:szCs w:val="18"/>
              </w:rPr>
            </w:pPr>
            <w:r>
              <w:rPr>
                <w:color w:val="000000"/>
                <w:sz w:val="22"/>
                <w:szCs w:val="22"/>
              </w:rPr>
              <w:t>Vegetables, Fruits &amp; Plants</w:t>
            </w:r>
          </w:p>
        </w:tc>
      </w:tr>
    </w:tbl>
    <w:p w14:paraId="76D5771C" w14:textId="77777777" w:rsidR="009B7827" w:rsidRDefault="00000000">
      <w:pPr>
        <w:jc w:val="center"/>
      </w:pPr>
      <w:r>
        <w:rPr>
          <w:sz w:val="22"/>
          <w:szCs w:val="22"/>
        </w:rPr>
        <w:t>Table 4a. RID Comparison across Leading Economies (2022)</w:t>
      </w:r>
    </w:p>
    <w:p w14:paraId="76477251" w14:textId="77777777" w:rsidR="009B7827" w:rsidRDefault="009B7827">
      <w:pPr>
        <w:jc w:val="center"/>
        <w:rPr>
          <w:sz w:val="22"/>
          <w:szCs w:val="22"/>
        </w:rPr>
      </w:pPr>
    </w:p>
    <w:p w14:paraId="2DF98516" w14:textId="4EBEB285" w:rsidR="009B7827" w:rsidRDefault="00000000">
      <w:pPr>
        <w:jc w:val="both"/>
      </w:pPr>
      <w:r>
        <w:t xml:space="preserve">Table 4b further examines </w:t>
      </w:r>
      <w:r w:rsidR="00BD4111">
        <w:t>Tunisia</w:t>
      </w:r>
      <w:r>
        <w:t xml:space="preserve">’s development strategy against those of emerging economies on a global scale. Reasonably, emerging economies such as China and Singapore have devoted </w:t>
      </w:r>
      <w:proofErr w:type="gramStart"/>
      <w:r>
        <w:t>the majority of</w:t>
      </w:r>
      <w:proofErr w:type="gramEnd"/>
      <w:r>
        <w:t xml:space="preserve"> their efforts to intermediate industry groups, showing moderate shifts in strategies over the course of three years.</w:t>
      </w:r>
    </w:p>
    <w:p w14:paraId="587379FA" w14:textId="77777777" w:rsidR="009B7827" w:rsidRDefault="009B7827">
      <w:pPr>
        <w:jc w:val="both"/>
      </w:pPr>
    </w:p>
    <w:tbl>
      <w:tblPr>
        <w:tblStyle w:val="a4"/>
        <w:tblW w:w="6515" w:type="dxa"/>
        <w:jc w:val="center"/>
        <w:tblLayout w:type="fixed"/>
        <w:tblLook w:val="04A0" w:firstRow="1" w:lastRow="0" w:firstColumn="1" w:lastColumn="0" w:noHBand="0" w:noVBand="1"/>
      </w:tblPr>
      <w:tblGrid>
        <w:gridCol w:w="1121"/>
        <w:gridCol w:w="2842"/>
        <w:gridCol w:w="2552"/>
      </w:tblGrid>
      <w:tr w:rsidR="009B7827" w14:paraId="1EEB5B18" w14:textId="77777777" w:rsidTr="009B7827">
        <w:trPr>
          <w:cnfStyle w:val="100000000000" w:firstRow="1" w:lastRow="0" w:firstColumn="0" w:lastColumn="0" w:oddVBand="0" w:evenVBand="0" w:oddHBand="0" w:evenHBand="0" w:firstRowFirstColumn="0" w:firstRowLastColumn="0" w:lastRowFirstColumn="0" w:lastRowLastColumn="0"/>
          <w:trHeight w:val="135"/>
          <w:jc w:val="center"/>
        </w:trPr>
        <w:tc>
          <w:tcPr>
            <w:cnfStyle w:val="001000000000" w:firstRow="0" w:lastRow="0" w:firstColumn="1" w:lastColumn="0" w:oddVBand="0" w:evenVBand="0" w:oddHBand="0" w:evenHBand="0" w:firstRowFirstColumn="0" w:firstRowLastColumn="0" w:lastRowFirstColumn="0" w:lastRowLastColumn="0"/>
            <w:tcW w:w="1122" w:type="dxa"/>
          </w:tcPr>
          <w:p w14:paraId="611B559E" w14:textId="77777777" w:rsidR="009B7827" w:rsidRDefault="00000000">
            <w:pPr>
              <w:jc w:val="both"/>
            </w:pPr>
            <w:r>
              <w:t>Ranking</w:t>
            </w:r>
          </w:p>
        </w:tc>
        <w:tc>
          <w:tcPr>
            <w:tcW w:w="2842" w:type="dxa"/>
          </w:tcPr>
          <w:p w14:paraId="70B07A84"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t>China</w:t>
            </w:r>
          </w:p>
        </w:tc>
        <w:tc>
          <w:tcPr>
            <w:tcW w:w="2552" w:type="dxa"/>
          </w:tcPr>
          <w:p w14:paraId="3D591E47" w14:textId="77777777" w:rsidR="009B7827" w:rsidRDefault="00000000">
            <w:pPr>
              <w:jc w:val="both"/>
              <w:cnfStyle w:val="100000000000" w:firstRow="1" w:lastRow="0" w:firstColumn="0" w:lastColumn="0" w:oddVBand="0" w:evenVBand="0" w:oddHBand="0" w:evenHBand="0" w:firstRowFirstColumn="0" w:firstRowLastColumn="0" w:lastRowFirstColumn="0" w:lastRowLastColumn="0"/>
            </w:pPr>
            <w:r>
              <w:t>Singapore</w:t>
            </w:r>
          </w:p>
        </w:tc>
      </w:tr>
      <w:tr w:rsidR="009B7827" w14:paraId="1536EBE5" w14:textId="77777777" w:rsidTr="009B7827">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122" w:type="dxa"/>
          </w:tcPr>
          <w:p w14:paraId="46125E44" w14:textId="77777777" w:rsidR="009B7827" w:rsidRDefault="00000000">
            <w:pPr>
              <w:jc w:val="both"/>
              <w:rPr>
                <w:sz w:val="20"/>
                <w:szCs w:val="20"/>
              </w:rPr>
            </w:pPr>
            <w:r>
              <w:rPr>
                <w:b w:val="0"/>
                <w:sz w:val="20"/>
                <w:szCs w:val="20"/>
              </w:rPr>
              <w:t>1</w:t>
            </w:r>
          </w:p>
        </w:tc>
        <w:tc>
          <w:tcPr>
            <w:tcW w:w="2842" w:type="dxa"/>
            <w:vAlign w:val="bottom"/>
          </w:tcPr>
          <w:p w14:paraId="49B73989"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Weapons</w:t>
            </w:r>
          </w:p>
        </w:tc>
        <w:tc>
          <w:tcPr>
            <w:tcW w:w="2552" w:type="dxa"/>
            <w:vAlign w:val="bottom"/>
          </w:tcPr>
          <w:p w14:paraId="152706A7"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Energy Drilling &amp; Mining</w:t>
            </w:r>
          </w:p>
        </w:tc>
      </w:tr>
      <w:tr w:rsidR="009B7827" w14:paraId="641BA84C" w14:textId="77777777" w:rsidTr="009B7827">
        <w:trPr>
          <w:trHeight w:val="275"/>
          <w:jc w:val="center"/>
        </w:trPr>
        <w:tc>
          <w:tcPr>
            <w:cnfStyle w:val="001000000000" w:firstRow="0" w:lastRow="0" w:firstColumn="1" w:lastColumn="0" w:oddVBand="0" w:evenVBand="0" w:oddHBand="0" w:evenHBand="0" w:firstRowFirstColumn="0" w:firstRowLastColumn="0" w:lastRowFirstColumn="0" w:lastRowLastColumn="0"/>
            <w:tcW w:w="1122" w:type="dxa"/>
            <w:shd w:val="clear" w:color="auto" w:fill="FFFFFF"/>
          </w:tcPr>
          <w:p w14:paraId="77045EA5" w14:textId="77777777" w:rsidR="009B7827" w:rsidRDefault="00000000">
            <w:pPr>
              <w:jc w:val="both"/>
              <w:rPr>
                <w:sz w:val="20"/>
                <w:szCs w:val="20"/>
              </w:rPr>
            </w:pPr>
            <w:r>
              <w:rPr>
                <w:b w:val="0"/>
                <w:sz w:val="20"/>
                <w:szCs w:val="20"/>
              </w:rPr>
              <w:t>2</w:t>
            </w:r>
          </w:p>
        </w:tc>
        <w:tc>
          <w:tcPr>
            <w:tcW w:w="2842" w:type="dxa"/>
            <w:vAlign w:val="bottom"/>
          </w:tcPr>
          <w:p w14:paraId="7DAFD174"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Machinery &amp; Construction</w:t>
            </w:r>
          </w:p>
        </w:tc>
        <w:tc>
          <w:tcPr>
            <w:tcW w:w="2552" w:type="dxa"/>
            <w:vAlign w:val="bottom"/>
          </w:tcPr>
          <w:p w14:paraId="5D035689"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Weapons</w:t>
            </w:r>
          </w:p>
        </w:tc>
      </w:tr>
      <w:tr w:rsidR="009B7827" w14:paraId="5A7AF7DC" w14:textId="77777777" w:rsidTr="009B7827">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122" w:type="dxa"/>
          </w:tcPr>
          <w:p w14:paraId="14146658" w14:textId="77777777" w:rsidR="009B7827" w:rsidRDefault="00000000">
            <w:pPr>
              <w:jc w:val="both"/>
              <w:rPr>
                <w:sz w:val="20"/>
                <w:szCs w:val="20"/>
              </w:rPr>
            </w:pPr>
            <w:r>
              <w:rPr>
                <w:b w:val="0"/>
                <w:sz w:val="20"/>
                <w:szCs w:val="20"/>
              </w:rPr>
              <w:t>3</w:t>
            </w:r>
          </w:p>
        </w:tc>
        <w:tc>
          <w:tcPr>
            <w:tcW w:w="2842" w:type="dxa"/>
            <w:vAlign w:val="bottom"/>
          </w:tcPr>
          <w:p w14:paraId="6DA705AC"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Chemicals</w:t>
            </w:r>
          </w:p>
        </w:tc>
        <w:tc>
          <w:tcPr>
            <w:tcW w:w="2552" w:type="dxa"/>
            <w:vAlign w:val="bottom"/>
          </w:tcPr>
          <w:p w14:paraId="3B91912B"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Textile</w:t>
            </w:r>
          </w:p>
        </w:tc>
      </w:tr>
      <w:tr w:rsidR="009B7827" w14:paraId="1D69E616" w14:textId="77777777" w:rsidTr="009B7827">
        <w:trPr>
          <w:trHeight w:val="60"/>
          <w:jc w:val="center"/>
        </w:trPr>
        <w:tc>
          <w:tcPr>
            <w:cnfStyle w:val="001000000000" w:firstRow="0" w:lastRow="0" w:firstColumn="1" w:lastColumn="0" w:oddVBand="0" w:evenVBand="0" w:oddHBand="0" w:evenHBand="0" w:firstRowFirstColumn="0" w:firstRowLastColumn="0" w:lastRowFirstColumn="0" w:lastRowLastColumn="0"/>
            <w:tcW w:w="1122" w:type="dxa"/>
          </w:tcPr>
          <w:p w14:paraId="3A839993" w14:textId="77777777" w:rsidR="009B7827" w:rsidRDefault="00000000">
            <w:pPr>
              <w:jc w:val="both"/>
              <w:rPr>
                <w:sz w:val="20"/>
                <w:szCs w:val="20"/>
              </w:rPr>
            </w:pPr>
            <w:r>
              <w:rPr>
                <w:b w:val="0"/>
                <w:sz w:val="20"/>
                <w:szCs w:val="20"/>
              </w:rPr>
              <w:t>4</w:t>
            </w:r>
          </w:p>
        </w:tc>
        <w:tc>
          <w:tcPr>
            <w:tcW w:w="2842" w:type="dxa"/>
            <w:vAlign w:val="bottom"/>
          </w:tcPr>
          <w:p w14:paraId="65A77065"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Raw Manufacturing</w:t>
            </w:r>
          </w:p>
        </w:tc>
        <w:tc>
          <w:tcPr>
            <w:tcW w:w="2552" w:type="dxa"/>
            <w:vAlign w:val="bottom"/>
          </w:tcPr>
          <w:p w14:paraId="638FC448" w14:textId="77777777" w:rsidR="009B7827" w:rsidRDefault="00000000">
            <w:pPr>
              <w:jc w:val="both"/>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High-complexity Products</w:t>
            </w:r>
          </w:p>
        </w:tc>
      </w:tr>
      <w:tr w:rsidR="009B7827" w14:paraId="7F237F41" w14:textId="77777777" w:rsidTr="009B78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02AC8B00" w14:textId="77777777" w:rsidR="009B7827" w:rsidRDefault="00000000">
            <w:pPr>
              <w:jc w:val="both"/>
              <w:rPr>
                <w:sz w:val="20"/>
                <w:szCs w:val="20"/>
              </w:rPr>
            </w:pPr>
            <w:r>
              <w:rPr>
                <w:b w:val="0"/>
                <w:sz w:val="20"/>
                <w:szCs w:val="20"/>
              </w:rPr>
              <w:t>5</w:t>
            </w:r>
          </w:p>
        </w:tc>
        <w:tc>
          <w:tcPr>
            <w:tcW w:w="2842" w:type="dxa"/>
            <w:vAlign w:val="bottom"/>
          </w:tcPr>
          <w:p w14:paraId="305D2A89"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Clothing &amp; Accessories</w:t>
            </w:r>
          </w:p>
        </w:tc>
        <w:tc>
          <w:tcPr>
            <w:tcW w:w="2552" w:type="dxa"/>
            <w:vAlign w:val="bottom"/>
          </w:tcPr>
          <w:p w14:paraId="013591B5" w14:textId="77777777" w:rsidR="009B7827" w:rsidRDefault="00000000">
            <w:pPr>
              <w:jc w:val="both"/>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Animals &amp; By-products</w:t>
            </w:r>
          </w:p>
        </w:tc>
      </w:tr>
    </w:tbl>
    <w:p w14:paraId="0FD5CACB" w14:textId="77777777" w:rsidR="009B7827" w:rsidRDefault="00000000">
      <w:pPr>
        <w:jc w:val="center"/>
      </w:pPr>
      <w:r>
        <w:rPr>
          <w:sz w:val="22"/>
          <w:szCs w:val="22"/>
        </w:rPr>
        <w:t>Table 4b. RID Comparison across Emerging Economies (2022)</w:t>
      </w:r>
    </w:p>
    <w:p w14:paraId="17D17516" w14:textId="77777777" w:rsidR="009B7827" w:rsidRDefault="009B7827">
      <w:pPr>
        <w:jc w:val="both"/>
        <w:rPr>
          <w:rFonts w:ascii="Times" w:eastAsia="Times" w:hAnsi="Times" w:cs="Times"/>
          <w:b/>
          <w:sz w:val="28"/>
          <w:szCs w:val="28"/>
        </w:rPr>
      </w:pPr>
    </w:p>
    <w:p w14:paraId="59858E54" w14:textId="77777777" w:rsidR="009B7827" w:rsidRDefault="00000000">
      <w:pPr>
        <w:jc w:val="both"/>
        <w:rPr>
          <w:rFonts w:ascii="Times" w:eastAsia="Times" w:hAnsi="Times" w:cs="Times"/>
          <w:b/>
          <w:sz w:val="28"/>
          <w:szCs w:val="28"/>
        </w:rPr>
      </w:pPr>
      <w:r>
        <w:rPr>
          <w:rFonts w:ascii="Times" w:eastAsia="Times" w:hAnsi="Times" w:cs="Times"/>
          <w:b/>
          <w:sz w:val="28"/>
          <w:szCs w:val="28"/>
        </w:rPr>
        <w:t>4. Product Space Design</w:t>
      </w:r>
    </w:p>
    <w:p w14:paraId="73B21556" w14:textId="77777777" w:rsidR="009B7827" w:rsidRDefault="009B7827">
      <w:pPr>
        <w:jc w:val="both"/>
        <w:rPr>
          <w:rFonts w:ascii="Times" w:eastAsia="Times" w:hAnsi="Times" w:cs="Times"/>
          <w:b/>
          <w:sz w:val="28"/>
          <w:szCs w:val="28"/>
        </w:rPr>
      </w:pPr>
    </w:p>
    <w:p w14:paraId="11E988DE" w14:textId="77777777" w:rsidR="009B7827" w:rsidRDefault="00000000">
      <w:pPr>
        <w:jc w:val="both"/>
        <w:rPr>
          <w:b/>
        </w:rPr>
      </w:pPr>
      <w:r>
        <w:rPr>
          <w:b/>
        </w:rPr>
        <w:t>4.1 Suggested Development Vector</w:t>
      </w:r>
    </w:p>
    <w:p w14:paraId="47347375" w14:textId="77777777" w:rsidR="009B7827" w:rsidRDefault="00000000">
      <w:pPr>
        <w:jc w:val="both"/>
        <w:rPr>
          <w:sz w:val="22"/>
          <w:szCs w:val="22"/>
        </w:rPr>
      </w:pPr>
      <w: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w:t>
      </w:r>
      <w:proofErr w:type="gramStart"/>
      <w:r>
        <w:t>opening up</w:t>
      </w:r>
      <w:proofErr w:type="gramEnd"/>
      <w:r>
        <w:t xml:space="preserve">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14:paraId="423E1BEE" w14:textId="23C3133B" w:rsidR="009B7827" w:rsidRDefault="00AD29E9">
      <w:pPr>
        <w:jc w:val="both"/>
      </w:pPr>
      <w:r>
        <w:rPr>
          <w:noProof/>
        </w:rPr>
        <w:lastRenderedPageBreak/>
        <w:drawing>
          <wp:inline distT="0" distB="0" distL="0" distR="0" wp14:anchorId="558E5FEC" wp14:editId="44FFC8B1">
            <wp:extent cx="5727700" cy="2847975"/>
            <wp:effectExtent l="0" t="0" r="0" b="0"/>
            <wp:docPr id="819272438" name="Picture 4" descr="A blue and white char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2438" name="Picture 4" descr="A blue and white chart with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27700" cy="2847975"/>
                    </a:xfrm>
                    <a:prstGeom prst="rect">
                      <a:avLst/>
                    </a:prstGeom>
                  </pic:spPr>
                </pic:pic>
              </a:graphicData>
            </a:graphic>
          </wp:inline>
        </w:drawing>
      </w:r>
    </w:p>
    <w:p w14:paraId="63C25DCA" w14:textId="77777777" w:rsidR="009B7827" w:rsidRDefault="00000000">
      <w:pPr>
        <w:jc w:val="center"/>
      </w:pPr>
      <w:r>
        <w:rPr>
          <w:sz w:val="22"/>
          <w:szCs w:val="22"/>
        </w:rPr>
        <w:t>Table 5. Opportunity Gain Ranking on a Comparable Scale (2022)</w:t>
      </w:r>
    </w:p>
    <w:p w14:paraId="3294F08A" w14:textId="77777777" w:rsidR="009B7827" w:rsidRDefault="009B7827">
      <w:pPr>
        <w:jc w:val="center"/>
      </w:pPr>
    </w:p>
    <w:p w14:paraId="16DCB607" w14:textId="0976C193" w:rsidR="009B7827" w:rsidRDefault="00000000">
      <w:pPr>
        <w:jc w:val="both"/>
      </w:pPr>
      <w:r>
        <w:t>We define the ranking of opportunity gain for a country c, as the Suggested Development Vector (SDV) of c. Table 5 summarize</w:t>
      </w:r>
      <w:r w:rsidR="00E219E8">
        <w:t>s</w:t>
      </w:r>
      <w:r>
        <w:t xml:space="preserve"> how the SDV of </w:t>
      </w:r>
      <w:r w:rsidR="00BD4111">
        <w:t>Tunisia</w:t>
      </w:r>
      <w:r>
        <w:t xml:space="preserve"> compares with a selected group of comparable and leading economies in the world, with the industry groups ranked in decreasing order of significance. </w:t>
      </w:r>
    </w:p>
    <w:p w14:paraId="2C3FE07E" w14:textId="77777777" w:rsidR="009B7827" w:rsidRDefault="009B7827">
      <w:pPr>
        <w:jc w:val="both"/>
      </w:pPr>
    </w:p>
    <w:p w14:paraId="29941339" w14:textId="26E7D791" w:rsidR="009B7827" w:rsidRDefault="00000000">
      <w:pPr>
        <w:jc w:val="both"/>
      </w:pPr>
      <w:r>
        <w:t>Dark blue indicates positive opportunity gains, light blue indicates zero opportunity gains, and white indicates negative opportunity gains. The result shows that leading countries barely have any industries with positive opportunity gain. In other words, those countries a</w:t>
      </w:r>
      <w:r w:rsidR="00E219E8">
        <w:t>lready have the most stable and efficient economic structures</w:t>
      </w:r>
      <w:r>
        <w:t xml:space="preserv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w:t>
      </w:r>
      <w:r w:rsidR="00BD4111">
        <w:t>Tunisia</w:t>
      </w:r>
      <w:r>
        <w:t xml:space="preserve"> shares the characteristics of developing countries, with a balanced economic structure that leans towards more complex industries. Although it’s ECI has increased over the past four years, there remains significant room for improvement. </w:t>
      </w:r>
    </w:p>
    <w:p w14:paraId="30B23631" w14:textId="77777777" w:rsidR="009B7827" w:rsidRDefault="00000000">
      <w:pPr>
        <w:jc w:val="both"/>
      </w:pPr>
      <w:r>
        <w:rPr>
          <w:noProof/>
        </w:rPr>
        <w:drawing>
          <wp:inline distT="114300" distB="114300" distL="114300" distR="114300" wp14:anchorId="6F3B6040" wp14:editId="53E859F8">
            <wp:extent cx="5731200" cy="22733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5731200" cy="2273300"/>
                    </a:xfrm>
                    <a:prstGeom prst="rect">
                      <a:avLst/>
                    </a:prstGeom>
                    <a:ln/>
                  </pic:spPr>
                </pic:pic>
              </a:graphicData>
            </a:graphic>
          </wp:inline>
        </w:drawing>
      </w:r>
    </w:p>
    <w:p w14:paraId="3FD5D064" w14:textId="77777777" w:rsidR="009B7827" w:rsidRDefault="00000000">
      <w:pPr>
        <w:jc w:val="center"/>
      </w:pPr>
      <w:r>
        <w:rPr>
          <w:sz w:val="22"/>
          <w:szCs w:val="22"/>
        </w:rPr>
        <w:t>Table 6. SDV of Other Sample Countries (2013)</w:t>
      </w:r>
    </w:p>
    <w:p w14:paraId="08A856F6" w14:textId="77777777" w:rsidR="009B7827" w:rsidRDefault="009B7827"/>
    <w:p w14:paraId="3D1CCB8C" w14:textId="77777777" w:rsidR="009B7827" w:rsidRDefault="009B7827">
      <w:pPr>
        <w:jc w:val="both"/>
        <w:rPr>
          <w:b/>
        </w:rPr>
      </w:pPr>
    </w:p>
    <w:p w14:paraId="14B98BD5" w14:textId="77777777" w:rsidR="009B7827" w:rsidRDefault="009B7827">
      <w:pPr>
        <w:jc w:val="both"/>
        <w:rPr>
          <w:b/>
        </w:rPr>
      </w:pPr>
    </w:p>
    <w:p w14:paraId="2D363948" w14:textId="77777777" w:rsidR="009B7827" w:rsidRDefault="00000000">
      <w:pPr>
        <w:jc w:val="both"/>
      </w:pPr>
      <w:r>
        <w:rPr>
          <w:b/>
        </w:rPr>
        <w:t>4.2 Budgeted Industry Development Strategy and Interpretation</w:t>
      </w:r>
    </w:p>
    <w:p w14:paraId="14403CE6" w14:textId="77777777" w:rsidR="009B7827" w:rsidRDefault="00000000">
      <w:pPr>
        <w:jc w:val="both"/>
      </w:pPr>
      <w:r>
        <w:t xml:space="preserve">The optimal budgeted industry development strategy aims to solve the most efficient allocations under the budgeted constraint of different situations of heuristic total export growth. </w:t>
      </w:r>
      <w:proofErr w:type="gramStart"/>
      <w:r>
        <w:t>In order to</w:t>
      </w:r>
      <w:proofErr w:type="gramEnd"/>
      <w:r>
        <w:t xml:space="preserve"> obtain such an allocation portfolio, we formulate an optimization problem as the following:</w:t>
      </w:r>
    </w:p>
    <w:p w14:paraId="7F6D10CD" w14:textId="77777777" w:rsidR="009B7827" w:rsidRDefault="009B7827">
      <w:pPr>
        <w:jc w:val="both"/>
      </w:pPr>
    </w:p>
    <w:p w14:paraId="162A9318" w14:textId="77777777" w:rsidR="009B7827" w:rsidRDefault="00000000">
      <w:pPr>
        <w:jc w:val="center"/>
        <w:rPr>
          <w:i/>
          <w:color w:val="444499"/>
          <w:sz w:val="20"/>
          <w:szCs w:val="20"/>
        </w:rPr>
      </w:pPr>
      <w:r>
        <w:rPr>
          <w:noProof/>
        </w:rPr>
        <w:drawing>
          <wp:inline distT="114300" distB="114300" distL="114300" distR="114300" wp14:anchorId="13D051BE" wp14:editId="39DCA6E9">
            <wp:extent cx="2528888" cy="1141284"/>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528888" cy="1141284"/>
                    </a:xfrm>
                    <a:prstGeom prst="rect">
                      <a:avLst/>
                    </a:prstGeom>
                    <a:ln/>
                  </pic:spPr>
                </pic:pic>
              </a:graphicData>
            </a:graphic>
          </wp:inline>
        </w:drawing>
      </w:r>
    </w:p>
    <w:p w14:paraId="7A59B48A" w14:textId="77777777" w:rsidR="009B7827" w:rsidRDefault="009B7827">
      <w:pPr>
        <w:jc w:val="center"/>
      </w:pPr>
    </w:p>
    <w:p w14:paraId="5E701482" w14:textId="77777777" w:rsidR="009B7827" w:rsidRDefault="00000000">
      <w:pPr>
        <w:jc w:val="both"/>
      </w:pPr>
      <w:r>
        <w:t xml:space="preserve">where k(x) is the second largest eigenvector of </w:t>
      </w:r>
      <m:oMath>
        <m:sSub>
          <m:sSubPr>
            <m:ctrlPr>
              <w:rPr>
                <w:rFonts w:ascii="Cambria Math" w:hAnsi="Cambria Math"/>
              </w:rPr>
            </m:ctrlPr>
          </m:sSubPr>
          <m:e>
            <m:r>
              <w:rPr>
                <w:rFonts w:ascii="Cambria Math" w:hAnsi="Cambria Math"/>
              </w:rPr>
              <m:t>M</m:t>
            </m:r>
          </m:e>
          <m:sub>
            <m:r>
              <w:rPr>
                <w:rFonts w:ascii="Cambria Math" w:hAnsi="Cambria Math"/>
              </w:rPr>
              <m:t>CC'</m:t>
            </m:r>
          </m:sub>
        </m:sSub>
      </m:oMath>
      <w:r>
        <w:t xml:space="preserve"> after adding </w:t>
      </w:r>
      <m:oMath>
        <m:r>
          <w:rPr>
            <w:rFonts w:ascii="Cambria Math" w:hAnsi="Cambria Math"/>
          </w:rPr>
          <m:t>x</m:t>
        </m:r>
      </m:oMath>
      <w:r>
        <w:t xml:space="preserve"> to the original export vector, </w:t>
      </w:r>
      <w:r>
        <w:rPr>
          <w:i/>
        </w:rPr>
        <w:t>C</w:t>
      </w:r>
      <w:r>
        <w:t xml:space="preserve"> is the country that we are interested in, </w:t>
      </w:r>
      <w:r>
        <w:rPr>
          <w:i/>
        </w:rPr>
        <w:t>P</w:t>
      </w:r>
      <w:r>
        <w:t xml:space="preserve"> is the product space, </w:t>
      </w:r>
      <w:r>
        <w:rPr>
          <w:i/>
        </w:rPr>
        <w:t>B</w:t>
      </w:r>
      <w:r>
        <w:t xml:space="preserve"> is the heuristic budget. </w:t>
      </w:r>
    </w:p>
    <w:p w14:paraId="0CCF9B2B" w14:textId="77777777" w:rsidR="009B7827" w:rsidRDefault="00000000">
      <w:pPr>
        <w:jc w:val="both"/>
      </w:pPr>
      <w:r>
        <w:t xml:space="preserve"> </w:t>
      </w:r>
    </w:p>
    <w:p w14:paraId="13806F3B" w14:textId="1EA68140" w:rsidR="009B7827" w:rsidRDefault="00000000">
      <w:pPr>
        <w:jc w:val="both"/>
      </w:pPr>
      <w:r>
        <w:t xml:space="preserve">If we can solve this problem, </w:t>
      </w:r>
      <w:r w:rsidR="00E9488C">
        <w:t>we can know the largest ECI</w:t>
      </w:r>
      <w:r>
        <w:t xml:space="preserve"> a country can improve. Accordingly, the optimal solution </w:t>
      </w:r>
      <m:oMath>
        <m:r>
          <w:rPr>
            <w:rFonts w:ascii="Cambria Math" w:hAnsi="Cambria Math"/>
          </w:rPr>
          <m:t>x*</m:t>
        </m:r>
      </m:oMath>
      <w:r>
        <w:t xml:space="preserve"> that we obtain here is exactly our optimal allocation. However, the biggest problem is that the objective function is not convex. Therefore, we cannot apply the classical tools for convex optimization to this problem. </w:t>
      </w:r>
      <w:proofErr w:type="gramStart"/>
      <w:r>
        <w:t>In order to</w:t>
      </w:r>
      <w:proofErr w:type="gramEnd"/>
      <w:r>
        <w:t xml:space="preserve">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w:rFonts w:ascii="Cambria Math" w:hAnsi="Cambria Math"/>
          </w:rPr>
          <m:t>p∈P</m:t>
        </m:r>
      </m:oMath>
      <w: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14:paraId="4137DD29" w14:textId="77777777" w:rsidR="009B7827" w:rsidRDefault="00000000">
      <w:pPr>
        <w:jc w:val="both"/>
      </w:pPr>
      <w:r>
        <w:t xml:space="preserve"> </w:t>
      </w:r>
    </w:p>
    <w:p w14:paraId="172C469D" w14:textId="77777777" w:rsidR="009B7827" w:rsidRDefault="00000000">
      <w:pPr>
        <w:jc w:val="both"/>
      </w:pPr>
      <w:r>
        <w:t>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14:paraId="189DAAE9" w14:textId="77777777" w:rsidR="009B7827" w:rsidRDefault="00000000">
      <w:pPr>
        <w:jc w:val="center"/>
        <w:rPr>
          <w:i/>
          <w:color w:val="444499"/>
          <w:sz w:val="20"/>
          <w:szCs w:val="20"/>
        </w:rPr>
      </w:pPr>
      <w:r>
        <w:rPr>
          <w:noProof/>
        </w:rPr>
        <w:drawing>
          <wp:inline distT="114300" distB="114300" distL="114300" distR="114300" wp14:anchorId="60FC1E05" wp14:editId="43189CCD">
            <wp:extent cx="2138363" cy="71863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138363" cy="718630"/>
                    </a:xfrm>
                    <a:prstGeom prst="rect">
                      <a:avLst/>
                    </a:prstGeom>
                    <a:ln/>
                  </pic:spPr>
                </pic:pic>
              </a:graphicData>
            </a:graphic>
          </wp:inline>
        </w:drawing>
      </w:r>
    </w:p>
    <w:p w14:paraId="73B2771F" w14:textId="77777777" w:rsidR="009B7827" w:rsidRDefault="00000000">
      <w:pPr>
        <w:jc w:val="both"/>
      </w:pPr>
      <w:r>
        <w:t xml:space="preserve">where </w:t>
      </w:r>
      <m:oMath>
        <m:sSub>
          <m:sSubPr>
            <m:ctrlPr>
              <w:rPr>
                <w:rFonts w:ascii="Cambria Math" w:hAnsi="Cambria Math"/>
              </w:rPr>
            </m:ctrlPr>
          </m:sSubPr>
          <m:e>
            <m:r>
              <w:rPr>
                <w:rFonts w:ascii="Cambria Math" w:hAnsi="Cambria Math"/>
              </w:rPr>
              <m:t>ECI</m:t>
            </m:r>
          </m:e>
          <m:sub>
            <m:r>
              <w:rPr>
                <w:rFonts w:ascii="Cambria Math" w:hAnsi="Cambria Math"/>
              </w:rPr>
              <m:t>p</m:t>
            </m:r>
          </m:sub>
        </m:sSub>
      </m:oMath>
      <w:r>
        <w:t xml:space="preserve"> is just the ECI of the country after adding some amount of export increment to product </w:t>
      </w:r>
      <m:oMath>
        <m:r>
          <w:rPr>
            <w:rFonts w:ascii="Cambria Math" w:hAnsi="Cambria Math"/>
          </w:rPr>
          <m:t>p</m:t>
        </m:r>
      </m:oMath>
      <w:r>
        <w:t xml:space="preserve">, which is exactly the amount that </w:t>
      </w:r>
      <w:proofErr w:type="gramStart"/>
      <w:r>
        <w:t>is able to</w:t>
      </w:r>
      <w:proofErr w:type="gramEnd"/>
      <w:r>
        <w:t xml:space="preserve"> make ECI change. Also, we can express it in the way of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1</m:t>
            </m:r>
          </m:sub>
        </m:sSub>
      </m:oMath>
      <w:r>
        <w:t>.</w:t>
      </w:r>
    </w:p>
    <w:p w14:paraId="2090CF3C" w14:textId="77777777" w:rsidR="009B7827" w:rsidRDefault="009B7827"/>
    <w:p w14:paraId="6E6AE4B8" w14:textId="77777777" w:rsidR="009B7827" w:rsidRDefault="00000000">
      <w:pPr>
        <w:jc w:val="both"/>
      </w:pPr>
      <w:r>
        <w:t xml:space="preserve">In this way, we can obtain a further sighted greedy algorithm. Also, the number of parts that we would like to separate the budget into also matters. </w:t>
      </w:r>
      <w:proofErr w:type="gramStart"/>
      <w:r>
        <w:t>In order to</w:t>
      </w:r>
      <w:proofErr w:type="gramEnd"/>
      <w:r>
        <w:t xml:space="preserve"> solve this problem, we added a stabilizer on top of the enhanced greedy algorithm by running the algorithm for different </w:t>
      </w:r>
      <w:r>
        <w:lastRenderedPageBreak/>
        <w:t xml:space="preserve">numbers of parts and selecting the portfolio with the largest ECI increment and most complex economic structure. </w:t>
      </w:r>
    </w:p>
    <w:p w14:paraId="15D56254" w14:textId="77777777" w:rsidR="009B7827" w:rsidRDefault="00000000">
      <w:r>
        <w:t xml:space="preserve"> </w:t>
      </w:r>
    </w:p>
    <w:p w14:paraId="3629F12E" w14:textId="77777777" w:rsidR="009B7827" w:rsidRDefault="00000000">
      <w:r>
        <w:t xml:space="preserve">Besides, it is quite common that there is a surplus in the budget. To deal with the surplus, we just add it to the product which needs the least amount of dollars to make </w:t>
      </w:r>
      <m:oMath>
        <m:sSub>
          <m:sSubPr>
            <m:ctrlPr>
              <w:rPr>
                <w:rFonts w:ascii="Cambria Math" w:hAnsi="Cambria Math"/>
              </w:rPr>
            </m:ctrlPr>
          </m:sSubPr>
          <m:e>
            <m:r>
              <w:rPr>
                <w:rFonts w:ascii="Cambria Math" w:hAnsi="Cambria Math"/>
              </w:rPr>
              <m:t>M</m:t>
            </m:r>
          </m:e>
          <m:sub>
            <m:r>
              <w:rPr>
                <w:rFonts w:ascii="Cambria Math" w:hAnsi="Cambria Math"/>
              </w:rPr>
              <m:t>cp</m:t>
            </m:r>
          </m:sub>
        </m:sSub>
      </m:oMath>
      <w:r>
        <w:t xml:space="preserve"> = 1 (i.e., the smallest amount of required export increase).</w:t>
      </w:r>
    </w:p>
    <w:p w14:paraId="02164230" w14:textId="77777777" w:rsidR="009B7827" w:rsidRDefault="009B7827"/>
    <w:p w14:paraId="2AF5E210" w14:textId="77777777" w:rsidR="009B7827" w:rsidRDefault="00000000">
      <w:pPr>
        <w:jc w:val="both"/>
        <w:rPr>
          <w:b/>
        </w:rPr>
      </w:pPr>
      <w:r>
        <w:rPr>
          <w:b/>
        </w:rPr>
        <w:t>Economic Panel</w:t>
      </w:r>
    </w:p>
    <w:p w14:paraId="35EE4340" w14:textId="77777777" w:rsidR="009B7827" w:rsidRDefault="00000000">
      <w:pPr>
        <w:jc w:val="both"/>
      </w:pPr>
      <w:r>
        <w:t xml:space="preserve">As stated above, the enhanced greedy algorithm is developed mainly for solving the optimal allocation strategy. </w:t>
      </w:r>
      <w:proofErr w:type="gramStart"/>
      <w:r>
        <w:t>In order to</w:t>
      </w:r>
      <w:proofErr w:type="gramEnd"/>
      <w:r>
        <w:t xml:space="preserve">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14:paraId="1096CB04" w14:textId="77777777" w:rsidR="009B7827" w:rsidRDefault="009B7827">
      <w:pPr>
        <w:jc w:val="both"/>
        <w:rPr>
          <w:b/>
        </w:rPr>
      </w:pPr>
    </w:p>
    <w:p w14:paraId="03F706FD" w14:textId="77777777" w:rsidR="009B7827" w:rsidRDefault="00000000">
      <w:pPr>
        <w:jc w:val="both"/>
        <w:rPr>
          <w:b/>
        </w:rPr>
      </w:pPr>
      <w:r>
        <w:rPr>
          <w:b/>
        </w:rPr>
        <w:t>Interpretation</w:t>
      </w:r>
    </w:p>
    <w:p w14:paraId="36D3C3AB" w14:textId="77777777" w:rsidR="009B7827" w:rsidRDefault="00000000">
      <w:pPr>
        <w:jc w:val="both"/>
      </w:pPr>
      <w:proofErr w:type="gramStart"/>
      <w:r>
        <w:t>For the purpose of</w:t>
      </w:r>
      <w:proofErr w:type="gramEnd"/>
      <w:r>
        <w:t xml:space="preserve"> a clear explanation of the line charts, we label all the products in Table 7. Please refer to this table when trying to understand the investment trajectories in the line charts.</w:t>
      </w:r>
    </w:p>
    <w:p w14:paraId="750653F4" w14:textId="77777777" w:rsidR="009B7827" w:rsidRDefault="009B7827">
      <w:pPr>
        <w:jc w:val="both"/>
      </w:pPr>
    </w:p>
    <w:tbl>
      <w:tblPr>
        <w:tblStyle w:val="a5"/>
        <w:tblW w:w="4020" w:type="dxa"/>
        <w:jc w:val="center"/>
        <w:tblLayout w:type="fixed"/>
        <w:tblLook w:val="0600" w:firstRow="0" w:lastRow="0" w:firstColumn="0" w:lastColumn="0" w:noHBand="1" w:noVBand="1"/>
      </w:tblPr>
      <w:tblGrid>
        <w:gridCol w:w="1290"/>
        <w:gridCol w:w="2730"/>
      </w:tblGrid>
      <w:tr w:rsidR="009B7827" w14:paraId="553B8884" w14:textId="77777777">
        <w:trPr>
          <w:trHeight w:val="315"/>
          <w:jc w:val="center"/>
        </w:trPr>
        <w:tc>
          <w:tcPr>
            <w:tcW w:w="1290" w:type="dxa"/>
            <w:tcBorders>
              <w:top w:val="nil"/>
              <w:left w:val="nil"/>
              <w:bottom w:val="nil"/>
            </w:tcBorders>
            <w:shd w:val="clear" w:color="auto" w:fill="A5A5A5"/>
            <w:tcMar>
              <w:top w:w="-123" w:type="dxa"/>
              <w:left w:w="-123" w:type="dxa"/>
              <w:bottom w:w="-123" w:type="dxa"/>
              <w:right w:w="-123" w:type="dxa"/>
            </w:tcMar>
            <w:vAlign w:val="center"/>
          </w:tcPr>
          <w:p w14:paraId="0ECFB9DF" w14:textId="77777777" w:rsidR="009B7827" w:rsidRDefault="00000000">
            <w:pPr>
              <w:jc w:val="center"/>
              <w:rPr>
                <w:b/>
                <w:color w:val="FFFFFF"/>
                <w:sz w:val="22"/>
                <w:szCs w:val="22"/>
              </w:rPr>
            </w:pPr>
            <w:r>
              <w:rPr>
                <w:b/>
                <w:color w:val="FFFFFF"/>
                <w:sz w:val="22"/>
                <w:szCs w:val="22"/>
              </w:rPr>
              <w:t>Label</w:t>
            </w:r>
          </w:p>
        </w:tc>
        <w:tc>
          <w:tcPr>
            <w:tcW w:w="2730" w:type="dxa"/>
            <w:tcBorders>
              <w:top w:val="nil"/>
              <w:bottom w:val="nil"/>
              <w:right w:val="nil"/>
            </w:tcBorders>
            <w:shd w:val="clear" w:color="auto" w:fill="A5A5A5"/>
            <w:tcMar>
              <w:top w:w="-123" w:type="dxa"/>
              <w:left w:w="-123" w:type="dxa"/>
              <w:bottom w:w="-123" w:type="dxa"/>
              <w:right w:w="-123" w:type="dxa"/>
            </w:tcMar>
            <w:vAlign w:val="center"/>
          </w:tcPr>
          <w:p w14:paraId="521A47A6" w14:textId="77777777" w:rsidR="009B7827" w:rsidRDefault="00000000">
            <w:pPr>
              <w:jc w:val="both"/>
              <w:rPr>
                <w:b/>
                <w:color w:val="FFFFFF"/>
                <w:sz w:val="22"/>
                <w:szCs w:val="22"/>
              </w:rPr>
            </w:pPr>
            <w:r>
              <w:rPr>
                <w:b/>
                <w:color w:val="FFFFFF"/>
                <w:sz w:val="22"/>
                <w:szCs w:val="22"/>
              </w:rPr>
              <w:t>Product Names</w:t>
            </w:r>
          </w:p>
        </w:tc>
      </w:tr>
      <w:tr w:rsidR="009B7827" w14:paraId="0E44D673"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67F1084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24D80502"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Animal and By-products</w:t>
            </w:r>
          </w:p>
        </w:tc>
      </w:tr>
      <w:tr w:rsidR="009B7827" w14:paraId="25AFDFD0" w14:textId="77777777">
        <w:trPr>
          <w:jc w:val="center"/>
        </w:trPr>
        <w:tc>
          <w:tcPr>
            <w:tcW w:w="1290" w:type="dxa"/>
            <w:tcBorders>
              <w:top w:val="nil"/>
              <w:left w:val="nil"/>
              <w:bottom w:val="nil"/>
            </w:tcBorders>
            <w:tcMar>
              <w:top w:w="-123" w:type="dxa"/>
              <w:left w:w="-123" w:type="dxa"/>
              <w:bottom w:w="-123" w:type="dxa"/>
              <w:right w:w="-123" w:type="dxa"/>
            </w:tcMar>
            <w:vAlign w:val="center"/>
          </w:tcPr>
          <w:p w14:paraId="01E3C084"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2</w:t>
            </w:r>
          </w:p>
        </w:tc>
        <w:tc>
          <w:tcPr>
            <w:tcW w:w="2730" w:type="dxa"/>
            <w:tcBorders>
              <w:top w:val="nil"/>
              <w:bottom w:val="nil"/>
              <w:right w:val="nil"/>
            </w:tcBorders>
            <w:tcMar>
              <w:top w:w="-123" w:type="dxa"/>
              <w:left w:w="-123" w:type="dxa"/>
              <w:bottom w:w="-123" w:type="dxa"/>
              <w:right w:w="-123" w:type="dxa"/>
            </w:tcMar>
            <w:vAlign w:val="center"/>
          </w:tcPr>
          <w:p w14:paraId="195D270D"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 xml:space="preserve">Vegetables, </w:t>
            </w:r>
            <w:proofErr w:type="gramStart"/>
            <w:r>
              <w:rPr>
                <w:color w:val="7B7B7B"/>
                <w:sz w:val="20"/>
                <w:szCs w:val="20"/>
              </w:rPr>
              <w:t>Fruits</w:t>
            </w:r>
            <w:proofErr w:type="gramEnd"/>
            <w:r>
              <w:rPr>
                <w:color w:val="7B7B7B"/>
                <w:sz w:val="20"/>
                <w:szCs w:val="20"/>
              </w:rPr>
              <w:t xml:space="preserve"> and Plants</w:t>
            </w:r>
          </w:p>
        </w:tc>
      </w:tr>
      <w:tr w:rsidR="009B7827" w14:paraId="00A73D93"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672A00F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17495E4"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Food and Preparations</w:t>
            </w:r>
          </w:p>
        </w:tc>
      </w:tr>
      <w:tr w:rsidR="009B7827" w14:paraId="1AE78C20" w14:textId="77777777">
        <w:trPr>
          <w:jc w:val="center"/>
        </w:trPr>
        <w:tc>
          <w:tcPr>
            <w:tcW w:w="1290" w:type="dxa"/>
            <w:tcBorders>
              <w:top w:val="nil"/>
              <w:left w:val="nil"/>
              <w:bottom w:val="nil"/>
            </w:tcBorders>
            <w:tcMar>
              <w:top w:w="-123" w:type="dxa"/>
              <w:left w:w="-123" w:type="dxa"/>
              <w:bottom w:w="-123" w:type="dxa"/>
              <w:right w:w="-123" w:type="dxa"/>
            </w:tcMar>
            <w:vAlign w:val="center"/>
          </w:tcPr>
          <w:p w14:paraId="2AF1D98A"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4</w:t>
            </w:r>
          </w:p>
        </w:tc>
        <w:tc>
          <w:tcPr>
            <w:tcW w:w="2730" w:type="dxa"/>
            <w:tcBorders>
              <w:top w:val="nil"/>
              <w:bottom w:val="nil"/>
              <w:right w:val="nil"/>
            </w:tcBorders>
            <w:tcMar>
              <w:top w:w="-123" w:type="dxa"/>
              <w:left w:w="-123" w:type="dxa"/>
              <w:bottom w:w="-123" w:type="dxa"/>
              <w:right w:w="-123" w:type="dxa"/>
            </w:tcMar>
            <w:vAlign w:val="center"/>
          </w:tcPr>
          <w:p w14:paraId="1B335243"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Energy Drilling and Mining</w:t>
            </w:r>
          </w:p>
        </w:tc>
      </w:tr>
      <w:tr w:rsidR="009B7827" w14:paraId="79B52E60"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3FF77729"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3A345B0"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Chemicals</w:t>
            </w:r>
          </w:p>
        </w:tc>
      </w:tr>
      <w:tr w:rsidR="009B7827" w14:paraId="6D304C82"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6C116F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6</w:t>
            </w:r>
          </w:p>
        </w:tc>
        <w:tc>
          <w:tcPr>
            <w:tcW w:w="2730" w:type="dxa"/>
            <w:tcBorders>
              <w:top w:val="nil"/>
              <w:bottom w:val="nil"/>
              <w:right w:val="nil"/>
            </w:tcBorders>
            <w:tcMar>
              <w:top w:w="-123" w:type="dxa"/>
              <w:left w:w="-123" w:type="dxa"/>
              <w:bottom w:w="-123" w:type="dxa"/>
              <w:right w:w="-123" w:type="dxa"/>
            </w:tcMar>
            <w:vAlign w:val="center"/>
          </w:tcPr>
          <w:p w14:paraId="289B69A3"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Chemical Manufacturing</w:t>
            </w:r>
          </w:p>
        </w:tc>
      </w:tr>
      <w:tr w:rsidR="009B7827" w14:paraId="17974275"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0F3FD34"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B4595F8"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Raw Manufacturing</w:t>
            </w:r>
          </w:p>
        </w:tc>
      </w:tr>
      <w:tr w:rsidR="009B7827" w14:paraId="196C1C29" w14:textId="77777777">
        <w:trPr>
          <w:jc w:val="center"/>
        </w:trPr>
        <w:tc>
          <w:tcPr>
            <w:tcW w:w="1290" w:type="dxa"/>
            <w:tcBorders>
              <w:top w:val="nil"/>
              <w:left w:val="nil"/>
              <w:bottom w:val="nil"/>
            </w:tcBorders>
            <w:tcMar>
              <w:top w:w="-123" w:type="dxa"/>
              <w:left w:w="-123" w:type="dxa"/>
              <w:bottom w:w="-123" w:type="dxa"/>
              <w:right w:w="-123" w:type="dxa"/>
            </w:tcMar>
            <w:vAlign w:val="center"/>
          </w:tcPr>
          <w:p w14:paraId="20DD438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8</w:t>
            </w:r>
          </w:p>
        </w:tc>
        <w:tc>
          <w:tcPr>
            <w:tcW w:w="2730" w:type="dxa"/>
            <w:tcBorders>
              <w:top w:val="nil"/>
              <w:bottom w:val="nil"/>
              <w:right w:val="nil"/>
            </w:tcBorders>
            <w:tcMar>
              <w:top w:w="-123" w:type="dxa"/>
              <w:left w:w="-123" w:type="dxa"/>
              <w:bottom w:w="-123" w:type="dxa"/>
              <w:right w:w="-123" w:type="dxa"/>
            </w:tcMar>
            <w:vAlign w:val="center"/>
          </w:tcPr>
          <w:p w14:paraId="6374F872"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Wood Products</w:t>
            </w:r>
          </w:p>
        </w:tc>
      </w:tr>
      <w:tr w:rsidR="009B7827" w14:paraId="59B29071"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63811634"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9</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6A3DA367"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Clothing and Accessories</w:t>
            </w:r>
          </w:p>
        </w:tc>
      </w:tr>
      <w:tr w:rsidR="009B7827" w14:paraId="21A6F8B0"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25C19B7"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10</w:t>
            </w:r>
          </w:p>
        </w:tc>
        <w:tc>
          <w:tcPr>
            <w:tcW w:w="2730" w:type="dxa"/>
            <w:tcBorders>
              <w:top w:val="nil"/>
              <w:bottom w:val="nil"/>
              <w:right w:val="nil"/>
            </w:tcBorders>
            <w:tcMar>
              <w:top w:w="-123" w:type="dxa"/>
              <w:left w:w="-123" w:type="dxa"/>
              <w:bottom w:w="-123" w:type="dxa"/>
              <w:right w:w="-123" w:type="dxa"/>
            </w:tcMar>
            <w:vAlign w:val="center"/>
          </w:tcPr>
          <w:p w14:paraId="12535315"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Textile</w:t>
            </w:r>
          </w:p>
        </w:tc>
      </w:tr>
      <w:tr w:rsidR="009B7827" w14:paraId="0A43500F"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1D9F4A49"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02F19DE7"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Metals</w:t>
            </w:r>
          </w:p>
        </w:tc>
      </w:tr>
      <w:tr w:rsidR="009B7827" w14:paraId="21AAC7E1" w14:textId="77777777">
        <w:trPr>
          <w:jc w:val="center"/>
        </w:trPr>
        <w:tc>
          <w:tcPr>
            <w:tcW w:w="1290" w:type="dxa"/>
            <w:tcBorders>
              <w:top w:val="nil"/>
              <w:left w:val="nil"/>
              <w:bottom w:val="nil"/>
            </w:tcBorders>
            <w:tcMar>
              <w:top w:w="-123" w:type="dxa"/>
              <w:left w:w="-123" w:type="dxa"/>
              <w:bottom w:w="-123" w:type="dxa"/>
              <w:right w:w="-123" w:type="dxa"/>
            </w:tcMar>
            <w:vAlign w:val="center"/>
          </w:tcPr>
          <w:p w14:paraId="5362F836"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12</w:t>
            </w:r>
          </w:p>
        </w:tc>
        <w:tc>
          <w:tcPr>
            <w:tcW w:w="2730" w:type="dxa"/>
            <w:tcBorders>
              <w:top w:val="nil"/>
              <w:bottom w:val="nil"/>
              <w:right w:val="nil"/>
            </w:tcBorders>
            <w:tcMar>
              <w:top w:w="-123" w:type="dxa"/>
              <w:left w:w="-123" w:type="dxa"/>
              <w:bottom w:w="-123" w:type="dxa"/>
              <w:right w:w="-123" w:type="dxa"/>
            </w:tcMar>
            <w:vAlign w:val="center"/>
          </w:tcPr>
          <w:p w14:paraId="16D91942"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Machinery and Construction</w:t>
            </w:r>
          </w:p>
        </w:tc>
      </w:tr>
      <w:tr w:rsidR="009B7827" w14:paraId="1FF3E415"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2FC2C07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D5EFBEF"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Transportation</w:t>
            </w:r>
          </w:p>
        </w:tc>
      </w:tr>
      <w:tr w:rsidR="009B7827" w14:paraId="218AD81B" w14:textId="77777777">
        <w:trPr>
          <w:jc w:val="center"/>
        </w:trPr>
        <w:tc>
          <w:tcPr>
            <w:tcW w:w="1290" w:type="dxa"/>
            <w:tcBorders>
              <w:top w:val="nil"/>
              <w:left w:val="nil"/>
              <w:bottom w:val="nil"/>
            </w:tcBorders>
            <w:tcMar>
              <w:top w:w="-123" w:type="dxa"/>
              <w:left w:w="-123" w:type="dxa"/>
              <w:bottom w:w="-123" w:type="dxa"/>
              <w:right w:w="-123" w:type="dxa"/>
            </w:tcMar>
            <w:vAlign w:val="center"/>
          </w:tcPr>
          <w:p w14:paraId="6A81AE73"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14</w:t>
            </w:r>
          </w:p>
        </w:tc>
        <w:tc>
          <w:tcPr>
            <w:tcW w:w="2730" w:type="dxa"/>
            <w:tcBorders>
              <w:top w:val="nil"/>
              <w:bottom w:val="nil"/>
              <w:right w:val="nil"/>
            </w:tcBorders>
            <w:tcMar>
              <w:top w:w="-123" w:type="dxa"/>
              <w:left w:w="-123" w:type="dxa"/>
              <w:bottom w:w="-123" w:type="dxa"/>
              <w:right w:w="-123" w:type="dxa"/>
            </w:tcMar>
            <w:vAlign w:val="center"/>
          </w:tcPr>
          <w:p w14:paraId="0C0E7428"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Weapons</w:t>
            </w:r>
          </w:p>
        </w:tc>
      </w:tr>
      <w:tr w:rsidR="009B7827" w14:paraId="4D13BF51"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669158C6"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107A361"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Daily Instruments</w:t>
            </w:r>
          </w:p>
        </w:tc>
      </w:tr>
      <w:tr w:rsidR="009B7827" w14:paraId="7D9292C3" w14:textId="77777777">
        <w:trPr>
          <w:jc w:val="center"/>
        </w:trPr>
        <w:tc>
          <w:tcPr>
            <w:tcW w:w="1290" w:type="dxa"/>
            <w:tcBorders>
              <w:top w:val="nil"/>
              <w:left w:val="nil"/>
              <w:bottom w:val="nil"/>
            </w:tcBorders>
            <w:tcMar>
              <w:top w:w="-123" w:type="dxa"/>
              <w:left w:w="-123" w:type="dxa"/>
              <w:bottom w:w="-123" w:type="dxa"/>
              <w:right w:w="-123" w:type="dxa"/>
            </w:tcMar>
            <w:vAlign w:val="center"/>
          </w:tcPr>
          <w:p w14:paraId="099F62AB"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16</w:t>
            </w:r>
          </w:p>
        </w:tc>
        <w:tc>
          <w:tcPr>
            <w:tcW w:w="2730" w:type="dxa"/>
            <w:tcBorders>
              <w:top w:val="nil"/>
              <w:bottom w:val="nil"/>
              <w:right w:val="nil"/>
            </w:tcBorders>
            <w:tcMar>
              <w:top w:w="-123" w:type="dxa"/>
              <w:left w:w="-123" w:type="dxa"/>
              <w:bottom w:w="-123" w:type="dxa"/>
              <w:right w:w="-123" w:type="dxa"/>
            </w:tcMar>
            <w:vAlign w:val="center"/>
          </w:tcPr>
          <w:p w14:paraId="4298DE3D"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Precious Stones</w:t>
            </w:r>
          </w:p>
        </w:tc>
      </w:tr>
      <w:tr w:rsidR="009B7827" w14:paraId="0F9A610B"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B15436A"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9C82E05"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High-complexity Products</w:t>
            </w:r>
          </w:p>
        </w:tc>
      </w:tr>
      <w:tr w:rsidR="009B7827" w14:paraId="255322D1"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08993C7" w14:textId="77777777" w:rsidR="009B7827" w:rsidRDefault="00000000">
            <w:pPr>
              <w:widowControl w:val="0"/>
              <w:pBdr>
                <w:top w:val="nil"/>
                <w:left w:val="nil"/>
                <w:bottom w:val="nil"/>
                <w:right w:val="nil"/>
                <w:between w:val="nil"/>
              </w:pBdr>
              <w:spacing w:line="276" w:lineRule="auto"/>
              <w:jc w:val="center"/>
              <w:rPr>
                <w:color w:val="7B7B7B"/>
              </w:rPr>
            </w:pPr>
            <w:r>
              <w:rPr>
                <w:color w:val="7B7B7B"/>
                <w:sz w:val="20"/>
                <w:szCs w:val="20"/>
              </w:rPr>
              <w:t>18</w:t>
            </w:r>
          </w:p>
        </w:tc>
        <w:tc>
          <w:tcPr>
            <w:tcW w:w="2730" w:type="dxa"/>
            <w:tcBorders>
              <w:top w:val="nil"/>
              <w:bottom w:val="nil"/>
              <w:right w:val="nil"/>
            </w:tcBorders>
            <w:tcMar>
              <w:top w:w="-123" w:type="dxa"/>
              <w:left w:w="-123" w:type="dxa"/>
              <w:bottom w:w="-123" w:type="dxa"/>
              <w:right w:w="-123" w:type="dxa"/>
            </w:tcMar>
            <w:vAlign w:val="center"/>
          </w:tcPr>
          <w:p w14:paraId="28F6F649" w14:textId="77777777" w:rsidR="009B7827" w:rsidRDefault="00000000">
            <w:pPr>
              <w:widowControl w:val="0"/>
              <w:pBdr>
                <w:top w:val="nil"/>
                <w:left w:val="nil"/>
                <w:bottom w:val="nil"/>
                <w:right w:val="nil"/>
                <w:between w:val="nil"/>
              </w:pBdr>
              <w:spacing w:line="276" w:lineRule="auto"/>
              <w:rPr>
                <w:color w:val="7B7B7B"/>
              </w:rPr>
            </w:pPr>
            <w:r>
              <w:rPr>
                <w:color w:val="7B7B7B"/>
                <w:sz w:val="20"/>
                <w:szCs w:val="20"/>
              </w:rPr>
              <w:t>Services and Utilities</w:t>
            </w:r>
          </w:p>
        </w:tc>
      </w:tr>
    </w:tbl>
    <w:p w14:paraId="016B6CAB" w14:textId="77777777" w:rsidR="009B7827" w:rsidRDefault="00000000">
      <w:pPr>
        <w:jc w:val="center"/>
        <w:rPr>
          <w:sz w:val="22"/>
          <w:szCs w:val="22"/>
        </w:rPr>
      </w:pPr>
      <w:r>
        <w:rPr>
          <w:sz w:val="22"/>
          <w:szCs w:val="22"/>
        </w:rPr>
        <w:t>Table 7. Products Labeling</w:t>
      </w:r>
    </w:p>
    <w:p w14:paraId="11348D34" w14:textId="77777777" w:rsidR="009B7827" w:rsidRDefault="009B7827">
      <w:pPr>
        <w:jc w:val="center"/>
      </w:pPr>
    </w:p>
    <w:p w14:paraId="2819B665" w14:textId="43E8E253" w:rsidR="009B7827" w:rsidRDefault="00000000">
      <w:pPr>
        <w:jc w:val="both"/>
      </w:pPr>
      <w:r>
        <w:t>Figure</w:t>
      </w:r>
      <w:r w:rsidR="00E219E8">
        <w:t xml:space="preserve"> 4 shows</w:t>
      </w:r>
      <w:r>
        <w:t xml:space="preserve"> an economic panel for </w:t>
      </w:r>
      <w:r w:rsidR="00BD4111">
        <w:t>Tunisia</w:t>
      </w:r>
      <w:r>
        <w:t xml:space="preserve"> in 2022. We can see that for different percentages of heuristic total export growth, the </w:t>
      </w:r>
      <w:r w:rsidR="00E219E8">
        <w:t>Tunisian ECIs</w:t>
      </w:r>
      <w:r>
        <w:t xml:space="preserve"> have slightly different industry distributions</w:t>
      </w:r>
      <w:r w:rsidR="00E219E8">
        <w:t>, though they</w:t>
      </w:r>
      <w:r>
        <w:t xml:space="preserve"> are relatively consistent.</w:t>
      </w:r>
    </w:p>
    <w:p w14:paraId="7D771000" w14:textId="77777777" w:rsidR="009B7827" w:rsidRDefault="00000000">
      <w:pPr>
        <w:jc w:val="both"/>
      </w:pPr>
      <w:r>
        <w:t xml:space="preserve"> </w:t>
      </w:r>
    </w:p>
    <w:p w14:paraId="34C1AC0E" w14:textId="751AF286" w:rsidR="009B7827" w:rsidRDefault="00000000">
      <w:pPr>
        <w:jc w:val="both"/>
      </w:pPr>
      <w:r>
        <w:t xml:space="preserve">For 2022, in the case of 5 percent export growth, </w:t>
      </w:r>
      <w:r w:rsidR="002361A8">
        <w:t>Precious Stones</w:t>
      </w:r>
      <w:r>
        <w:t xml:space="preserve"> is the primary industry with </w:t>
      </w:r>
      <w:r w:rsidR="002361A8">
        <w:t>High-Complexity Products</w:t>
      </w:r>
      <w:r>
        <w:t xml:space="preserve"> as a secondary industry. With a budget of 10 percent export growth, </w:t>
      </w:r>
      <w:r w:rsidR="003C21B9">
        <w:lastRenderedPageBreak/>
        <w:t>Animals and By-Products</w:t>
      </w:r>
      <w:r>
        <w:t xml:space="preserve"> dominates with </w:t>
      </w:r>
      <w:r w:rsidR="00325184">
        <w:t xml:space="preserve">a </w:t>
      </w:r>
      <w:r>
        <w:t>small</w:t>
      </w:r>
      <w:r w:rsidR="00325184">
        <w:t xml:space="preserve">er </w:t>
      </w:r>
      <w:r>
        <w:t xml:space="preserve">presence of </w:t>
      </w:r>
      <w:r w:rsidR="00325184">
        <w:t>Precious Stones</w:t>
      </w:r>
      <w:r>
        <w:t>. For 15% and 20%, there is a</w:t>
      </w:r>
      <w:r w:rsidR="000618F8">
        <w:t xml:space="preserve"> </w:t>
      </w:r>
      <w:r>
        <w:t xml:space="preserve">representation of </w:t>
      </w:r>
      <w:r w:rsidR="000618F8">
        <w:t xml:space="preserve">Energy Drilling and Mining, Precious Stones, and </w:t>
      </w:r>
      <w:r w:rsidR="000618F8">
        <w:t>Animals and By-Products</w:t>
      </w:r>
      <w:r>
        <w:t>.</w:t>
      </w:r>
      <w:r w:rsidR="000618F8">
        <w:t xml:space="preserve"> For 20%, </w:t>
      </w:r>
      <w:r w:rsidR="005658A1">
        <w:t>High-Complexity Products still dominates.</w:t>
      </w:r>
      <w:r>
        <w:t xml:space="preserve"> This suggests that with any increase in investment, all resources should be directed to </w:t>
      </w:r>
      <w:r w:rsidR="00611250">
        <w:t>Precious Stones</w:t>
      </w:r>
      <w:r>
        <w:t xml:space="preserve">. A more detailed numerical representation of the portfolio is shown in Table 8. The increased ECI row of the table suggests that any </w:t>
      </w:r>
      <w:r w:rsidR="00374C06">
        <w:t>10%, 15%, and 20% yield the same increase in ECI, meaning</w:t>
      </w:r>
      <w:r>
        <w:t xml:space="preserve"> that </w:t>
      </w:r>
      <w:r w:rsidR="00BD4111">
        <w:t>Tunisia</w:t>
      </w:r>
      <w:r>
        <w:t xml:space="preserve"> should focus on 5% and 10%. Thus, for optimal development, it should invest firstly in </w:t>
      </w:r>
      <w:r w:rsidR="00374C06">
        <w:t>Animal and By</w:t>
      </w:r>
      <w:r w:rsidR="004C71A7">
        <w:t>-Products,</w:t>
      </w:r>
      <w:r>
        <w:t xml:space="preserve"> followed</w:t>
      </w:r>
      <w:r w:rsidR="004C71A7">
        <w:t xml:space="preserve"> by</w:t>
      </w:r>
      <w:r>
        <w:t xml:space="preserve"> </w:t>
      </w:r>
      <w:r w:rsidR="004C71A7">
        <w:t>Precious Stones</w:t>
      </w:r>
      <w:r w:rsidR="004C71A7">
        <w:t xml:space="preserve"> </w:t>
      </w:r>
      <w:r>
        <w:t xml:space="preserve">and </w:t>
      </w:r>
      <w:r w:rsidR="004C71A7">
        <w:t>Textile</w:t>
      </w:r>
      <w:r>
        <w:t xml:space="preserve">. </w:t>
      </w:r>
      <w:r w:rsidR="005D2CF8">
        <w:rPr>
          <w:noProof/>
          <w:sz w:val="16"/>
          <w:szCs w:val="16"/>
        </w:rPr>
        <w:drawing>
          <wp:inline distT="0" distB="0" distL="0" distR="0" wp14:anchorId="59270237" wp14:editId="603972F9">
            <wp:extent cx="5727700" cy="2179178"/>
            <wp:effectExtent l="0" t="0" r="0" b="5715"/>
            <wp:docPr id="769904312" name="Picture 5"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04312" name="Picture 5" descr="A group of pie charts&#10;&#10;Description automatically generated"/>
                    <pic:cNvPicPr/>
                  </pic:nvPicPr>
                  <pic:blipFill rotWithShape="1">
                    <a:blip r:embed="rId15">
                      <a:extLst>
                        <a:ext uri="{28A0092B-C50C-407E-A947-70E740481C1C}">
                          <a14:useLocalDpi xmlns:a14="http://schemas.microsoft.com/office/drawing/2010/main" val="0"/>
                        </a:ext>
                      </a:extLst>
                    </a:blip>
                    <a:srcRect b="23907"/>
                    <a:stretch/>
                  </pic:blipFill>
                  <pic:spPr bwMode="auto">
                    <a:xfrm>
                      <a:off x="0" y="0"/>
                      <a:ext cx="5727700" cy="2179178"/>
                    </a:xfrm>
                    <a:prstGeom prst="rect">
                      <a:avLst/>
                    </a:prstGeom>
                    <a:ln>
                      <a:noFill/>
                    </a:ln>
                    <a:extLst>
                      <a:ext uri="{53640926-AAD7-44D8-BBD7-CCE9431645EC}">
                        <a14:shadowObscured xmlns:a14="http://schemas.microsoft.com/office/drawing/2010/main"/>
                      </a:ext>
                    </a:extLst>
                  </pic:spPr>
                </pic:pic>
              </a:graphicData>
            </a:graphic>
          </wp:inline>
        </w:drawing>
      </w:r>
    </w:p>
    <w:p w14:paraId="04F26BB5" w14:textId="2994284B" w:rsidR="009B7827" w:rsidRDefault="005D2CF8">
      <w:pPr>
        <w:jc w:val="both"/>
      </w:pPr>
      <w:r>
        <w:rPr>
          <w:noProof/>
          <w:sz w:val="16"/>
          <w:szCs w:val="16"/>
        </w:rPr>
        <w:drawing>
          <wp:inline distT="0" distB="0" distL="0" distR="0" wp14:anchorId="33DAA06F" wp14:editId="3351F42D">
            <wp:extent cx="5727700" cy="2155825"/>
            <wp:effectExtent l="0" t="0" r="0" b="3175"/>
            <wp:docPr id="658692736" name="Picture 6" descr="A graph showing the percentage of a number of perc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92736" name="Picture 6" descr="A graph showing the percentage of a number of percent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27700" cy="2155825"/>
                    </a:xfrm>
                    <a:prstGeom prst="rect">
                      <a:avLst/>
                    </a:prstGeom>
                  </pic:spPr>
                </pic:pic>
              </a:graphicData>
            </a:graphic>
          </wp:inline>
        </w:drawing>
      </w:r>
    </w:p>
    <w:p w14:paraId="631AB154" w14:textId="30F66ABF" w:rsidR="009B7827" w:rsidRDefault="00000000">
      <w:pPr>
        <w:jc w:val="center"/>
        <w:rPr>
          <w:sz w:val="22"/>
          <w:szCs w:val="22"/>
        </w:rPr>
      </w:pPr>
      <w:r>
        <w:rPr>
          <w:sz w:val="22"/>
          <w:szCs w:val="22"/>
        </w:rPr>
        <w:t xml:space="preserve">Figure 4. Greedy-Based ECI Improvement Results of </w:t>
      </w:r>
      <w:r w:rsidR="00BD4111">
        <w:rPr>
          <w:sz w:val="22"/>
          <w:szCs w:val="22"/>
        </w:rPr>
        <w:t>Tunisia</w:t>
      </w:r>
      <w:r>
        <w:rPr>
          <w:sz w:val="22"/>
          <w:szCs w:val="22"/>
        </w:rPr>
        <w:t xml:space="preserve"> with Different Budgets (2022)</w:t>
      </w:r>
    </w:p>
    <w:p w14:paraId="1211D4A9" w14:textId="77777777" w:rsidR="009B7827" w:rsidRDefault="009B7827">
      <w:pPr>
        <w:jc w:val="center"/>
      </w:pPr>
    </w:p>
    <w:tbl>
      <w:tblPr>
        <w:tblStyle w:val="a6"/>
        <w:tblW w:w="9338" w:type="dxa"/>
        <w:jc w:val="center"/>
        <w:tblLayout w:type="fixed"/>
        <w:tblLook w:val="0600" w:firstRow="0" w:lastRow="0" w:firstColumn="0" w:lastColumn="0" w:noHBand="1" w:noVBand="1"/>
      </w:tblPr>
      <w:tblGrid>
        <w:gridCol w:w="2783"/>
        <w:gridCol w:w="1638"/>
        <w:gridCol w:w="1639"/>
        <w:gridCol w:w="1639"/>
        <w:gridCol w:w="1639"/>
      </w:tblGrid>
      <w:tr w:rsidR="009B7827" w14:paraId="23FE0C52" w14:textId="77777777" w:rsidTr="00374C06">
        <w:trPr>
          <w:jc w:val="center"/>
        </w:trPr>
        <w:tc>
          <w:tcPr>
            <w:tcW w:w="9338" w:type="dxa"/>
            <w:gridSpan w:val="5"/>
            <w:tcBorders>
              <w:top w:val="nil"/>
              <w:left w:val="nil"/>
              <w:bottom w:val="nil"/>
            </w:tcBorders>
            <w:shd w:val="clear" w:color="auto" w:fill="A5A5A5"/>
            <w:tcMar>
              <w:top w:w="-555" w:type="dxa"/>
              <w:left w:w="-555" w:type="dxa"/>
              <w:bottom w:w="-555" w:type="dxa"/>
              <w:right w:w="-555" w:type="dxa"/>
            </w:tcMar>
            <w:vAlign w:val="center"/>
          </w:tcPr>
          <w:p w14:paraId="51181582" w14:textId="153F2D17" w:rsidR="009B7827" w:rsidRDefault="00BD4111">
            <w:pPr>
              <w:jc w:val="center"/>
              <w:rPr>
                <w:sz w:val="20"/>
                <w:szCs w:val="20"/>
              </w:rPr>
            </w:pPr>
            <w:r>
              <w:rPr>
                <w:b/>
                <w:sz w:val="20"/>
                <w:szCs w:val="20"/>
              </w:rPr>
              <w:t>Tunisia</w:t>
            </w:r>
            <w:r w:rsidR="00000000">
              <w:rPr>
                <w:b/>
                <w:sz w:val="20"/>
                <w:szCs w:val="20"/>
              </w:rPr>
              <w:t xml:space="preserve"> (2022)</w:t>
            </w:r>
          </w:p>
        </w:tc>
      </w:tr>
      <w:tr w:rsidR="009B7827" w14:paraId="61EC5E27" w14:textId="77777777" w:rsidTr="00374C06">
        <w:trPr>
          <w:jc w:val="center"/>
        </w:trPr>
        <w:tc>
          <w:tcPr>
            <w:tcW w:w="2783" w:type="dxa"/>
            <w:tcBorders>
              <w:left w:val="nil"/>
              <w:bottom w:val="nil"/>
            </w:tcBorders>
            <w:shd w:val="clear" w:color="auto" w:fill="EDEDED"/>
            <w:tcMar>
              <w:top w:w="-555" w:type="dxa"/>
              <w:left w:w="-555" w:type="dxa"/>
              <w:bottom w:w="-555" w:type="dxa"/>
              <w:right w:w="-555" w:type="dxa"/>
            </w:tcMar>
            <w:vAlign w:val="center"/>
          </w:tcPr>
          <w:p w14:paraId="642B7570" w14:textId="77777777" w:rsidR="009B7827" w:rsidRPr="00A6423A" w:rsidRDefault="00000000">
            <w:pPr>
              <w:widowControl w:val="0"/>
              <w:spacing w:line="276" w:lineRule="auto"/>
              <w:rPr>
                <w:sz w:val="20"/>
                <w:szCs w:val="20"/>
              </w:rPr>
            </w:pPr>
            <w:r w:rsidRPr="00A6423A">
              <w:rPr>
                <w:b/>
                <w:sz w:val="20"/>
                <w:szCs w:val="20"/>
              </w:rPr>
              <w:t>Original ECI</w:t>
            </w:r>
          </w:p>
        </w:tc>
        <w:tc>
          <w:tcPr>
            <w:tcW w:w="6555" w:type="dxa"/>
            <w:gridSpan w:val="4"/>
            <w:tcBorders>
              <w:top w:val="nil"/>
              <w:bottom w:val="nil"/>
            </w:tcBorders>
            <w:shd w:val="clear" w:color="auto" w:fill="EDEDED"/>
            <w:tcMar>
              <w:top w:w="-555" w:type="dxa"/>
              <w:left w:w="-555" w:type="dxa"/>
              <w:bottom w:w="-555" w:type="dxa"/>
              <w:right w:w="-555" w:type="dxa"/>
            </w:tcMar>
            <w:vAlign w:val="center"/>
          </w:tcPr>
          <w:p w14:paraId="724526BF" w14:textId="661F379D" w:rsidR="009B7827" w:rsidRPr="00A24B7A" w:rsidRDefault="00A24B7A">
            <w:pPr>
              <w:jc w:val="center"/>
              <w:rPr>
                <w:b/>
                <w:bCs/>
                <w:sz w:val="20"/>
                <w:szCs w:val="20"/>
              </w:rPr>
            </w:pPr>
            <w:r w:rsidRPr="00A24B7A">
              <w:rPr>
                <w:b/>
                <w:bCs/>
                <w:sz w:val="20"/>
                <w:szCs w:val="20"/>
              </w:rPr>
              <w:t>-0.781737</w:t>
            </w:r>
          </w:p>
        </w:tc>
      </w:tr>
      <w:tr w:rsidR="009B7827" w14:paraId="561B0F14" w14:textId="77777777" w:rsidTr="00374C06">
        <w:trPr>
          <w:jc w:val="center"/>
        </w:trPr>
        <w:tc>
          <w:tcPr>
            <w:tcW w:w="2783" w:type="dxa"/>
            <w:tcBorders>
              <w:left w:val="nil"/>
              <w:bottom w:val="nil"/>
            </w:tcBorders>
            <w:shd w:val="clear" w:color="auto" w:fill="FFFFFF"/>
            <w:tcMar>
              <w:top w:w="-555" w:type="dxa"/>
              <w:left w:w="-555" w:type="dxa"/>
              <w:bottom w:w="-555" w:type="dxa"/>
              <w:right w:w="-555" w:type="dxa"/>
            </w:tcMar>
            <w:vAlign w:val="center"/>
          </w:tcPr>
          <w:p w14:paraId="43E4E63E" w14:textId="77777777" w:rsidR="009B7827" w:rsidRPr="00A6423A" w:rsidRDefault="00000000">
            <w:pPr>
              <w:widowControl w:val="0"/>
              <w:spacing w:line="276" w:lineRule="auto"/>
              <w:rPr>
                <w:sz w:val="20"/>
                <w:szCs w:val="20"/>
              </w:rPr>
            </w:pPr>
            <w:r w:rsidRPr="00A6423A">
              <w:rPr>
                <w:b/>
                <w:sz w:val="20"/>
                <w:szCs w:val="20"/>
              </w:rPr>
              <w:t>Heuristic Export Growth</w:t>
            </w:r>
          </w:p>
        </w:tc>
        <w:tc>
          <w:tcPr>
            <w:tcW w:w="1638" w:type="dxa"/>
            <w:tcBorders>
              <w:left w:val="nil"/>
              <w:bottom w:val="nil"/>
            </w:tcBorders>
            <w:shd w:val="clear" w:color="auto" w:fill="auto"/>
            <w:tcMar>
              <w:top w:w="-555" w:type="dxa"/>
              <w:left w:w="-555" w:type="dxa"/>
              <w:bottom w:w="-555" w:type="dxa"/>
              <w:right w:w="-555" w:type="dxa"/>
            </w:tcMar>
            <w:vAlign w:val="center"/>
          </w:tcPr>
          <w:p w14:paraId="3F61BDD4" w14:textId="77777777" w:rsidR="009B7827" w:rsidRPr="00A6423A" w:rsidRDefault="00000000">
            <w:pPr>
              <w:widowControl w:val="0"/>
              <w:spacing w:line="276" w:lineRule="auto"/>
              <w:jc w:val="center"/>
              <w:rPr>
                <w:sz w:val="20"/>
                <w:szCs w:val="20"/>
              </w:rPr>
            </w:pPr>
            <w:r w:rsidRPr="00A6423A">
              <w:rPr>
                <w:b/>
                <w:sz w:val="20"/>
                <w:szCs w:val="20"/>
              </w:rPr>
              <w:t>5%</w:t>
            </w:r>
          </w:p>
        </w:tc>
        <w:tc>
          <w:tcPr>
            <w:tcW w:w="1639" w:type="dxa"/>
            <w:tcBorders>
              <w:left w:val="nil"/>
              <w:bottom w:val="nil"/>
            </w:tcBorders>
            <w:shd w:val="clear" w:color="auto" w:fill="auto"/>
            <w:tcMar>
              <w:top w:w="-555" w:type="dxa"/>
              <w:left w:w="-555" w:type="dxa"/>
              <w:bottom w:w="-555" w:type="dxa"/>
              <w:right w:w="-555" w:type="dxa"/>
            </w:tcMar>
            <w:vAlign w:val="center"/>
          </w:tcPr>
          <w:p w14:paraId="23BC37AC" w14:textId="77777777" w:rsidR="009B7827" w:rsidRPr="00A6423A" w:rsidRDefault="00000000">
            <w:pPr>
              <w:widowControl w:val="0"/>
              <w:spacing w:line="276" w:lineRule="auto"/>
              <w:jc w:val="center"/>
              <w:rPr>
                <w:sz w:val="20"/>
                <w:szCs w:val="20"/>
              </w:rPr>
            </w:pPr>
            <w:r w:rsidRPr="00A6423A">
              <w:rPr>
                <w:b/>
                <w:sz w:val="20"/>
                <w:szCs w:val="20"/>
              </w:rPr>
              <w:t>10%</w:t>
            </w:r>
          </w:p>
        </w:tc>
        <w:tc>
          <w:tcPr>
            <w:tcW w:w="1639" w:type="dxa"/>
            <w:tcBorders>
              <w:left w:val="nil"/>
              <w:bottom w:val="nil"/>
            </w:tcBorders>
            <w:shd w:val="clear" w:color="auto" w:fill="auto"/>
            <w:tcMar>
              <w:top w:w="-555" w:type="dxa"/>
              <w:left w:w="-555" w:type="dxa"/>
              <w:bottom w:w="-555" w:type="dxa"/>
              <w:right w:w="-555" w:type="dxa"/>
            </w:tcMar>
            <w:vAlign w:val="center"/>
          </w:tcPr>
          <w:p w14:paraId="06B08A2B" w14:textId="77777777" w:rsidR="009B7827" w:rsidRPr="00A6423A" w:rsidRDefault="00000000">
            <w:pPr>
              <w:widowControl w:val="0"/>
              <w:spacing w:line="276" w:lineRule="auto"/>
              <w:jc w:val="center"/>
              <w:rPr>
                <w:sz w:val="20"/>
                <w:szCs w:val="20"/>
              </w:rPr>
            </w:pPr>
            <w:r w:rsidRPr="00A6423A">
              <w:rPr>
                <w:b/>
                <w:sz w:val="20"/>
                <w:szCs w:val="20"/>
              </w:rPr>
              <w:t>15%</w:t>
            </w:r>
          </w:p>
        </w:tc>
        <w:tc>
          <w:tcPr>
            <w:tcW w:w="1639" w:type="dxa"/>
            <w:tcBorders>
              <w:left w:val="nil"/>
              <w:bottom w:val="nil"/>
            </w:tcBorders>
            <w:shd w:val="clear" w:color="auto" w:fill="auto"/>
            <w:tcMar>
              <w:top w:w="-555" w:type="dxa"/>
              <w:left w:w="-555" w:type="dxa"/>
              <w:bottom w:w="-555" w:type="dxa"/>
              <w:right w:w="-555" w:type="dxa"/>
            </w:tcMar>
            <w:vAlign w:val="center"/>
          </w:tcPr>
          <w:p w14:paraId="3DB14E71" w14:textId="77777777" w:rsidR="009B7827" w:rsidRPr="00A6423A" w:rsidRDefault="00000000">
            <w:pPr>
              <w:widowControl w:val="0"/>
              <w:spacing w:line="276" w:lineRule="auto"/>
              <w:jc w:val="center"/>
              <w:rPr>
                <w:sz w:val="20"/>
                <w:szCs w:val="20"/>
              </w:rPr>
            </w:pPr>
            <w:r w:rsidRPr="00A6423A">
              <w:rPr>
                <w:b/>
                <w:sz w:val="20"/>
                <w:szCs w:val="20"/>
              </w:rPr>
              <w:t>20%</w:t>
            </w:r>
          </w:p>
        </w:tc>
      </w:tr>
      <w:tr w:rsidR="00374C06" w14:paraId="67EBEBEB" w14:textId="77777777" w:rsidTr="00374C06">
        <w:trPr>
          <w:jc w:val="center"/>
        </w:trPr>
        <w:tc>
          <w:tcPr>
            <w:tcW w:w="2783" w:type="dxa"/>
            <w:tcBorders>
              <w:left w:val="nil"/>
              <w:bottom w:val="nil"/>
            </w:tcBorders>
            <w:shd w:val="clear" w:color="auto" w:fill="EFEFEF"/>
            <w:tcMar>
              <w:top w:w="-555" w:type="dxa"/>
              <w:left w:w="-555" w:type="dxa"/>
              <w:bottom w:w="-555" w:type="dxa"/>
              <w:right w:w="-555" w:type="dxa"/>
            </w:tcMar>
            <w:vAlign w:val="bottom"/>
          </w:tcPr>
          <w:p w14:paraId="671E5DC9" w14:textId="6950A502" w:rsidR="00374C06" w:rsidRPr="00374C06" w:rsidRDefault="00374C06" w:rsidP="00374C06">
            <w:pPr>
              <w:widowControl w:val="0"/>
              <w:spacing w:line="276" w:lineRule="auto"/>
              <w:rPr>
                <w:sz w:val="20"/>
                <w:szCs w:val="20"/>
              </w:rPr>
            </w:pPr>
            <w:r w:rsidRPr="00374C06">
              <w:rPr>
                <w:sz w:val="20"/>
                <w:szCs w:val="20"/>
              </w:rPr>
              <w:t>Animals and By-products</w:t>
            </w:r>
          </w:p>
        </w:tc>
        <w:tc>
          <w:tcPr>
            <w:tcW w:w="1638" w:type="dxa"/>
            <w:tcBorders>
              <w:top w:val="nil"/>
              <w:left w:val="nil"/>
              <w:bottom w:val="nil"/>
              <w:right w:val="nil"/>
            </w:tcBorders>
            <w:shd w:val="clear" w:color="auto" w:fill="EFEFEF"/>
            <w:tcMar>
              <w:top w:w="20" w:type="dxa"/>
              <w:left w:w="20" w:type="dxa"/>
              <w:bottom w:w="100" w:type="dxa"/>
              <w:right w:w="20" w:type="dxa"/>
            </w:tcMar>
            <w:vAlign w:val="bottom"/>
          </w:tcPr>
          <w:p w14:paraId="1300DAF6" w14:textId="3A5368F5" w:rsidR="00374C06" w:rsidRPr="00374C06" w:rsidRDefault="00374C06" w:rsidP="00374C06">
            <w:pPr>
              <w:widowControl w:val="0"/>
              <w:jc w:val="center"/>
              <w:rPr>
                <w:sz w:val="20"/>
                <w:szCs w:val="20"/>
              </w:rPr>
            </w:pPr>
            <w:r w:rsidRPr="00374C06">
              <w:rPr>
                <w:sz w:val="20"/>
                <w:szCs w:val="20"/>
              </w:rPr>
              <w:t>6.61E+07</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22DCDB46" w14:textId="4D5A9915" w:rsidR="00374C06" w:rsidRPr="00374C06" w:rsidRDefault="00374C06" w:rsidP="00374C06">
            <w:pPr>
              <w:widowControl w:val="0"/>
              <w:jc w:val="center"/>
              <w:rPr>
                <w:sz w:val="20"/>
                <w:szCs w:val="20"/>
              </w:rPr>
            </w:pPr>
            <w:r w:rsidRPr="00374C06">
              <w:rPr>
                <w:sz w:val="20"/>
                <w:szCs w:val="20"/>
              </w:rPr>
              <w:t>9.56E+08</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0DD4BFFC" w14:textId="1638AD42" w:rsidR="00374C06" w:rsidRPr="00374C06" w:rsidRDefault="00374C06" w:rsidP="00374C06">
            <w:pPr>
              <w:widowControl w:val="0"/>
              <w:jc w:val="center"/>
              <w:rPr>
                <w:sz w:val="18"/>
                <w:szCs w:val="18"/>
              </w:rPr>
            </w:pPr>
            <w:r w:rsidRPr="00374C06">
              <w:rPr>
                <w:sz w:val="20"/>
                <w:szCs w:val="20"/>
              </w:rPr>
              <w:t>1.16E+09</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35D5D8D3" w14:textId="2DBE983B" w:rsidR="00374C06" w:rsidRPr="00374C06" w:rsidRDefault="00374C06" w:rsidP="00374C06">
            <w:pPr>
              <w:widowControl w:val="0"/>
              <w:jc w:val="center"/>
              <w:rPr>
                <w:sz w:val="18"/>
                <w:szCs w:val="18"/>
              </w:rPr>
            </w:pPr>
            <w:r w:rsidRPr="00374C06">
              <w:rPr>
                <w:sz w:val="20"/>
                <w:szCs w:val="20"/>
              </w:rPr>
              <w:t>1.51E+09</w:t>
            </w:r>
          </w:p>
        </w:tc>
      </w:tr>
      <w:tr w:rsidR="00374C06" w14:paraId="0AC81B35" w14:textId="77777777" w:rsidTr="00374C06">
        <w:trPr>
          <w:jc w:val="center"/>
        </w:trPr>
        <w:tc>
          <w:tcPr>
            <w:tcW w:w="2783" w:type="dxa"/>
            <w:tcBorders>
              <w:left w:val="nil"/>
              <w:bottom w:val="nil"/>
            </w:tcBorders>
            <w:shd w:val="clear" w:color="auto" w:fill="FFFFFF"/>
            <w:tcMar>
              <w:top w:w="-555" w:type="dxa"/>
              <w:left w:w="-555" w:type="dxa"/>
              <w:bottom w:w="-555" w:type="dxa"/>
              <w:right w:w="-555" w:type="dxa"/>
            </w:tcMar>
            <w:vAlign w:val="bottom"/>
          </w:tcPr>
          <w:p w14:paraId="60C68B55" w14:textId="31E2A233" w:rsidR="00374C06" w:rsidRPr="00374C06" w:rsidRDefault="00374C06" w:rsidP="00374C06">
            <w:pPr>
              <w:widowControl w:val="0"/>
              <w:spacing w:line="276" w:lineRule="auto"/>
              <w:rPr>
                <w:sz w:val="20"/>
                <w:szCs w:val="20"/>
              </w:rPr>
            </w:pPr>
            <w:r w:rsidRPr="00374C06">
              <w:rPr>
                <w:sz w:val="20"/>
                <w:szCs w:val="20"/>
              </w:rPr>
              <w:t xml:space="preserve">Vegetables, </w:t>
            </w:r>
            <w:proofErr w:type="gramStart"/>
            <w:r w:rsidRPr="00374C06">
              <w:rPr>
                <w:sz w:val="20"/>
                <w:szCs w:val="20"/>
              </w:rPr>
              <w:t>Fruits</w:t>
            </w:r>
            <w:proofErr w:type="gramEnd"/>
            <w:r w:rsidRPr="00374C06">
              <w:rPr>
                <w:sz w:val="20"/>
                <w:szCs w:val="20"/>
              </w:rPr>
              <w:t xml:space="preserve"> and Plants</w:t>
            </w:r>
          </w:p>
        </w:tc>
        <w:tc>
          <w:tcPr>
            <w:tcW w:w="1638" w:type="dxa"/>
            <w:tcBorders>
              <w:top w:val="nil"/>
              <w:left w:val="nil"/>
              <w:bottom w:val="nil"/>
              <w:right w:val="nil"/>
            </w:tcBorders>
            <w:shd w:val="clear" w:color="auto" w:fill="FFFFFF"/>
            <w:tcMar>
              <w:top w:w="20" w:type="dxa"/>
              <w:left w:w="20" w:type="dxa"/>
              <w:bottom w:w="100" w:type="dxa"/>
              <w:right w:w="20" w:type="dxa"/>
            </w:tcMar>
            <w:vAlign w:val="bottom"/>
          </w:tcPr>
          <w:p w14:paraId="3BDC2A79" w14:textId="550E53DD" w:rsidR="00374C06" w:rsidRPr="00374C06" w:rsidRDefault="00374C06" w:rsidP="00374C06">
            <w:pPr>
              <w:widowControl w:val="0"/>
              <w:jc w:val="center"/>
              <w:rPr>
                <w:sz w:val="20"/>
                <w:szCs w:val="20"/>
              </w:rPr>
            </w:pPr>
            <w:r w:rsidRPr="00374C06">
              <w:rPr>
                <w:sz w:val="20"/>
                <w:szCs w:val="20"/>
              </w:rPr>
              <w:t>0.00E+00</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085641B2" w14:textId="19C6D603" w:rsidR="00374C06" w:rsidRPr="00374C06" w:rsidRDefault="00374C06" w:rsidP="00374C06">
            <w:pPr>
              <w:widowControl w:val="0"/>
              <w:jc w:val="center"/>
              <w:rPr>
                <w:sz w:val="20"/>
                <w:szCs w:val="20"/>
              </w:rPr>
            </w:pPr>
            <w:r w:rsidRPr="00374C06">
              <w:rPr>
                <w:sz w:val="20"/>
                <w:szCs w:val="20"/>
              </w:rPr>
              <w:t>0.00E+00</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7023060E" w14:textId="14DD4988" w:rsidR="00374C06" w:rsidRPr="00374C06" w:rsidRDefault="00374C06" w:rsidP="00374C06">
            <w:pPr>
              <w:widowControl w:val="0"/>
              <w:jc w:val="center"/>
              <w:rPr>
                <w:sz w:val="18"/>
                <w:szCs w:val="18"/>
              </w:rPr>
            </w:pPr>
            <w:r w:rsidRPr="00374C06">
              <w:rPr>
                <w:sz w:val="20"/>
                <w:szCs w:val="20"/>
              </w:rPr>
              <w:t>1.65E+08</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0AAC305D" w14:textId="1A5A9BE9" w:rsidR="00374C06" w:rsidRPr="00374C06" w:rsidRDefault="00374C06" w:rsidP="00374C06">
            <w:pPr>
              <w:widowControl w:val="0"/>
              <w:jc w:val="center"/>
              <w:rPr>
                <w:sz w:val="18"/>
                <w:szCs w:val="18"/>
              </w:rPr>
            </w:pPr>
            <w:r w:rsidRPr="00374C06">
              <w:rPr>
                <w:sz w:val="20"/>
                <w:szCs w:val="20"/>
              </w:rPr>
              <w:t>2.16E+08</w:t>
            </w:r>
          </w:p>
        </w:tc>
      </w:tr>
      <w:tr w:rsidR="00374C06" w14:paraId="2569EA2A" w14:textId="77777777" w:rsidTr="00374C06">
        <w:trPr>
          <w:jc w:val="center"/>
        </w:trPr>
        <w:tc>
          <w:tcPr>
            <w:tcW w:w="2783" w:type="dxa"/>
            <w:tcBorders>
              <w:left w:val="nil"/>
              <w:bottom w:val="nil"/>
            </w:tcBorders>
            <w:shd w:val="clear" w:color="auto" w:fill="EFEFEF"/>
            <w:tcMar>
              <w:top w:w="-555" w:type="dxa"/>
              <w:left w:w="-555" w:type="dxa"/>
              <w:bottom w:w="-555" w:type="dxa"/>
              <w:right w:w="-555" w:type="dxa"/>
            </w:tcMar>
            <w:vAlign w:val="bottom"/>
          </w:tcPr>
          <w:p w14:paraId="39C8754E" w14:textId="47A3CD17" w:rsidR="00374C06" w:rsidRPr="00374C06" w:rsidRDefault="00374C06" w:rsidP="00374C06">
            <w:pPr>
              <w:widowControl w:val="0"/>
              <w:spacing w:line="276" w:lineRule="auto"/>
              <w:rPr>
                <w:sz w:val="20"/>
                <w:szCs w:val="20"/>
              </w:rPr>
            </w:pPr>
            <w:r w:rsidRPr="00374C06">
              <w:rPr>
                <w:sz w:val="20"/>
                <w:szCs w:val="20"/>
              </w:rPr>
              <w:t>Energy Drilling and Mining</w:t>
            </w:r>
          </w:p>
        </w:tc>
        <w:tc>
          <w:tcPr>
            <w:tcW w:w="1638" w:type="dxa"/>
            <w:tcBorders>
              <w:top w:val="nil"/>
              <w:left w:val="nil"/>
              <w:bottom w:val="nil"/>
              <w:right w:val="nil"/>
            </w:tcBorders>
            <w:shd w:val="clear" w:color="auto" w:fill="EFEFEF"/>
            <w:tcMar>
              <w:top w:w="20" w:type="dxa"/>
              <w:left w:w="20" w:type="dxa"/>
              <w:bottom w:w="100" w:type="dxa"/>
              <w:right w:w="20" w:type="dxa"/>
            </w:tcMar>
            <w:vAlign w:val="bottom"/>
          </w:tcPr>
          <w:p w14:paraId="5A48FBE3" w14:textId="7A14F9AA" w:rsidR="00374C06" w:rsidRPr="00374C06" w:rsidRDefault="00374C06" w:rsidP="00374C06">
            <w:pPr>
              <w:widowControl w:val="0"/>
              <w:jc w:val="center"/>
              <w:rPr>
                <w:sz w:val="20"/>
                <w:szCs w:val="20"/>
              </w:rPr>
            </w:pPr>
            <w:r w:rsidRPr="00374C06">
              <w:rPr>
                <w:sz w:val="20"/>
                <w:szCs w:val="20"/>
              </w:rPr>
              <w:t>0.00E+00</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3CF42967" w14:textId="4934FEB8" w:rsidR="00374C06" w:rsidRPr="00374C06" w:rsidRDefault="00374C06" w:rsidP="00374C06">
            <w:pPr>
              <w:widowControl w:val="0"/>
              <w:jc w:val="center"/>
              <w:rPr>
                <w:sz w:val="20"/>
                <w:szCs w:val="20"/>
              </w:rPr>
            </w:pPr>
            <w:r w:rsidRPr="00374C06">
              <w:rPr>
                <w:sz w:val="20"/>
                <w:szCs w:val="20"/>
              </w:rPr>
              <w:t>0.00E+00</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7DE52A82" w14:textId="17867827" w:rsidR="00374C06" w:rsidRPr="00374C06" w:rsidRDefault="00374C06" w:rsidP="00374C06">
            <w:pPr>
              <w:widowControl w:val="0"/>
              <w:jc w:val="center"/>
              <w:rPr>
                <w:sz w:val="18"/>
                <w:szCs w:val="18"/>
              </w:rPr>
            </w:pPr>
            <w:r w:rsidRPr="00374C06">
              <w:rPr>
                <w:sz w:val="20"/>
                <w:szCs w:val="20"/>
              </w:rPr>
              <w:t>1.49E+09</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5B9CB21D" w14:textId="77A4EEA3" w:rsidR="00374C06" w:rsidRPr="00374C06" w:rsidRDefault="00374C06" w:rsidP="00374C06">
            <w:pPr>
              <w:widowControl w:val="0"/>
              <w:jc w:val="center"/>
              <w:rPr>
                <w:sz w:val="18"/>
                <w:szCs w:val="18"/>
              </w:rPr>
            </w:pPr>
            <w:r w:rsidRPr="00374C06">
              <w:rPr>
                <w:sz w:val="20"/>
                <w:szCs w:val="20"/>
              </w:rPr>
              <w:t>1.51E+09</w:t>
            </w:r>
          </w:p>
        </w:tc>
      </w:tr>
      <w:tr w:rsidR="00374C06" w14:paraId="77D4B6FC" w14:textId="77777777" w:rsidTr="00104481">
        <w:trPr>
          <w:jc w:val="center"/>
        </w:trPr>
        <w:tc>
          <w:tcPr>
            <w:tcW w:w="2783" w:type="dxa"/>
            <w:tcBorders>
              <w:left w:val="nil"/>
              <w:bottom w:val="nil"/>
            </w:tcBorders>
            <w:shd w:val="clear" w:color="auto" w:fill="auto"/>
            <w:tcMar>
              <w:top w:w="-555" w:type="dxa"/>
              <w:left w:w="-555" w:type="dxa"/>
              <w:bottom w:w="-555" w:type="dxa"/>
              <w:right w:w="-555" w:type="dxa"/>
            </w:tcMar>
            <w:vAlign w:val="bottom"/>
          </w:tcPr>
          <w:p w14:paraId="494316BF" w14:textId="0D63E299" w:rsidR="00374C06" w:rsidRPr="00374C06" w:rsidRDefault="00374C06" w:rsidP="00374C06">
            <w:pPr>
              <w:widowControl w:val="0"/>
              <w:spacing w:line="276" w:lineRule="auto"/>
              <w:rPr>
                <w:sz w:val="20"/>
                <w:szCs w:val="20"/>
              </w:rPr>
            </w:pPr>
            <w:r w:rsidRPr="00374C06">
              <w:rPr>
                <w:sz w:val="20"/>
                <w:szCs w:val="20"/>
              </w:rPr>
              <w:t>Textile</w:t>
            </w:r>
          </w:p>
        </w:tc>
        <w:tc>
          <w:tcPr>
            <w:tcW w:w="1638" w:type="dxa"/>
            <w:tcBorders>
              <w:top w:val="nil"/>
              <w:left w:val="nil"/>
              <w:bottom w:val="nil"/>
              <w:right w:val="nil"/>
            </w:tcBorders>
            <w:shd w:val="clear" w:color="auto" w:fill="auto"/>
            <w:tcMar>
              <w:top w:w="20" w:type="dxa"/>
              <w:left w:w="20" w:type="dxa"/>
              <w:bottom w:w="100" w:type="dxa"/>
              <w:right w:w="20" w:type="dxa"/>
            </w:tcMar>
            <w:vAlign w:val="bottom"/>
          </w:tcPr>
          <w:p w14:paraId="2DCC8AB5" w14:textId="4BF8B2F7" w:rsidR="00374C06" w:rsidRPr="00374C06" w:rsidRDefault="00374C06" w:rsidP="00374C06">
            <w:pPr>
              <w:widowControl w:val="0"/>
              <w:jc w:val="center"/>
              <w:rPr>
                <w:sz w:val="20"/>
                <w:szCs w:val="20"/>
              </w:rPr>
            </w:pPr>
            <w:r w:rsidRPr="00374C06">
              <w:rPr>
                <w:sz w:val="20"/>
                <w:szCs w:val="20"/>
              </w:rPr>
              <w:t>6.61E+07</w:t>
            </w:r>
          </w:p>
        </w:tc>
        <w:tc>
          <w:tcPr>
            <w:tcW w:w="1639" w:type="dxa"/>
            <w:tcBorders>
              <w:top w:val="nil"/>
              <w:left w:val="nil"/>
              <w:bottom w:val="nil"/>
              <w:right w:val="nil"/>
            </w:tcBorders>
            <w:shd w:val="clear" w:color="auto" w:fill="auto"/>
            <w:tcMar>
              <w:top w:w="20" w:type="dxa"/>
              <w:left w:w="20" w:type="dxa"/>
              <w:bottom w:w="100" w:type="dxa"/>
              <w:right w:w="20" w:type="dxa"/>
            </w:tcMar>
            <w:vAlign w:val="bottom"/>
          </w:tcPr>
          <w:p w14:paraId="1AF21C1F" w14:textId="1EF68E17" w:rsidR="00374C06" w:rsidRPr="00374C06" w:rsidRDefault="00374C06" w:rsidP="00374C06">
            <w:pPr>
              <w:widowControl w:val="0"/>
              <w:jc w:val="center"/>
              <w:rPr>
                <w:sz w:val="20"/>
                <w:szCs w:val="20"/>
              </w:rPr>
            </w:pPr>
            <w:r w:rsidRPr="00374C06">
              <w:rPr>
                <w:sz w:val="20"/>
                <w:szCs w:val="20"/>
              </w:rPr>
              <w:t>6.83E+07</w:t>
            </w:r>
          </w:p>
        </w:tc>
        <w:tc>
          <w:tcPr>
            <w:tcW w:w="1639" w:type="dxa"/>
            <w:tcBorders>
              <w:top w:val="nil"/>
              <w:left w:val="nil"/>
              <w:bottom w:val="nil"/>
              <w:right w:val="nil"/>
            </w:tcBorders>
            <w:shd w:val="clear" w:color="auto" w:fill="auto"/>
            <w:tcMar>
              <w:top w:w="20" w:type="dxa"/>
              <w:left w:w="20" w:type="dxa"/>
              <w:bottom w:w="100" w:type="dxa"/>
              <w:right w:w="20" w:type="dxa"/>
            </w:tcMar>
            <w:vAlign w:val="bottom"/>
          </w:tcPr>
          <w:p w14:paraId="552D86FC" w14:textId="73B5D275" w:rsidR="00374C06" w:rsidRPr="00374C06" w:rsidRDefault="00374C06" w:rsidP="00374C06">
            <w:pPr>
              <w:widowControl w:val="0"/>
              <w:jc w:val="center"/>
              <w:rPr>
                <w:sz w:val="20"/>
                <w:szCs w:val="20"/>
              </w:rPr>
            </w:pPr>
            <w:r w:rsidRPr="00374C06">
              <w:rPr>
                <w:sz w:val="20"/>
                <w:szCs w:val="20"/>
              </w:rPr>
              <w:t>1.65E+08</w:t>
            </w:r>
          </w:p>
        </w:tc>
        <w:tc>
          <w:tcPr>
            <w:tcW w:w="1639" w:type="dxa"/>
            <w:tcBorders>
              <w:top w:val="nil"/>
              <w:left w:val="nil"/>
              <w:bottom w:val="nil"/>
              <w:right w:val="nil"/>
            </w:tcBorders>
            <w:shd w:val="clear" w:color="auto" w:fill="auto"/>
            <w:tcMar>
              <w:top w:w="20" w:type="dxa"/>
              <w:left w:w="20" w:type="dxa"/>
              <w:bottom w:w="100" w:type="dxa"/>
              <w:right w:w="20" w:type="dxa"/>
            </w:tcMar>
            <w:vAlign w:val="bottom"/>
          </w:tcPr>
          <w:p w14:paraId="4EA05474" w14:textId="2157C4FF" w:rsidR="00374C06" w:rsidRPr="00374C06" w:rsidRDefault="00374C06" w:rsidP="00374C06">
            <w:pPr>
              <w:widowControl w:val="0"/>
              <w:jc w:val="center"/>
              <w:rPr>
                <w:sz w:val="20"/>
                <w:szCs w:val="20"/>
              </w:rPr>
            </w:pPr>
            <w:r w:rsidRPr="00374C06">
              <w:rPr>
                <w:sz w:val="20"/>
                <w:szCs w:val="20"/>
              </w:rPr>
              <w:t>2.16E+08</w:t>
            </w:r>
          </w:p>
        </w:tc>
      </w:tr>
      <w:tr w:rsidR="00374C06" w14:paraId="4B42A539" w14:textId="77777777" w:rsidTr="00374C06">
        <w:trPr>
          <w:jc w:val="center"/>
        </w:trPr>
        <w:tc>
          <w:tcPr>
            <w:tcW w:w="2783" w:type="dxa"/>
            <w:tcBorders>
              <w:left w:val="nil"/>
              <w:bottom w:val="nil"/>
            </w:tcBorders>
            <w:shd w:val="clear" w:color="auto" w:fill="EFEFEF"/>
            <w:tcMar>
              <w:top w:w="-555" w:type="dxa"/>
              <w:left w:w="-555" w:type="dxa"/>
              <w:bottom w:w="-555" w:type="dxa"/>
              <w:right w:w="-555" w:type="dxa"/>
            </w:tcMar>
            <w:vAlign w:val="bottom"/>
          </w:tcPr>
          <w:p w14:paraId="367CE160" w14:textId="3F2D3318" w:rsidR="00374C06" w:rsidRPr="00374C06" w:rsidRDefault="00374C06" w:rsidP="00374C06">
            <w:pPr>
              <w:widowControl w:val="0"/>
              <w:spacing w:line="276" w:lineRule="auto"/>
              <w:rPr>
                <w:sz w:val="20"/>
                <w:szCs w:val="20"/>
              </w:rPr>
            </w:pPr>
            <w:r w:rsidRPr="00374C06">
              <w:rPr>
                <w:sz w:val="20"/>
                <w:szCs w:val="20"/>
              </w:rPr>
              <w:t>Precious Stones</w:t>
            </w:r>
          </w:p>
        </w:tc>
        <w:tc>
          <w:tcPr>
            <w:tcW w:w="1638" w:type="dxa"/>
            <w:tcBorders>
              <w:top w:val="nil"/>
              <w:left w:val="nil"/>
              <w:bottom w:val="nil"/>
              <w:right w:val="nil"/>
            </w:tcBorders>
            <w:shd w:val="clear" w:color="auto" w:fill="EFEFEF"/>
            <w:tcMar>
              <w:top w:w="20" w:type="dxa"/>
              <w:left w:w="20" w:type="dxa"/>
              <w:bottom w:w="100" w:type="dxa"/>
              <w:right w:w="20" w:type="dxa"/>
            </w:tcMar>
            <w:vAlign w:val="bottom"/>
          </w:tcPr>
          <w:p w14:paraId="6FDEF511" w14:textId="440DEBFF" w:rsidR="00374C06" w:rsidRPr="00374C06" w:rsidRDefault="00374C06" w:rsidP="00374C06">
            <w:pPr>
              <w:widowControl w:val="0"/>
              <w:jc w:val="center"/>
              <w:rPr>
                <w:sz w:val="20"/>
                <w:szCs w:val="20"/>
              </w:rPr>
            </w:pPr>
            <w:r w:rsidRPr="00374C06">
              <w:rPr>
                <w:sz w:val="20"/>
                <w:szCs w:val="20"/>
              </w:rPr>
              <w:t>5.28E+08</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576C7B2B" w14:textId="65236C07" w:rsidR="00374C06" w:rsidRPr="00374C06" w:rsidRDefault="00374C06" w:rsidP="00374C06">
            <w:pPr>
              <w:widowControl w:val="0"/>
              <w:jc w:val="center"/>
              <w:rPr>
                <w:sz w:val="20"/>
                <w:szCs w:val="20"/>
              </w:rPr>
            </w:pPr>
            <w:r w:rsidRPr="00374C06">
              <w:rPr>
                <w:sz w:val="20"/>
                <w:szCs w:val="20"/>
              </w:rPr>
              <w:t>6.83E+08</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77BE1355" w14:textId="1AF432F2" w:rsidR="00374C06" w:rsidRPr="00374C06" w:rsidRDefault="00374C06" w:rsidP="00374C06">
            <w:pPr>
              <w:widowControl w:val="0"/>
              <w:jc w:val="center"/>
              <w:rPr>
                <w:sz w:val="20"/>
                <w:szCs w:val="20"/>
              </w:rPr>
            </w:pPr>
            <w:r w:rsidRPr="00374C06">
              <w:rPr>
                <w:sz w:val="20"/>
                <w:szCs w:val="20"/>
              </w:rPr>
              <w:t>1.49E+09</w:t>
            </w:r>
          </w:p>
        </w:tc>
        <w:tc>
          <w:tcPr>
            <w:tcW w:w="1639" w:type="dxa"/>
            <w:tcBorders>
              <w:top w:val="nil"/>
              <w:left w:val="nil"/>
              <w:bottom w:val="nil"/>
              <w:right w:val="nil"/>
            </w:tcBorders>
            <w:shd w:val="clear" w:color="auto" w:fill="EFEFEF"/>
            <w:tcMar>
              <w:top w:w="20" w:type="dxa"/>
              <w:left w:w="20" w:type="dxa"/>
              <w:bottom w:w="100" w:type="dxa"/>
              <w:right w:w="20" w:type="dxa"/>
            </w:tcMar>
            <w:vAlign w:val="bottom"/>
          </w:tcPr>
          <w:p w14:paraId="51F8A79A" w14:textId="25531EB2" w:rsidR="00374C06" w:rsidRPr="00374C06" w:rsidRDefault="00374C06" w:rsidP="00374C06">
            <w:pPr>
              <w:widowControl w:val="0"/>
              <w:jc w:val="center"/>
              <w:rPr>
                <w:sz w:val="20"/>
                <w:szCs w:val="20"/>
              </w:rPr>
            </w:pPr>
            <w:r w:rsidRPr="00374C06">
              <w:rPr>
                <w:sz w:val="20"/>
                <w:szCs w:val="20"/>
              </w:rPr>
              <w:t>1.08E+09</w:t>
            </w:r>
          </w:p>
        </w:tc>
      </w:tr>
      <w:tr w:rsidR="00A6423A" w14:paraId="3C946422" w14:textId="77777777" w:rsidTr="00374C06">
        <w:trPr>
          <w:trHeight w:val="225"/>
          <w:jc w:val="center"/>
        </w:trPr>
        <w:tc>
          <w:tcPr>
            <w:tcW w:w="2783" w:type="dxa"/>
            <w:tcBorders>
              <w:left w:val="nil"/>
              <w:bottom w:val="nil"/>
            </w:tcBorders>
            <w:shd w:val="clear" w:color="auto" w:fill="FFFFFF"/>
            <w:tcMar>
              <w:top w:w="-555" w:type="dxa"/>
              <w:left w:w="-555" w:type="dxa"/>
              <w:bottom w:w="-555" w:type="dxa"/>
              <w:right w:w="-555" w:type="dxa"/>
            </w:tcMar>
            <w:vAlign w:val="center"/>
          </w:tcPr>
          <w:p w14:paraId="6B4908C0" w14:textId="77777777" w:rsidR="00A6423A" w:rsidRPr="00A6423A" w:rsidRDefault="00A6423A" w:rsidP="00A6423A">
            <w:pPr>
              <w:widowControl w:val="0"/>
              <w:spacing w:line="276" w:lineRule="auto"/>
              <w:rPr>
                <w:b/>
                <w:sz w:val="20"/>
                <w:szCs w:val="20"/>
              </w:rPr>
            </w:pPr>
            <w:r w:rsidRPr="00A6423A">
              <w:rPr>
                <w:b/>
                <w:sz w:val="20"/>
                <w:szCs w:val="20"/>
              </w:rPr>
              <w:t>Increased ECI</w:t>
            </w:r>
          </w:p>
        </w:tc>
        <w:tc>
          <w:tcPr>
            <w:tcW w:w="1638" w:type="dxa"/>
            <w:tcBorders>
              <w:top w:val="nil"/>
              <w:left w:val="nil"/>
              <w:bottom w:val="nil"/>
              <w:right w:val="nil"/>
            </w:tcBorders>
            <w:shd w:val="clear" w:color="auto" w:fill="FFFFFF"/>
            <w:tcMar>
              <w:top w:w="20" w:type="dxa"/>
              <w:left w:w="20" w:type="dxa"/>
              <w:bottom w:w="100" w:type="dxa"/>
              <w:right w:w="20" w:type="dxa"/>
            </w:tcMar>
            <w:vAlign w:val="bottom"/>
          </w:tcPr>
          <w:p w14:paraId="6BE19021" w14:textId="63CD0A23" w:rsidR="00A6423A" w:rsidRPr="00A6423A" w:rsidRDefault="00A6423A" w:rsidP="00A6423A">
            <w:pPr>
              <w:widowControl w:val="0"/>
              <w:jc w:val="center"/>
              <w:rPr>
                <w:b/>
                <w:sz w:val="20"/>
                <w:szCs w:val="20"/>
              </w:rPr>
            </w:pPr>
            <w:r w:rsidRPr="00A6423A">
              <w:rPr>
                <w:b/>
                <w:bCs/>
                <w:sz w:val="20"/>
                <w:szCs w:val="20"/>
              </w:rPr>
              <w:t>-0.32766</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47632EDC" w14:textId="5310E658" w:rsidR="00A6423A" w:rsidRPr="00A6423A" w:rsidRDefault="00A6423A" w:rsidP="00A6423A">
            <w:pPr>
              <w:widowControl w:val="0"/>
              <w:jc w:val="center"/>
              <w:rPr>
                <w:b/>
                <w:sz w:val="20"/>
                <w:szCs w:val="20"/>
              </w:rPr>
            </w:pPr>
            <w:r w:rsidRPr="00A6423A">
              <w:rPr>
                <w:b/>
                <w:bCs/>
                <w:sz w:val="20"/>
                <w:szCs w:val="20"/>
              </w:rPr>
              <w:t>-0.07178</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430984EA" w14:textId="1C7FB815" w:rsidR="00A6423A" w:rsidRPr="00A6423A" w:rsidRDefault="00A6423A" w:rsidP="00A6423A">
            <w:pPr>
              <w:widowControl w:val="0"/>
              <w:jc w:val="center"/>
              <w:rPr>
                <w:b/>
                <w:sz w:val="20"/>
                <w:szCs w:val="20"/>
              </w:rPr>
            </w:pPr>
            <w:r w:rsidRPr="00A6423A">
              <w:rPr>
                <w:b/>
                <w:bCs/>
                <w:sz w:val="20"/>
                <w:szCs w:val="20"/>
              </w:rPr>
              <w:t>1.05261</w:t>
            </w:r>
          </w:p>
        </w:tc>
        <w:tc>
          <w:tcPr>
            <w:tcW w:w="1639" w:type="dxa"/>
            <w:tcBorders>
              <w:top w:val="nil"/>
              <w:left w:val="nil"/>
              <w:bottom w:val="nil"/>
              <w:right w:val="nil"/>
            </w:tcBorders>
            <w:shd w:val="clear" w:color="auto" w:fill="FFFFFF"/>
            <w:tcMar>
              <w:top w:w="20" w:type="dxa"/>
              <w:left w:w="20" w:type="dxa"/>
              <w:bottom w:w="100" w:type="dxa"/>
              <w:right w:w="20" w:type="dxa"/>
            </w:tcMar>
            <w:vAlign w:val="bottom"/>
          </w:tcPr>
          <w:p w14:paraId="5F3CDA6D" w14:textId="3DFCE0E9" w:rsidR="00A6423A" w:rsidRPr="00A6423A" w:rsidRDefault="00A6423A" w:rsidP="00A6423A">
            <w:pPr>
              <w:widowControl w:val="0"/>
              <w:jc w:val="center"/>
              <w:rPr>
                <w:b/>
                <w:sz w:val="20"/>
                <w:szCs w:val="20"/>
              </w:rPr>
            </w:pPr>
            <w:r w:rsidRPr="00A6423A">
              <w:rPr>
                <w:b/>
                <w:bCs/>
                <w:sz w:val="20"/>
                <w:szCs w:val="20"/>
              </w:rPr>
              <w:t>1.12812</w:t>
            </w:r>
          </w:p>
        </w:tc>
      </w:tr>
    </w:tbl>
    <w:p w14:paraId="23D252B5" w14:textId="5C1A8435" w:rsidR="009B7827" w:rsidRDefault="00000000">
      <w:pPr>
        <w:jc w:val="center"/>
        <w:rPr>
          <w:sz w:val="22"/>
          <w:szCs w:val="22"/>
        </w:rPr>
      </w:pPr>
      <w:r>
        <w:rPr>
          <w:sz w:val="22"/>
          <w:szCs w:val="22"/>
        </w:rPr>
        <w:t xml:space="preserve">Table 8. Portfolio of </w:t>
      </w:r>
      <w:r w:rsidR="00BD4111">
        <w:rPr>
          <w:sz w:val="22"/>
          <w:szCs w:val="22"/>
        </w:rPr>
        <w:t>Tunisia</w:t>
      </w:r>
      <w:r>
        <w:rPr>
          <w:sz w:val="22"/>
          <w:szCs w:val="22"/>
        </w:rPr>
        <w:t xml:space="preserve"> (2022)</w:t>
      </w:r>
    </w:p>
    <w:p w14:paraId="56BBA1E0" w14:textId="77777777" w:rsidR="009B7827" w:rsidRDefault="009B7827">
      <w:pPr>
        <w:jc w:val="center"/>
        <w:rPr>
          <w:sz w:val="22"/>
          <w:szCs w:val="22"/>
        </w:rPr>
      </w:pPr>
    </w:p>
    <w:p w14:paraId="773DEA16" w14:textId="77777777" w:rsidR="009B7827" w:rsidRDefault="00000000">
      <w:pPr>
        <w:spacing w:line="276" w:lineRule="auto"/>
        <w:rPr>
          <w:b/>
        </w:rPr>
      </w:pPr>
      <w:proofErr w:type="gramStart"/>
      <w:r>
        <w:rPr>
          <w:b/>
        </w:rPr>
        <w:t>4.3  Sensitivity</w:t>
      </w:r>
      <w:proofErr w:type="gramEnd"/>
      <w:r>
        <w:rPr>
          <w:b/>
        </w:rPr>
        <w:t xml:space="preserve"> Analysis</w:t>
      </w:r>
    </w:p>
    <w:p w14:paraId="1D4A346C" w14:textId="55C58A55" w:rsidR="009B7827" w:rsidRDefault="00000000">
      <w:pPr>
        <w:spacing w:line="276" w:lineRule="auto"/>
        <w:jc w:val="both"/>
      </w:pPr>
      <w:r>
        <w:lastRenderedPageBreak/>
        <w:t xml:space="preserve">In the following section, our broad aim is to understand how sensitive </w:t>
      </w:r>
      <w:r w:rsidR="00BD4111">
        <w:t>Tunisia</w:t>
      </w:r>
      <w: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14:paraId="42C9D266" w14:textId="77777777" w:rsidR="009B7827" w:rsidRDefault="00000000">
      <w:pPr>
        <w:spacing w:before="240" w:after="240" w:line="276" w:lineRule="auto"/>
        <w:rPr>
          <w:b/>
        </w:rPr>
      </w:pPr>
      <w:r>
        <w:rPr>
          <w:b/>
        </w:rPr>
        <w:t>ECI Sensitivity Graph</w:t>
      </w:r>
    </w:p>
    <w:p w14:paraId="5399719D" w14:textId="77777777" w:rsidR="009B7827" w:rsidRDefault="00000000">
      <w:pPr>
        <w:spacing w:before="240" w:after="240" w:line="276" w:lineRule="auto"/>
        <w:jc w:val="both"/>
      </w:pPr>
      <w:r>
        <w:t xml:space="preserve">First, in order to assess the effect particular </w:t>
      </w:r>
      <w:proofErr w:type="gramStart"/>
      <w:r>
        <w:t>industries</w:t>
      </w:r>
      <w:proofErr w:type="gramEnd"/>
      <w:r>
        <w:t xml:space="preserve">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w:t>
      </w:r>
      <w:proofErr w:type="gramStart"/>
      <w:r>
        <w:t>in order to</w:t>
      </w:r>
      <w:proofErr w:type="gramEnd"/>
      <w:r>
        <w:t xml:space="preserve">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14:paraId="40A876B7" w14:textId="77777777" w:rsidR="009B7827" w:rsidRDefault="00000000">
      <w:pPr>
        <w:jc w:val="both"/>
        <w:rPr>
          <w:b/>
        </w:rPr>
      </w:pPr>
      <w:r>
        <w:rPr>
          <w:b/>
          <w:noProof/>
        </w:rPr>
        <w:drawing>
          <wp:inline distT="114300" distB="114300" distL="114300" distR="114300" wp14:anchorId="685D2E24" wp14:editId="59BFFBBC">
            <wp:extent cx="5310188" cy="2519630"/>
            <wp:effectExtent l="0" t="0" r="0" b="0"/>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t="9708"/>
                    <a:stretch>
                      <a:fillRect/>
                    </a:stretch>
                  </pic:blipFill>
                  <pic:spPr>
                    <a:xfrm>
                      <a:off x="0" y="0"/>
                      <a:ext cx="5310188" cy="2519630"/>
                    </a:xfrm>
                    <a:prstGeom prst="rect">
                      <a:avLst/>
                    </a:prstGeom>
                    <a:ln/>
                  </pic:spPr>
                </pic:pic>
              </a:graphicData>
            </a:graphic>
          </wp:inline>
        </w:drawing>
      </w:r>
    </w:p>
    <w:p w14:paraId="19DF2CCA" w14:textId="77777777" w:rsidR="009B7827" w:rsidRDefault="00000000">
      <w:pPr>
        <w:jc w:val="center"/>
      </w:pPr>
      <w:r>
        <w:rPr>
          <w:sz w:val="22"/>
          <w:szCs w:val="22"/>
        </w:rPr>
        <w:t>Figure 5. Sample ECI Sensitivity Graph (2018)</w:t>
      </w:r>
    </w:p>
    <w:p w14:paraId="21C600D9" w14:textId="77777777" w:rsidR="009B7827" w:rsidRDefault="00000000">
      <w:pPr>
        <w:spacing w:before="240" w:after="240" w:line="276" w:lineRule="auto"/>
        <w:jc w:val="both"/>
        <w:rPr>
          <w:b/>
          <w:sz w:val="28"/>
          <w:szCs w:val="28"/>
        </w:rPr>
      </w:pPr>
      <w: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w:t>
      </w:r>
      <w:r>
        <w:lastRenderedPageBreak/>
        <w:t>format except the X-axis represents negative shock. In other words, exports for each industry are decremented, and the ECI is accordingly recomputed.</w:t>
      </w:r>
    </w:p>
    <w:p w14:paraId="441B58E7" w14:textId="77777777" w:rsidR="009B7827" w:rsidRDefault="00000000">
      <w:pPr>
        <w:jc w:val="both"/>
        <w:rPr>
          <w:b/>
        </w:rPr>
      </w:pPr>
      <w:r>
        <w:rPr>
          <w:b/>
        </w:rPr>
        <w:t>4.3 Sensitivity Analysis Results and Interpretation</w:t>
      </w:r>
    </w:p>
    <w:p w14:paraId="682E681D" w14:textId="73C0B61C" w:rsidR="009B7827" w:rsidRDefault="00000000">
      <w:pPr>
        <w:jc w:val="both"/>
      </w:pPr>
      <w:r>
        <w:t xml:space="preserve">We examine </w:t>
      </w:r>
      <w:r w:rsidR="00BD4111">
        <w:t>Tunisia</w:t>
      </w:r>
      <w:r>
        <w:t xml:space="preserve">'s ECI Decremental and Incremental Sensitivity Charts for 2022. An increase in Energy Drilling and Mining will lead to the highest change in ECI, followed by </w:t>
      </w:r>
      <w:r w:rsidR="007602C8">
        <w:t>Animal By-Products and Chemicals</w:t>
      </w:r>
      <w:r>
        <w:t xml:space="preserve">. The significance of </w:t>
      </w:r>
      <w:r w:rsidR="000763BF">
        <w:t>Chemicals</w:t>
      </w:r>
      <w:r>
        <w:t xml:space="preserve">, not captured in the greedy algorithm, suggests that it is critical to increasing ECI and consequently developing </w:t>
      </w:r>
      <w:r w:rsidR="00BD4111">
        <w:t>Tunisia</w:t>
      </w:r>
      <w:r>
        <w:t xml:space="preserve">’s economy. The other two industries are consistent with previous analyses. For the negative shock cases, </w:t>
      </w:r>
      <w:r w:rsidR="00CC69ED">
        <w:t>Chemicals and Vegetables, Fruits</w:t>
      </w:r>
      <w:r w:rsidR="00A67C0B">
        <w:t>,</w:t>
      </w:r>
      <w:r w:rsidR="00CC69ED">
        <w:t xml:space="preserve"> and Plants</w:t>
      </w:r>
      <w:r>
        <w:t xml:space="preserve"> </w:t>
      </w:r>
      <w:r w:rsidR="00CC69ED">
        <w:t>are</w:t>
      </w:r>
      <w:r>
        <w:t xml:space="preserve"> the most important. The rest of the industries do not appear to have the same level of sensitivity. This suggests that even in economic downturns, </w:t>
      </w:r>
      <w:r w:rsidR="00BD4111">
        <w:t>Tunisia</w:t>
      </w:r>
      <w:r>
        <w:t xml:space="preserve"> should continue to invest </w:t>
      </w:r>
      <w:r w:rsidR="000C0E64">
        <w:t>in these two industries</w:t>
      </w:r>
      <w:r>
        <w:t xml:space="preserve"> to avoid additional decreases in ECI.</w:t>
      </w:r>
    </w:p>
    <w:p w14:paraId="575D0457" w14:textId="65A54538" w:rsidR="009B7827" w:rsidRDefault="00551732" w:rsidP="00CD1557">
      <w:pPr>
        <w:ind w:left="-567"/>
        <w:jc w:val="both"/>
      </w:pPr>
      <w:r>
        <w:rPr>
          <w:noProof/>
          <w:sz w:val="16"/>
          <w:szCs w:val="16"/>
        </w:rPr>
        <w:drawing>
          <wp:inline distT="0" distB="0" distL="0" distR="0" wp14:anchorId="105D5182" wp14:editId="6D2A5AF1">
            <wp:extent cx="6526530" cy="1864619"/>
            <wp:effectExtent l="0" t="0" r="1270" b="2540"/>
            <wp:docPr id="1473454153" name="Picture 7" descr="A graph with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54153" name="Picture 7" descr="A graph with colored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3718" cy="1875243"/>
                    </a:xfrm>
                    <a:prstGeom prst="rect">
                      <a:avLst/>
                    </a:prstGeom>
                  </pic:spPr>
                </pic:pic>
              </a:graphicData>
            </a:graphic>
          </wp:inline>
        </w:drawing>
      </w:r>
    </w:p>
    <w:p w14:paraId="267C5559" w14:textId="1861D8E2" w:rsidR="009B7827" w:rsidRDefault="00000000">
      <w:pPr>
        <w:jc w:val="center"/>
        <w:rPr>
          <w:sz w:val="22"/>
          <w:szCs w:val="22"/>
        </w:rPr>
      </w:pPr>
      <w:r>
        <w:rPr>
          <w:sz w:val="22"/>
          <w:szCs w:val="22"/>
        </w:rPr>
        <w:t xml:space="preserve">Figure 6a. Incremental ECI Sensitivity for </w:t>
      </w:r>
      <w:r w:rsidR="00BD4111">
        <w:rPr>
          <w:sz w:val="22"/>
          <w:szCs w:val="22"/>
        </w:rPr>
        <w:t>Tunisia</w:t>
      </w:r>
      <w:r>
        <w:rPr>
          <w:sz w:val="22"/>
          <w:szCs w:val="22"/>
        </w:rPr>
        <w:t xml:space="preserve"> (2022)</w:t>
      </w:r>
    </w:p>
    <w:p w14:paraId="0AE305B6" w14:textId="08D9B7E5" w:rsidR="009B7827" w:rsidRDefault="00CD1557" w:rsidP="00CD1557">
      <w:pPr>
        <w:ind w:left="-567"/>
        <w:jc w:val="center"/>
        <w:rPr>
          <w:sz w:val="22"/>
          <w:szCs w:val="22"/>
        </w:rPr>
      </w:pPr>
      <w:r>
        <w:rPr>
          <w:noProof/>
          <w:sz w:val="22"/>
          <w:szCs w:val="22"/>
        </w:rPr>
        <w:drawing>
          <wp:inline distT="0" distB="0" distL="0" distR="0" wp14:anchorId="23708178" wp14:editId="3EC02A7A">
            <wp:extent cx="6526668" cy="1864659"/>
            <wp:effectExtent l="0" t="0" r="1270" b="2540"/>
            <wp:docPr id="795263908" name="Picture 8"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3908" name="Picture 8" descr="A graph with lines and number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5035" cy="1867049"/>
                    </a:xfrm>
                    <a:prstGeom prst="rect">
                      <a:avLst/>
                    </a:prstGeom>
                  </pic:spPr>
                </pic:pic>
              </a:graphicData>
            </a:graphic>
          </wp:inline>
        </w:drawing>
      </w:r>
    </w:p>
    <w:p w14:paraId="425ECA71" w14:textId="4330B5ED" w:rsidR="009B7827" w:rsidRDefault="00000000">
      <w:pPr>
        <w:jc w:val="center"/>
        <w:rPr>
          <w:sz w:val="22"/>
          <w:szCs w:val="22"/>
        </w:rPr>
      </w:pPr>
      <w:r>
        <w:rPr>
          <w:sz w:val="22"/>
          <w:szCs w:val="22"/>
        </w:rPr>
        <w:t xml:space="preserve">Figure 6b. Decremental ECI Sensitivity for </w:t>
      </w:r>
      <w:r w:rsidR="00BD4111">
        <w:rPr>
          <w:sz w:val="22"/>
          <w:szCs w:val="22"/>
        </w:rPr>
        <w:t>Tunisia</w:t>
      </w:r>
      <w:r>
        <w:rPr>
          <w:sz w:val="22"/>
          <w:szCs w:val="22"/>
        </w:rPr>
        <w:t xml:space="preserve"> (202</w:t>
      </w:r>
      <w:r w:rsidR="00CD1557">
        <w:rPr>
          <w:sz w:val="22"/>
          <w:szCs w:val="22"/>
        </w:rPr>
        <w:t>2</w:t>
      </w:r>
      <w:r>
        <w:rPr>
          <w:sz w:val="22"/>
          <w:szCs w:val="22"/>
        </w:rPr>
        <w:t>)</w:t>
      </w:r>
    </w:p>
    <w:p w14:paraId="49893B26" w14:textId="77777777" w:rsidR="009B7827" w:rsidRDefault="009B7827"/>
    <w:p w14:paraId="30AF0270" w14:textId="77777777" w:rsidR="009B7827" w:rsidRDefault="009B7827">
      <w:pPr>
        <w:jc w:val="center"/>
        <w:rPr>
          <w:sz w:val="28"/>
          <w:szCs w:val="28"/>
        </w:rPr>
      </w:pPr>
    </w:p>
    <w:p w14:paraId="44FD502A" w14:textId="77777777" w:rsidR="009B7827" w:rsidRDefault="00000000">
      <w:pPr>
        <w:jc w:val="both"/>
        <w:rPr>
          <w:b/>
        </w:rPr>
      </w:pPr>
      <w:r>
        <w:br w:type="page"/>
      </w:r>
    </w:p>
    <w:p w14:paraId="44F92E0E" w14:textId="77777777" w:rsidR="009B7827" w:rsidRDefault="00000000">
      <w:pPr>
        <w:jc w:val="both"/>
        <w:rPr>
          <w:rFonts w:ascii="Times" w:eastAsia="Times" w:hAnsi="Times" w:cs="Times"/>
          <w:b/>
          <w:sz w:val="28"/>
          <w:szCs w:val="28"/>
        </w:rPr>
      </w:pPr>
      <w:r>
        <w:rPr>
          <w:rFonts w:ascii="Times" w:eastAsia="Times" w:hAnsi="Times" w:cs="Times"/>
          <w:b/>
          <w:sz w:val="28"/>
          <w:szCs w:val="28"/>
        </w:rPr>
        <w:lastRenderedPageBreak/>
        <w:t>5. Macro-level Predictions</w:t>
      </w:r>
    </w:p>
    <w:p w14:paraId="26689DEA" w14:textId="77777777" w:rsidR="009B7827" w:rsidRDefault="009B7827">
      <w:pPr>
        <w:jc w:val="both"/>
        <w:rPr>
          <w:b/>
        </w:rPr>
      </w:pPr>
    </w:p>
    <w:p w14:paraId="167ED0C9" w14:textId="77777777" w:rsidR="009B7827" w:rsidRDefault="00000000">
      <w:pPr>
        <w:jc w:val="both"/>
        <w:rPr>
          <w:b/>
        </w:rPr>
      </w:pPr>
      <w:r>
        <w:rPr>
          <w:b/>
        </w:rPr>
        <w:t>5.1 Structural Optimality Index</w:t>
      </w:r>
    </w:p>
    <w:p w14:paraId="1A1C5A08" w14:textId="77777777" w:rsidR="009B7827" w:rsidRDefault="00000000">
      <w:pPr>
        <w:jc w:val="both"/>
      </w:pPr>
      <w:r>
        <w:t xml:space="preserve">ECI sensitivity described in the section before has proven to be a significant factor in deciding the economic outcomes of countries. </w:t>
      </w:r>
      <w:proofErr w:type="gramStart"/>
      <w:r>
        <w:t>In order to</w:t>
      </w:r>
      <w:proofErr w:type="gramEnd"/>
      <w:r>
        <w:t xml:space="preserve">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14:paraId="4CB6A26C" w14:textId="77777777" w:rsidR="009B7827" w:rsidRDefault="009B7827">
      <w:pPr>
        <w:jc w:val="both"/>
      </w:pPr>
    </w:p>
    <w:p w14:paraId="1581E7F2" w14:textId="77777777" w:rsidR="009B7827" w:rsidRDefault="00000000">
      <w:pPr>
        <w:jc w:val="both"/>
      </w:pPr>
      <w:r>
        <w:t>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Pr>
          <w:vertAlign w:val="superscript"/>
        </w:rPr>
        <w:t>2</w:t>
      </w:r>
      <w:r>
        <w:t xml:space="preserve"> of 4.5%. In other words, the more a country develops, as suggested by calculations on a complexity level, the better economic outcomes it achieves. </w:t>
      </w:r>
    </w:p>
    <w:p w14:paraId="33ABF92B" w14:textId="77777777" w:rsidR="009B7827" w:rsidRDefault="009B7827">
      <w:pPr>
        <w:jc w:val="both"/>
      </w:pPr>
    </w:p>
    <w:tbl>
      <w:tblPr>
        <w:tblStyle w:val="a7"/>
        <w:tblW w:w="57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970"/>
      </w:tblGrid>
      <w:tr w:rsidR="009B7827" w14:paraId="1E26E027" w14:textId="77777777">
        <w:trPr>
          <w:trHeight w:val="335"/>
          <w:jc w:val="center"/>
        </w:trPr>
        <w:tc>
          <w:tcPr>
            <w:tcW w:w="5760" w:type="dxa"/>
            <w:gridSpan w:val="2"/>
            <w:shd w:val="clear" w:color="auto" w:fill="auto"/>
            <w:tcMar>
              <w:top w:w="-44" w:type="dxa"/>
              <w:left w:w="-44" w:type="dxa"/>
              <w:bottom w:w="-44" w:type="dxa"/>
              <w:right w:w="-44" w:type="dxa"/>
            </w:tcMar>
            <w:vAlign w:val="center"/>
          </w:tcPr>
          <w:p w14:paraId="6782C0AF" w14:textId="77777777" w:rsidR="009B7827" w:rsidRDefault="00000000">
            <w:pPr>
              <w:widowControl w:val="0"/>
              <w:ind w:left="90"/>
              <w:jc w:val="center"/>
              <w:rPr>
                <w:b/>
                <w:sz w:val="20"/>
                <w:szCs w:val="20"/>
              </w:rPr>
            </w:pPr>
            <w:r>
              <w:rPr>
                <w:b/>
                <w:sz w:val="20"/>
                <w:szCs w:val="20"/>
              </w:rPr>
              <w:t>Table 14: OLS Regression Results</w:t>
            </w:r>
          </w:p>
        </w:tc>
      </w:tr>
      <w:tr w:rsidR="009B7827" w14:paraId="2B256F24" w14:textId="77777777">
        <w:trPr>
          <w:trHeight w:val="335"/>
          <w:jc w:val="center"/>
        </w:trPr>
        <w:tc>
          <w:tcPr>
            <w:tcW w:w="2790" w:type="dxa"/>
            <w:shd w:val="clear" w:color="auto" w:fill="auto"/>
            <w:tcMar>
              <w:top w:w="-44" w:type="dxa"/>
              <w:left w:w="-44" w:type="dxa"/>
              <w:bottom w:w="-44" w:type="dxa"/>
              <w:right w:w="-44" w:type="dxa"/>
            </w:tcMar>
            <w:vAlign w:val="center"/>
          </w:tcPr>
          <w:p w14:paraId="54720531" w14:textId="77777777" w:rsidR="009B7827" w:rsidRDefault="00000000">
            <w:pPr>
              <w:widowControl w:val="0"/>
              <w:ind w:left="90"/>
              <w:rPr>
                <w:sz w:val="20"/>
                <w:szCs w:val="20"/>
              </w:rPr>
            </w:pPr>
            <w:r>
              <w:rPr>
                <w:b/>
                <w:sz w:val="20"/>
                <w:szCs w:val="20"/>
              </w:rPr>
              <w:t xml:space="preserve">Dep. Variable: </w:t>
            </w:r>
            <w:r>
              <w:rPr>
                <w:sz w:val="20"/>
                <w:szCs w:val="20"/>
              </w:rPr>
              <w:t>GDP</w:t>
            </w:r>
          </w:p>
        </w:tc>
        <w:tc>
          <w:tcPr>
            <w:tcW w:w="2970" w:type="dxa"/>
            <w:shd w:val="clear" w:color="auto" w:fill="auto"/>
            <w:tcMar>
              <w:top w:w="-44" w:type="dxa"/>
              <w:left w:w="-44" w:type="dxa"/>
              <w:bottom w:w="-44" w:type="dxa"/>
              <w:right w:w="-44" w:type="dxa"/>
            </w:tcMar>
            <w:vAlign w:val="center"/>
          </w:tcPr>
          <w:p w14:paraId="353E1E84" w14:textId="77777777" w:rsidR="009B7827" w:rsidRDefault="00000000">
            <w:pPr>
              <w:widowControl w:val="0"/>
              <w:ind w:left="90"/>
              <w:rPr>
                <w:sz w:val="20"/>
                <w:szCs w:val="20"/>
              </w:rPr>
            </w:pPr>
            <w:r>
              <w:rPr>
                <w:b/>
                <w:sz w:val="20"/>
                <w:szCs w:val="20"/>
              </w:rPr>
              <w:t xml:space="preserve">F-Statistic: </w:t>
            </w:r>
            <w:r>
              <w:rPr>
                <w:sz w:val="20"/>
                <w:szCs w:val="20"/>
              </w:rPr>
              <w:t>5.963</w:t>
            </w:r>
          </w:p>
        </w:tc>
      </w:tr>
      <w:tr w:rsidR="009B7827" w14:paraId="333D67DB" w14:textId="77777777">
        <w:trPr>
          <w:trHeight w:val="335"/>
          <w:jc w:val="center"/>
        </w:trPr>
        <w:tc>
          <w:tcPr>
            <w:tcW w:w="2790" w:type="dxa"/>
            <w:shd w:val="clear" w:color="auto" w:fill="auto"/>
            <w:tcMar>
              <w:top w:w="-44" w:type="dxa"/>
              <w:left w:w="-44" w:type="dxa"/>
              <w:bottom w:w="-44" w:type="dxa"/>
              <w:right w:w="-44" w:type="dxa"/>
            </w:tcMar>
            <w:vAlign w:val="center"/>
          </w:tcPr>
          <w:p w14:paraId="562592F7" w14:textId="77777777" w:rsidR="009B7827" w:rsidRDefault="00000000">
            <w:pPr>
              <w:widowControl w:val="0"/>
              <w:ind w:left="90"/>
              <w:rPr>
                <w:sz w:val="20"/>
                <w:szCs w:val="20"/>
              </w:rPr>
            </w:pPr>
            <w:r>
              <w:rPr>
                <w:b/>
                <w:sz w:val="20"/>
                <w:szCs w:val="20"/>
              </w:rPr>
              <w:t>R</w:t>
            </w:r>
            <w:r>
              <w:rPr>
                <w:b/>
                <w:sz w:val="20"/>
                <w:szCs w:val="20"/>
                <w:vertAlign w:val="superscript"/>
              </w:rPr>
              <w:t>2</w:t>
            </w:r>
            <w:r>
              <w:rPr>
                <w:b/>
                <w:sz w:val="20"/>
                <w:szCs w:val="20"/>
              </w:rPr>
              <w:t xml:space="preserve">: </w:t>
            </w:r>
            <w:r>
              <w:rPr>
                <w:sz w:val="20"/>
                <w:szCs w:val="20"/>
              </w:rPr>
              <w:t>0.054</w:t>
            </w:r>
          </w:p>
        </w:tc>
        <w:tc>
          <w:tcPr>
            <w:tcW w:w="2970" w:type="dxa"/>
            <w:shd w:val="clear" w:color="auto" w:fill="auto"/>
            <w:tcMar>
              <w:top w:w="-44" w:type="dxa"/>
              <w:left w:w="-44" w:type="dxa"/>
              <w:bottom w:w="-44" w:type="dxa"/>
              <w:right w:w="-44" w:type="dxa"/>
            </w:tcMar>
            <w:vAlign w:val="center"/>
          </w:tcPr>
          <w:p w14:paraId="7A83F43B" w14:textId="77777777" w:rsidR="009B7827" w:rsidRDefault="00000000">
            <w:pPr>
              <w:widowControl w:val="0"/>
              <w:ind w:left="90"/>
              <w:rPr>
                <w:sz w:val="20"/>
                <w:szCs w:val="20"/>
              </w:rPr>
            </w:pPr>
            <w:r>
              <w:rPr>
                <w:b/>
                <w:sz w:val="20"/>
                <w:szCs w:val="20"/>
              </w:rPr>
              <w:t>Prob (F-Stat):</w:t>
            </w:r>
            <w:r>
              <w:rPr>
                <w:sz w:val="20"/>
                <w:szCs w:val="20"/>
              </w:rPr>
              <w:t xml:space="preserve"> 0.0163</w:t>
            </w:r>
          </w:p>
        </w:tc>
      </w:tr>
      <w:tr w:rsidR="009B7827" w14:paraId="71E4B224" w14:textId="77777777">
        <w:trPr>
          <w:trHeight w:val="335"/>
          <w:jc w:val="center"/>
        </w:trPr>
        <w:tc>
          <w:tcPr>
            <w:tcW w:w="2790" w:type="dxa"/>
            <w:shd w:val="clear" w:color="auto" w:fill="auto"/>
            <w:tcMar>
              <w:top w:w="-44" w:type="dxa"/>
              <w:left w:w="-44" w:type="dxa"/>
              <w:bottom w:w="-44" w:type="dxa"/>
              <w:right w:w="-44" w:type="dxa"/>
            </w:tcMar>
            <w:vAlign w:val="center"/>
          </w:tcPr>
          <w:p w14:paraId="55C6101A" w14:textId="77777777" w:rsidR="009B7827" w:rsidRDefault="00000000">
            <w:pPr>
              <w:widowControl w:val="0"/>
              <w:ind w:left="90"/>
              <w:rPr>
                <w:sz w:val="20"/>
                <w:szCs w:val="20"/>
              </w:rPr>
            </w:pPr>
            <w:r>
              <w:rPr>
                <w:b/>
                <w:sz w:val="20"/>
                <w:szCs w:val="20"/>
              </w:rPr>
              <w:t>Adj R</w:t>
            </w:r>
            <w:r>
              <w:rPr>
                <w:b/>
                <w:sz w:val="20"/>
                <w:szCs w:val="20"/>
                <w:vertAlign w:val="superscript"/>
              </w:rPr>
              <w:t>2</w:t>
            </w:r>
            <w:r>
              <w:rPr>
                <w:b/>
                <w:sz w:val="20"/>
                <w:szCs w:val="20"/>
              </w:rPr>
              <w:t xml:space="preserve">: </w:t>
            </w:r>
            <w:r>
              <w:rPr>
                <w:sz w:val="20"/>
                <w:szCs w:val="20"/>
              </w:rPr>
              <w:t>0.045</w:t>
            </w:r>
          </w:p>
        </w:tc>
        <w:tc>
          <w:tcPr>
            <w:tcW w:w="2970" w:type="dxa"/>
            <w:shd w:val="clear" w:color="auto" w:fill="auto"/>
            <w:tcMar>
              <w:top w:w="-44" w:type="dxa"/>
              <w:left w:w="-44" w:type="dxa"/>
              <w:bottom w:w="-44" w:type="dxa"/>
              <w:right w:w="-44" w:type="dxa"/>
            </w:tcMar>
            <w:vAlign w:val="center"/>
          </w:tcPr>
          <w:p w14:paraId="2A64A397" w14:textId="77777777" w:rsidR="009B7827" w:rsidRDefault="00000000">
            <w:pPr>
              <w:widowControl w:val="0"/>
              <w:ind w:left="90"/>
              <w:rPr>
                <w:sz w:val="20"/>
                <w:szCs w:val="20"/>
              </w:rPr>
            </w:pPr>
            <w:r>
              <w:rPr>
                <w:b/>
                <w:sz w:val="20"/>
                <w:szCs w:val="20"/>
              </w:rPr>
              <w:t xml:space="preserve">No. Observations: </w:t>
            </w:r>
            <w:r>
              <w:rPr>
                <w:sz w:val="20"/>
                <w:szCs w:val="20"/>
              </w:rPr>
              <w:t>106</w:t>
            </w:r>
          </w:p>
        </w:tc>
      </w:tr>
    </w:tbl>
    <w:p w14:paraId="6D930A8F" w14:textId="77777777" w:rsidR="009B7827" w:rsidRDefault="009B7827"/>
    <w:p w14:paraId="3D08F6FA" w14:textId="77777777" w:rsidR="009B7827" w:rsidRDefault="00000000">
      <w:pPr>
        <w:jc w:val="center"/>
        <w:rPr>
          <w:sz w:val="22"/>
          <w:szCs w:val="22"/>
        </w:rPr>
      </w:pPr>
      <w:r>
        <w:rPr>
          <w:sz w:val="22"/>
          <w:szCs w:val="22"/>
        </w:rPr>
        <w:t>Figure 9. Regression of Five-Year GDP Growth over SOI (2013-2018)</w:t>
      </w:r>
      <w:r>
        <w:rPr>
          <w:noProof/>
        </w:rPr>
        <w:drawing>
          <wp:anchor distT="0" distB="0" distL="0" distR="0" simplePos="0" relativeHeight="251658240" behindDoc="0" locked="0" layoutInCell="1" hidden="0" allowOverlap="1" wp14:anchorId="4B020F0D" wp14:editId="29083141">
            <wp:simplePos x="0" y="0"/>
            <wp:positionH relativeFrom="column">
              <wp:posOffset>619125</wp:posOffset>
            </wp:positionH>
            <wp:positionV relativeFrom="paragraph">
              <wp:posOffset>38100</wp:posOffset>
            </wp:positionV>
            <wp:extent cx="4520925" cy="3005138"/>
            <wp:effectExtent l="0" t="0" r="0" b="0"/>
            <wp:wrapTopAndBottom distT="0" dist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520925" cy="3005138"/>
                    </a:xfrm>
                    <a:prstGeom prst="rect">
                      <a:avLst/>
                    </a:prstGeom>
                    <a:ln/>
                  </pic:spPr>
                </pic:pic>
              </a:graphicData>
            </a:graphic>
          </wp:anchor>
        </w:drawing>
      </w:r>
    </w:p>
    <w:p w14:paraId="1BF7A55F" w14:textId="77777777" w:rsidR="009B7827" w:rsidRDefault="009B7827">
      <w:pPr>
        <w:jc w:val="both"/>
      </w:pPr>
    </w:p>
    <w:p w14:paraId="068FEB1B" w14:textId="29145DBE" w:rsidR="009B7827" w:rsidRDefault="00000000">
      <w:pPr>
        <w:jc w:val="both"/>
        <w:rPr>
          <w:b/>
        </w:rPr>
      </w:pPr>
      <w:r>
        <w:rPr>
          <w:b/>
        </w:rPr>
        <w:t xml:space="preserve">5.2 SOI of </w:t>
      </w:r>
      <w:r w:rsidR="00BD4111">
        <w:rPr>
          <w:b/>
        </w:rPr>
        <w:t>Tunisia</w:t>
      </w:r>
      <w:r>
        <w:rPr>
          <w:b/>
        </w:rPr>
        <w:t xml:space="preserve"> and Its Implications</w:t>
      </w:r>
    </w:p>
    <w:p w14:paraId="5A3B2A1F" w14:textId="2E7A5B1E" w:rsidR="009B7827" w:rsidRDefault="00000000">
      <w:pPr>
        <w:jc w:val="both"/>
      </w:pPr>
      <w:r>
        <w:lastRenderedPageBreak/>
        <w:t xml:space="preserve">During the first examined period, </w:t>
      </w:r>
      <w:r w:rsidR="00BD4111">
        <w:t>Tunisia</w:t>
      </w:r>
      <w:r>
        <w:t>, for instance, has a low level of structural optimality as compared with its developed peers. As the regression in Figure 10a suggests (the red curve represents export increase</w:t>
      </w:r>
      <w:r w:rsidR="001E767A">
        <w:t>,</w:t>
      </w:r>
      <w:r>
        <w:t xml:space="preserve"> and the blue curve stands for opportunity gain of the corresponding industry), </w:t>
      </w:r>
      <w:r w:rsidR="00BD4111">
        <w:t>Tunisia</w:t>
      </w:r>
      <w:r>
        <w:t xml:space="preserve"> demonstrates a low level of correlation with the suggested developmental path, having an adjusted R-square of around </w:t>
      </w:r>
      <w:r w:rsidR="003822D9">
        <w:t>0.46.</w:t>
      </w:r>
    </w:p>
    <w:p w14:paraId="2ACBD3C2" w14:textId="77777777" w:rsidR="009B7827" w:rsidRDefault="009B7827">
      <w:pPr>
        <w:jc w:val="both"/>
      </w:pPr>
    </w:p>
    <w:p w14:paraId="688793EA" w14:textId="34E01976" w:rsidR="009B7827" w:rsidRDefault="00BD4111">
      <w:pPr>
        <w:jc w:val="both"/>
      </w:pPr>
      <w:r>
        <w:t>Tunisia</w:t>
      </w:r>
      <w:r w:rsidR="00000000">
        <w:t xml:space="preserve"> ranks in the middle among all countries in terms of SOI and has made a moderate rate of economic progress among its emerging peers from 2019 to 2022 with a </w:t>
      </w:r>
      <w:r w:rsidR="00E219E8">
        <w:t>4</w:t>
      </w:r>
      <w:r w:rsidR="00000000">
        <w:t xml:space="preserve">-year GDP growth rate of </w:t>
      </w:r>
      <w:r w:rsidR="0038765A">
        <w:t xml:space="preserve">2.8%, </w:t>
      </w:r>
      <w:r w:rsidR="00000000">
        <w:t xml:space="preserve">consistent with the regression result in Figure 4b. Specifically, </w:t>
      </w:r>
      <w:r>
        <w:t>Tunisia</w:t>
      </w:r>
      <w:r w:rsidR="00000000">
        <w:t xml:space="preserve">'s slow economic progress from 2019-2022 can be at least partially explained by a development strategy that demonstrates </w:t>
      </w:r>
      <w:r w:rsidR="0038765A">
        <w:t xml:space="preserve">a mismatched </w:t>
      </w:r>
      <w:r w:rsidR="00014C94">
        <w:t xml:space="preserve">strategy </w:t>
      </w:r>
      <w:r w:rsidR="00000000">
        <w:t xml:space="preserve">with our suggested developmental path. In specific, </w:t>
      </w:r>
      <w:r>
        <w:t>Tunisia</w:t>
      </w:r>
      <w:r w:rsidR="00000000">
        <w:t xml:space="preserve"> invested heavily in</w:t>
      </w:r>
      <w:r w:rsidR="00610503">
        <w:t xml:space="preserve"> Transportation and High-Complexity Products</w:t>
      </w:r>
      <w:r w:rsidR="00000000">
        <w:t xml:space="preserve">, while it should have focused more on industry groups such as </w:t>
      </w:r>
      <w:r w:rsidR="00B9371B">
        <w:t>Precious Stones and Energy Drilling and Mining</w:t>
      </w:r>
      <w:r w:rsidR="00000000">
        <w:t>.</w:t>
      </w:r>
    </w:p>
    <w:p w14:paraId="34425B10" w14:textId="6F5764CF" w:rsidR="009B7827" w:rsidRDefault="005723DD" w:rsidP="00BC7287">
      <w:pPr>
        <w:ind w:left="-567"/>
        <w:jc w:val="both"/>
      </w:pPr>
      <w:r>
        <w:rPr>
          <w:noProof/>
        </w:rPr>
        <w:drawing>
          <wp:inline distT="0" distB="0" distL="0" distR="0" wp14:anchorId="06C35C1A" wp14:editId="31FA1B3D">
            <wp:extent cx="6652515" cy="2661006"/>
            <wp:effectExtent l="0" t="0" r="2540" b="6350"/>
            <wp:docPr id="1673813937" name="Picture 3" descr="A graph showing the value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3937" name="Picture 3" descr="A graph showing the value of a product&#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59816" cy="2663926"/>
                    </a:xfrm>
                    <a:prstGeom prst="rect">
                      <a:avLst/>
                    </a:prstGeom>
                  </pic:spPr>
                </pic:pic>
              </a:graphicData>
            </a:graphic>
          </wp:inline>
        </w:drawing>
      </w:r>
    </w:p>
    <w:p w14:paraId="70AC5398" w14:textId="77777777" w:rsidR="009B7827" w:rsidRDefault="009B7827">
      <w:pPr>
        <w:jc w:val="both"/>
      </w:pPr>
    </w:p>
    <w:p w14:paraId="1E0FE5CF" w14:textId="2B5EBBC6" w:rsidR="009B7827" w:rsidRDefault="00000000">
      <w:pPr>
        <w:jc w:val="center"/>
        <w:rPr>
          <w:sz w:val="22"/>
          <w:szCs w:val="22"/>
        </w:rPr>
      </w:pPr>
      <w:r>
        <w:rPr>
          <w:sz w:val="22"/>
          <w:szCs w:val="22"/>
        </w:rPr>
        <w:t xml:space="preserve">Figure 10a. SOI of </w:t>
      </w:r>
      <w:r w:rsidR="00BD4111">
        <w:rPr>
          <w:sz w:val="22"/>
          <w:szCs w:val="22"/>
        </w:rPr>
        <w:t>Tunisia</w:t>
      </w:r>
      <w:r>
        <w:rPr>
          <w:sz w:val="22"/>
          <w:szCs w:val="22"/>
        </w:rPr>
        <w:t xml:space="preserve"> (2019-2022)</w:t>
      </w:r>
    </w:p>
    <w:p w14:paraId="62EFE5C7" w14:textId="77777777" w:rsidR="009B7827" w:rsidRDefault="009B7827">
      <w:pPr>
        <w:jc w:val="both"/>
        <w:rPr>
          <w:b/>
        </w:rPr>
      </w:pPr>
    </w:p>
    <w:p w14:paraId="284EEA3F" w14:textId="77777777" w:rsidR="009B7827" w:rsidRDefault="009B7827">
      <w:pPr>
        <w:jc w:val="both"/>
        <w:rPr>
          <w:b/>
        </w:rPr>
      </w:pPr>
    </w:p>
    <w:p w14:paraId="767D3C63" w14:textId="77777777" w:rsidR="009B7827" w:rsidRDefault="00000000">
      <w:pPr>
        <w:jc w:val="both"/>
        <w:rPr>
          <w:rFonts w:ascii="Times" w:eastAsia="Times" w:hAnsi="Times" w:cs="Times"/>
          <w:b/>
          <w:sz w:val="28"/>
          <w:szCs w:val="28"/>
        </w:rPr>
      </w:pPr>
      <w:r>
        <w:br w:type="page"/>
      </w:r>
    </w:p>
    <w:p w14:paraId="3D82A970" w14:textId="77777777" w:rsidR="009B7827" w:rsidRDefault="00000000">
      <w:pPr>
        <w:jc w:val="both"/>
        <w:rPr>
          <w:rFonts w:ascii="Times" w:eastAsia="Times" w:hAnsi="Times" w:cs="Times"/>
          <w:b/>
          <w:sz w:val="28"/>
          <w:szCs w:val="28"/>
        </w:rPr>
      </w:pPr>
      <w:r>
        <w:rPr>
          <w:rFonts w:ascii="Times" w:eastAsia="Times" w:hAnsi="Times" w:cs="Times"/>
          <w:b/>
          <w:sz w:val="28"/>
          <w:szCs w:val="28"/>
        </w:rPr>
        <w:lastRenderedPageBreak/>
        <w:t>6. Concluding Remarks</w:t>
      </w:r>
    </w:p>
    <w:p w14:paraId="58AAF0BF" w14:textId="77777777" w:rsidR="009B7827" w:rsidRDefault="009B7827">
      <w:pPr>
        <w:jc w:val="both"/>
      </w:pPr>
    </w:p>
    <w:p w14:paraId="30E2BF08" w14:textId="5AA790C6" w:rsidR="009B7827" w:rsidRDefault="00000000">
      <w:pPr>
        <w:jc w:val="both"/>
      </w:pPr>
      <w:r>
        <w:t xml:space="preserve">In conclusion, </w:t>
      </w:r>
      <w:r w:rsidR="00BD4111">
        <w:t>Tunisia</w:t>
      </w:r>
      <w:r>
        <w:t xml:space="preserve"> has demonstrated a moderate level of economic growth in terms of annual GDP increase during the period from 2019 to 2022, concurrent with a</w:t>
      </w:r>
      <w:r w:rsidR="00EA199E">
        <w:t xml:space="preserve"> de</w:t>
      </w:r>
      <w:r>
        <w:t xml:space="preserve">crease in economic complexity as compared with major developed economies. </w:t>
      </w:r>
    </w:p>
    <w:p w14:paraId="05C7621D" w14:textId="77777777" w:rsidR="009B7827" w:rsidRDefault="009B7827">
      <w:pPr>
        <w:jc w:val="both"/>
      </w:pPr>
    </w:p>
    <w:p w14:paraId="4D0B9B98" w14:textId="1CAC0E80" w:rsidR="009B7827" w:rsidRDefault="00000000">
      <w:pPr>
        <w:jc w:val="both"/>
      </w:pPr>
      <w:r>
        <w:t xml:space="preserve">We believe that </w:t>
      </w:r>
      <w:r w:rsidR="00A94A58">
        <w:t>Tunisia's mixed progress during this period can be partially explained through the analysis of its economic and product complexity structure on the industry group level. The product classification system we adopt allows us to measure the realized industry development for various industry groups and</w:t>
      </w:r>
      <w:r>
        <w:t xml:space="preserve"> observe that </w:t>
      </w:r>
      <w:r w:rsidR="00BD4111">
        <w:t>Tunisia</w:t>
      </w:r>
      <w:r>
        <w:t xml:space="preserve"> regressed in developing most of its industries during the period. Despite a larger </w:t>
      </w:r>
      <w:r w:rsidR="00D940B6">
        <w:t>decrease</w:t>
      </w:r>
      <w:r>
        <w:t xml:space="preserve"> in ECI compared to its peers, </w:t>
      </w:r>
      <w:r w:rsidR="00BD4111">
        <w:t>Tunisia</w:t>
      </w:r>
      <w:r>
        <w:t xml:space="preserve"> did undergo GDP growth, </w:t>
      </w:r>
      <w:r w:rsidR="00B17A35">
        <w:t>indicating</w:t>
      </w:r>
      <w:r>
        <w:t xml:space="preserve"> further potential to target specific industries.</w:t>
      </w:r>
    </w:p>
    <w:p w14:paraId="515D04BD" w14:textId="77777777" w:rsidR="009B7827" w:rsidRDefault="009B7827">
      <w:pPr>
        <w:jc w:val="both"/>
      </w:pPr>
    </w:p>
    <w:p w14:paraId="788B9D6D" w14:textId="1856CB6F" w:rsidR="009B7827" w:rsidRDefault="00000000">
      <w:pPr>
        <w:jc w:val="both"/>
      </w:pPr>
      <w:r>
        <w:t xml:space="preserve">Based on our analysis of the opportunity gain and sensitivity analysis of major industry groups for 2019-2022, </w:t>
      </w:r>
      <w:r w:rsidR="00BD4111">
        <w:t>Tunisia</w:t>
      </w:r>
      <w:r>
        <w:t xml:space="preserve"> can further its gains by prioritizing </w:t>
      </w:r>
      <w:r w:rsidR="0040450E">
        <w:t xml:space="preserve">Precious Stones </w:t>
      </w:r>
      <w:r>
        <w:t xml:space="preserve">and Energy Drilling and Mining. We further note that </w:t>
      </w:r>
      <w:r w:rsidR="00BD4111">
        <w:t>Tunisia</w:t>
      </w:r>
      <w:r>
        <w:t xml:space="preserve"> has a heavily mismatched development strategy that indicates a low level (compared to </w:t>
      </w:r>
      <w:r w:rsidR="005828F4">
        <w:t>the</w:t>
      </w:r>
      <w:r>
        <w:t xml:space="preserve"> developed countries) of structural optimality on the complexity level, having an adjusted R-square of around </w:t>
      </w:r>
      <w:r w:rsidR="005828F4">
        <w:t>0.46</w:t>
      </w:r>
      <w:r>
        <w:t xml:space="preserve">. Since a </w:t>
      </w:r>
      <w:r w:rsidR="008C7DE6">
        <w:t xml:space="preserve">slight </w:t>
      </w:r>
      <w:r>
        <w:t xml:space="preserve">positive correlation exists between </w:t>
      </w:r>
      <w:r w:rsidR="001C1913">
        <w:t>four</w:t>
      </w:r>
      <w:r>
        <w:t xml:space="preserve">-year GDP growth and the structural optimality index of an economy as we define and calculate, </w:t>
      </w:r>
      <w:r w:rsidR="00BD4111">
        <w:t>Tunisia</w:t>
      </w:r>
      <w:r>
        <w:t xml:space="preserve"> </w:t>
      </w:r>
      <w:r w:rsidR="00AD5CA1">
        <w:t>has</w:t>
      </w:r>
      <w:r w:rsidR="00A84DB9">
        <w:t xml:space="preserve"> </w:t>
      </w:r>
      <w:r>
        <w:t>a suboptimal growth experience as compared with fast-growing economies both on a regional scale and on a global scale</w:t>
      </w:r>
      <w:r w:rsidR="00805688">
        <w:t xml:space="preserve">. </w:t>
      </w:r>
      <w:r w:rsidR="00B53E03">
        <w:t>As suggested in the paper, it has the potential to further its economic gains through industrial structure optimization</w:t>
      </w:r>
      <w:r>
        <w:t>.</w:t>
      </w:r>
    </w:p>
    <w:p w14:paraId="1F23457A" w14:textId="77777777" w:rsidR="009B7827" w:rsidRDefault="009B7827">
      <w:pPr>
        <w:jc w:val="both"/>
      </w:pPr>
    </w:p>
    <w:p w14:paraId="272D1BEF" w14:textId="2511E3FB" w:rsidR="009B7827" w:rsidRDefault="00CC6DA7">
      <w:pPr>
        <w:jc w:val="both"/>
      </w:pPr>
      <w:r>
        <w:t>Given the global economic downturn, we infer that during the COVID-19 period, Tunisia focused on maintaining higher</w:t>
      </w:r>
      <w:r w:rsidR="00B53E03">
        <w:t>-complexity industries despite a lower demand for these industries. With the revised focus, Tunisia has further COVID-19 potential to advance its economic growth and maintain its position among other countries, continuing</w:t>
      </w:r>
      <w:r w:rsidR="00000000">
        <w:t xml:space="preserve"> its ongoing economic expansion.</w:t>
      </w:r>
    </w:p>
    <w:p w14:paraId="089565A9" w14:textId="77777777" w:rsidR="009B7827" w:rsidRDefault="009B7827">
      <w:pPr>
        <w:jc w:val="both"/>
      </w:pPr>
    </w:p>
    <w:p w14:paraId="6669C2F5" w14:textId="77777777" w:rsidR="009B7827" w:rsidRDefault="009B7827">
      <w:pPr>
        <w:jc w:val="both"/>
      </w:pPr>
    </w:p>
    <w:p w14:paraId="0269248C" w14:textId="77777777" w:rsidR="009B7827" w:rsidRDefault="009B7827">
      <w:pPr>
        <w:jc w:val="both"/>
      </w:pPr>
    </w:p>
    <w:p w14:paraId="16ABC5C9" w14:textId="77777777" w:rsidR="009B7827" w:rsidRDefault="009B7827">
      <w:pPr>
        <w:jc w:val="both"/>
      </w:pPr>
    </w:p>
    <w:p w14:paraId="56CF68F7" w14:textId="77777777" w:rsidR="009B7827" w:rsidRDefault="00000000">
      <w:pPr>
        <w:jc w:val="both"/>
        <w:rPr>
          <w:b/>
          <w:sz w:val="28"/>
          <w:szCs w:val="28"/>
        </w:rPr>
      </w:pPr>
      <w:r>
        <w:br w:type="page"/>
      </w:r>
    </w:p>
    <w:p w14:paraId="6DFABE5E" w14:textId="77777777" w:rsidR="009B7827" w:rsidRDefault="00000000">
      <w:pPr>
        <w:jc w:val="both"/>
        <w:rPr>
          <w:b/>
          <w:sz w:val="28"/>
          <w:szCs w:val="28"/>
        </w:rPr>
      </w:pPr>
      <w:r>
        <w:rPr>
          <w:b/>
          <w:sz w:val="28"/>
          <w:szCs w:val="28"/>
        </w:rPr>
        <w:lastRenderedPageBreak/>
        <w:t>References</w:t>
      </w:r>
    </w:p>
    <w:p w14:paraId="476618E7" w14:textId="77777777" w:rsidR="009B7827" w:rsidRDefault="009B7827">
      <w:pPr>
        <w:jc w:val="both"/>
        <w:rPr>
          <w:b/>
          <w:sz w:val="28"/>
          <w:szCs w:val="28"/>
        </w:rPr>
      </w:pPr>
    </w:p>
    <w:p w14:paraId="32D64064" w14:textId="77777777" w:rsidR="009B7827" w:rsidRDefault="00000000">
      <w:pPr>
        <w:jc w:val="both"/>
        <w:rPr>
          <w:color w:val="000000"/>
          <w:highlight w:val="white"/>
        </w:rPr>
      </w:pPr>
      <w:r>
        <w:rPr>
          <w:color w:val="000000"/>
          <w:highlight w:val="white"/>
        </w:rPr>
        <w:t xml:space="preserve">Hausmann, R., Hidalgo, C., Bustos, S., </w:t>
      </w:r>
      <w:proofErr w:type="spellStart"/>
      <w:r>
        <w:rPr>
          <w:color w:val="000000"/>
          <w:highlight w:val="white"/>
        </w:rPr>
        <w:t>Coscia</w:t>
      </w:r>
      <w:proofErr w:type="spellEnd"/>
      <w:r>
        <w:rPr>
          <w:color w:val="000000"/>
          <w:highlight w:val="white"/>
        </w:rPr>
        <w:t xml:space="preserve">, M., Chung, S., Jimenez, J., </w:t>
      </w:r>
      <w:proofErr w:type="spellStart"/>
      <w:r>
        <w:rPr>
          <w:color w:val="000000"/>
          <w:highlight w:val="white"/>
        </w:rPr>
        <w:t>Simoes</w:t>
      </w:r>
      <w:proofErr w:type="spellEnd"/>
      <w:r>
        <w:rPr>
          <w:color w:val="000000"/>
          <w:highlight w:val="white"/>
        </w:rPr>
        <w:t xml:space="preserve">, A. and </w:t>
      </w:r>
      <w:proofErr w:type="spellStart"/>
      <w:r>
        <w:rPr>
          <w:color w:val="000000"/>
          <w:highlight w:val="white"/>
        </w:rPr>
        <w:t>Yıldırım</w:t>
      </w:r>
      <w:proofErr w:type="spellEnd"/>
      <w:r>
        <w:rPr>
          <w:color w:val="000000"/>
          <w:highlight w:val="white"/>
        </w:rPr>
        <w:t>, M. (2007). </w:t>
      </w:r>
      <w:r>
        <w:rPr>
          <w:i/>
          <w:color w:val="000000"/>
          <w:highlight w:val="white"/>
        </w:rPr>
        <w:t>The Atlas of Economic Complexity</w:t>
      </w:r>
      <w:r>
        <w:rPr>
          <w:color w:val="000000"/>
          <w:highlight w:val="white"/>
        </w:rPr>
        <w:t>. [online] Atlas.cid.harvard.edu. Available at: http://atlas.cid.harvard.edu/.</w:t>
      </w:r>
    </w:p>
    <w:p w14:paraId="60711A70" w14:textId="77777777" w:rsidR="009B7827" w:rsidRDefault="009B7827">
      <w:pPr>
        <w:jc w:val="both"/>
        <w:rPr>
          <w:color w:val="000000"/>
          <w:highlight w:val="white"/>
        </w:rPr>
      </w:pPr>
    </w:p>
    <w:p w14:paraId="6E1019EB" w14:textId="77777777" w:rsidR="009B7827" w:rsidRDefault="00000000">
      <w:pPr>
        <w:jc w:val="both"/>
        <w:rPr>
          <w:color w:val="000000"/>
          <w:highlight w:val="white"/>
        </w:rPr>
      </w:pPr>
      <w:r>
        <w:rPr>
          <w:color w:val="000000"/>
          <w:highlight w:val="white"/>
        </w:rPr>
        <w:t xml:space="preserve">Balassa, B., “The Purchasing Power Parity Doctrine - A </w:t>
      </w:r>
      <w:proofErr w:type="spellStart"/>
      <w:r>
        <w:rPr>
          <w:color w:val="000000"/>
          <w:highlight w:val="white"/>
        </w:rPr>
        <w:t>Reapprais</w:t>
      </w:r>
      <w:proofErr w:type="spellEnd"/>
      <w:r>
        <w:rPr>
          <w:color w:val="000000"/>
          <w:highlight w:val="white"/>
        </w:rPr>
        <w:t xml:space="preserve">- al,” </w:t>
      </w:r>
      <w:r>
        <w:rPr>
          <w:i/>
          <w:color w:val="000000"/>
          <w:highlight w:val="white"/>
        </w:rPr>
        <w:t xml:space="preserve">Journal of Political Economy </w:t>
      </w:r>
      <w:r>
        <w:rPr>
          <w:b/>
          <w:color w:val="000000"/>
          <w:highlight w:val="white"/>
        </w:rPr>
        <w:t>72</w:t>
      </w:r>
      <w:r>
        <w:rPr>
          <w:color w:val="000000"/>
          <w:highlight w:val="white"/>
        </w:rPr>
        <w:t xml:space="preserve">, 584-596 (1964). </w:t>
      </w:r>
    </w:p>
    <w:p w14:paraId="7ABF4766" w14:textId="77777777" w:rsidR="009B7827" w:rsidRDefault="009B7827">
      <w:pPr>
        <w:jc w:val="both"/>
        <w:rPr>
          <w:color w:val="000000"/>
          <w:highlight w:val="white"/>
        </w:rPr>
      </w:pPr>
    </w:p>
    <w:p w14:paraId="17231E00" w14:textId="77777777" w:rsidR="009B7827" w:rsidRDefault="00000000">
      <w:pPr>
        <w:jc w:val="both"/>
        <w:rPr>
          <w:color w:val="000000"/>
          <w:highlight w:val="white"/>
        </w:rPr>
      </w:pPr>
      <w:proofErr w:type="spellStart"/>
      <w:r>
        <w:rPr>
          <w:color w:val="000000"/>
          <w:highlight w:val="white"/>
        </w:rPr>
        <w:t>Feenstra</w:t>
      </w:r>
      <w:proofErr w:type="spellEnd"/>
      <w:r>
        <w:rPr>
          <w:color w:val="000000"/>
          <w:highlight w:val="white"/>
        </w:rPr>
        <w:t xml:space="preserve">, R.; Lipsey, R.; Deng, H.; Ma, A. &amp; Mo, H. “World Trade Flows: 1962-2000” NBER working paper 11040. National Bureau of Economic Research, Cambridge MA (2005). </w:t>
      </w:r>
    </w:p>
    <w:p w14:paraId="3942A8E9" w14:textId="77777777" w:rsidR="009B7827" w:rsidRDefault="009B7827">
      <w:pPr>
        <w:jc w:val="both"/>
        <w:rPr>
          <w:color w:val="000000"/>
          <w:highlight w:val="white"/>
        </w:rPr>
      </w:pPr>
    </w:p>
    <w:p w14:paraId="4D56D45A" w14:textId="77777777" w:rsidR="009B7827" w:rsidRDefault="00000000">
      <w:pPr>
        <w:jc w:val="both"/>
        <w:rPr>
          <w:color w:val="000000"/>
          <w:highlight w:val="white"/>
        </w:rPr>
      </w:pPr>
      <w:r>
        <w:rPr>
          <w:color w:val="000000"/>
          <w:highlight w:val="white"/>
        </w:rPr>
        <w:t xml:space="preserve">United Nations Commodity Trade Statistics Database (http://comtrade.un.org/db/), accessed in August 2019. </w:t>
      </w:r>
    </w:p>
    <w:p w14:paraId="171D5524" w14:textId="77777777" w:rsidR="009B7827" w:rsidRDefault="009B7827">
      <w:pPr>
        <w:jc w:val="both"/>
        <w:rPr>
          <w:color w:val="000000"/>
          <w:highlight w:val="white"/>
        </w:rPr>
      </w:pPr>
    </w:p>
    <w:p w14:paraId="5B5814C0" w14:textId="77777777" w:rsidR="009B7827" w:rsidRDefault="00000000">
      <w:pPr>
        <w:jc w:val="both"/>
        <w:rPr>
          <w:color w:val="000000"/>
          <w:highlight w:val="white"/>
        </w:rPr>
      </w:pPr>
      <w:r>
        <w:rPr>
          <w:color w:val="000000"/>
          <w:highlight w:val="white"/>
        </w:rPr>
        <w:t xml:space="preserve">The World Economic Forum, “The global competitiveness report,” (various years). </w:t>
      </w:r>
    </w:p>
    <w:p w14:paraId="5D20FF50" w14:textId="77777777" w:rsidR="009B7827" w:rsidRDefault="009B7827">
      <w:pPr>
        <w:jc w:val="both"/>
        <w:rPr>
          <w:color w:val="000000"/>
          <w:highlight w:val="white"/>
        </w:rPr>
      </w:pPr>
    </w:p>
    <w:p w14:paraId="55EF79AD" w14:textId="77777777" w:rsidR="009B7827" w:rsidRDefault="00000000">
      <w:pPr>
        <w:jc w:val="both"/>
        <w:rPr>
          <w:color w:val="000000"/>
          <w:highlight w:val="white"/>
        </w:rPr>
      </w:pPr>
      <w:r>
        <w:rPr>
          <w:color w:val="000000"/>
          <w:highlight w:val="white"/>
        </w:rPr>
        <w:t xml:space="preserve">Barro, R. &amp; Lee, J-W. “A New Data Set of Educational Attainment in the World, 1950-2010,” NBER Working Paper No. 1590 (2010). </w:t>
      </w:r>
    </w:p>
    <w:p w14:paraId="5F1BC4FA" w14:textId="77777777" w:rsidR="009B7827" w:rsidRDefault="009B7827">
      <w:pPr>
        <w:jc w:val="both"/>
        <w:rPr>
          <w:color w:val="000000"/>
          <w:highlight w:val="white"/>
        </w:rPr>
      </w:pPr>
    </w:p>
    <w:p w14:paraId="47609093" w14:textId="77777777" w:rsidR="009B7827" w:rsidRDefault="00000000">
      <w:pPr>
        <w:jc w:val="both"/>
        <w:rPr>
          <w:color w:val="000000"/>
          <w:highlight w:val="white"/>
        </w:rPr>
      </w:pPr>
      <w:r>
        <w:rPr>
          <w:color w:val="000000"/>
          <w:highlight w:val="white"/>
        </w:rPr>
        <w:t xml:space="preserve">Kaufmann, D. &amp; </w:t>
      </w:r>
      <w:proofErr w:type="spellStart"/>
      <w:r>
        <w:rPr>
          <w:color w:val="000000"/>
          <w:highlight w:val="white"/>
        </w:rPr>
        <w:t>Kraay</w:t>
      </w:r>
      <w:proofErr w:type="spellEnd"/>
      <w:r>
        <w:rPr>
          <w:color w:val="000000"/>
          <w:highlight w:val="white"/>
        </w:rPr>
        <w:t xml:space="preserve">, A. “Governance Indicators: Where Are We, Where Should We Be Going?” Policy Research Working Paper 4370. Washington, DC: World Bank (2008). </w:t>
      </w:r>
    </w:p>
    <w:p w14:paraId="5E972481" w14:textId="77777777" w:rsidR="009B7827" w:rsidRDefault="009B7827">
      <w:pPr>
        <w:jc w:val="both"/>
        <w:rPr>
          <w:color w:val="000000"/>
          <w:highlight w:val="white"/>
        </w:rPr>
      </w:pPr>
    </w:p>
    <w:p w14:paraId="67603F2E" w14:textId="77777777" w:rsidR="009B7827" w:rsidRDefault="00000000">
      <w:pPr>
        <w:jc w:val="both"/>
        <w:rPr>
          <w:color w:val="000000"/>
          <w:highlight w:val="white"/>
        </w:rPr>
      </w:pPr>
      <w:r>
        <w:rPr>
          <w:color w:val="000000"/>
          <w:highlight w:val="white"/>
        </w:rPr>
        <w:t xml:space="preserve">Hanushek, E.A. &amp; </w:t>
      </w:r>
      <w:proofErr w:type="spellStart"/>
      <w:r>
        <w:rPr>
          <w:color w:val="000000"/>
          <w:highlight w:val="white"/>
        </w:rPr>
        <w:t>Woessmann</w:t>
      </w:r>
      <w:proofErr w:type="spellEnd"/>
      <w:r>
        <w:rPr>
          <w:color w:val="000000"/>
          <w:highlight w:val="white"/>
        </w:rPr>
        <w:t xml:space="preserve">, L. “The Role of Cognitive Skills in Economic Development,” Journal of Economic Literature 46(3), 607- 668 (2008). </w:t>
      </w:r>
    </w:p>
    <w:p w14:paraId="7264AB23" w14:textId="77777777" w:rsidR="009B7827" w:rsidRDefault="009B7827">
      <w:pPr>
        <w:jc w:val="both"/>
      </w:pPr>
    </w:p>
    <w:sectPr w:rsidR="009B7827">
      <w:headerReference w:type="default" r:id="rId22"/>
      <w:footerReference w:type="even" r:id="rId23"/>
      <w:footerReference w:type="default" r:id="rId24"/>
      <w:footerReference w:type="first" r:id="rId25"/>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8B1E7" w14:textId="77777777" w:rsidR="00346E98" w:rsidRDefault="00346E98">
      <w:r>
        <w:separator/>
      </w:r>
    </w:p>
  </w:endnote>
  <w:endnote w:type="continuationSeparator" w:id="0">
    <w:p w14:paraId="083DDE1A" w14:textId="77777777" w:rsidR="00346E98" w:rsidRDefault="0034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BE153F31-F530-964A-B97A-2240083F8570}"/>
    <w:embedBold r:id="rId2" w:fontKey="{F48CB3F3-023D-E74B-9C78-B63C841F49F7}"/>
    <w:embedItalic r:id="rId3" w:fontKey="{3E5F60C4-4228-0346-985B-6EB5BBB9CFA3}"/>
  </w:font>
  <w:font w:name="Calibri">
    <w:panose1 w:val="020F0502020204030204"/>
    <w:charset w:val="00"/>
    <w:family w:val="swiss"/>
    <w:pitch w:val="variable"/>
    <w:sig w:usb0="E0002AFF" w:usb1="C000247B" w:usb2="00000009" w:usb3="00000000" w:csb0="000001FF" w:csb1="00000000"/>
    <w:embedRegular r:id="rId4" w:fontKey="{A5F0A120-E159-3045-B686-F0A8E2F3623F}"/>
  </w:font>
  <w:font w:name="Georgia">
    <w:panose1 w:val="02040502050405020303"/>
    <w:charset w:val="00"/>
    <w:family w:val="roman"/>
    <w:pitch w:val="variable"/>
    <w:sig w:usb0="00000287" w:usb1="00000000" w:usb2="00000000" w:usb3="00000000" w:csb0="0000009F" w:csb1="00000000"/>
    <w:embedRegular r:id="rId5" w:fontKey="{93066455-3350-2C4F-A261-6EE7DCD2ECD8}"/>
    <w:embedItalic r:id="rId6" w:fontKey="{038FBAD0-603B-8447-B446-74501100F036}"/>
  </w:font>
  <w:font w:name="Open Sans">
    <w:panose1 w:val="020B0606030504020204"/>
    <w:charset w:val="00"/>
    <w:family w:val="swiss"/>
    <w:pitch w:val="variable"/>
    <w:sig w:usb0="E00002EF" w:usb1="4000205B" w:usb2="00000028" w:usb3="00000000" w:csb0="0000019F" w:csb1="00000000"/>
    <w:embedRegular r:id="rId7" w:fontKey="{5048736C-E773-EF40-B0BB-D29028C6E5F4}"/>
    <w:embedBold r:id="rId8" w:fontKey="{6FBB8A39-4265-4242-A4AF-177BBD5A76BE}"/>
  </w:font>
  <w:font w:name="PT Sans Narrow">
    <w:panose1 w:val="020B0506020203020204"/>
    <w:charset w:val="4D"/>
    <w:family w:val="swiss"/>
    <w:pitch w:val="variable"/>
    <w:sig w:usb0="A00002EF" w:usb1="5000204B" w:usb2="00000000" w:usb3="00000000" w:csb0="00000097" w:csb1="00000000"/>
  </w:font>
  <w:font w:name="Arial Unicode MS">
    <w:panose1 w:val="020B0604020202020204"/>
    <w:charset w:val="80"/>
    <w:family w:val="swiss"/>
    <w:pitch w:val="variable"/>
    <w:sig w:usb0="F7FFAFFF" w:usb1="E9DFFFFF" w:usb2="0000003F" w:usb3="00000000" w:csb0="003F01FF" w:csb1="00000000"/>
    <w:embedBold r:id="rId11" w:subsetted="1" w:fontKey="{F1A8E7B4-EA69-E943-BCF2-3A3AA84DD198}"/>
  </w:font>
  <w:font w:name="Times">
    <w:altName w:val="Times New Roman"/>
    <w:panose1 w:val="00000500000000020000"/>
    <w:charset w:val="00"/>
    <w:family w:val="auto"/>
    <w:pitch w:val="default"/>
  </w:font>
  <w:font w:name="Cambria Math">
    <w:panose1 w:val="02040503050406030204"/>
    <w:charset w:val="00"/>
    <w:family w:val="roman"/>
    <w:pitch w:val="variable"/>
    <w:sig w:usb0="E00002FF" w:usb1="420024FF" w:usb2="00000000" w:usb3="00000000" w:csb0="0000019F" w:csb1="00000000"/>
    <w:embedRegular r:id="rId14" w:fontKey="{EEE55FF3-C389-7A4C-9858-71BA6DCA6D8F}"/>
    <w:embedItalic r:id="rId15" w:fontKey="{3B50D8F9-6BB5-6D40-9801-5FC582647464}"/>
  </w:font>
  <w:font w:name="Cambria">
    <w:panose1 w:val="02040503050406030204"/>
    <w:charset w:val="00"/>
    <w:family w:val="roman"/>
    <w:pitch w:val="variable"/>
    <w:sig w:usb0="E00002FF" w:usb1="400004FF" w:usb2="00000000" w:usb3="00000000" w:csb0="0000019F" w:csb1="00000000"/>
    <w:embedRegular r:id="rId16" w:fontKey="{313DC855-929E-7545-97E8-32CACBF09D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0C0B9" w14:textId="77777777" w:rsidR="009B7827" w:rsidRDefault="00000000">
    <w:pPr>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color w:val="000000"/>
      </w:rPr>
      <w:fldChar w:fldCharType="end"/>
    </w:r>
  </w:p>
  <w:p w14:paraId="63CE71D7" w14:textId="77777777" w:rsidR="009B7827" w:rsidRDefault="009B7827">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39E5C" w14:textId="77777777" w:rsidR="009B7827" w:rsidRDefault="009B7827">
    <w:pPr>
      <w:widowControl w:val="0"/>
      <w:pBdr>
        <w:top w:val="nil"/>
        <w:left w:val="nil"/>
        <w:bottom w:val="nil"/>
        <w:right w:val="nil"/>
        <w:between w:val="nil"/>
      </w:pBdr>
      <w:spacing w:line="276" w:lineRule="auto"/>
      <w:rPr>
        <w:rFonts w:ascii="Calibri" w:eastAsia="Calibri" w:hAnsi="Calibri" w:cs="Calibri"/>
        <w:color w:val="000000"/>
      </w:rPr>
    </w:pPr>
  </w:p>
  <w:p w14:paraId="487EFE2C" w14:textId="77777777" w:rsidR="009B7827" w:rsidRDefault="009B7827">
    <w:pPr>
      <w:pBdr>
        <w:top w:val="nil"/>
        <w:left w:val="nil"/>
        <w:bottom w:val="nil"/>
        <w:right w:val="nil"/>
        <w:between w:val="nil"/>
      </w:pBdr>
      <w:tabs>
        <w:tab w:val="center" w:pos="4680"/>
        <w:tab w:val="right" w:pos="9360"/>
      </w:tabs>
      <w:rPr>
        <w:rFonts w:ascii="Calibri" w:eastAsia="Calibri" w:hAnsi="Calibri" w:cs="Calibri"/>
      </w:rPr>
    </w:pPr>
  </w:p>
  <w:p w14:paraId="4AE9CB28" w14:textId="77777777" w:rsidR="009B7827"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BD411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6056" w14:textId="77777777" w:rsidR="009B7827"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CD77F" w14:textId="77777777" w:rsidR="00346E98" w:rsidRDefault="00346E98">
      <w:r>
        <w:separator/>
      </w:r>
    </w:p>
  </w:footnote>
  <w:footnote w:type="continuationSeparator" w:id="0">
    <w:p w14:paraId="05112FA8" w14:textId="77777777" w:rsidR="00346E98" w:rsidRDefault="00346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550FB" w14:textId="77777777" w:rsidR="009B7827" w:rsidRDefault="009B7827">
    <w:pPr>
      <w:pBdr>
        <w:top w:val="nil"/>
        <w:left w:val="nil"/>
        <w:bottom w:val="nil"/>
        <w:right w:val="nil"/>
        <w:between w:val="nil"/>
      </w:pBdr>
      <w:tabs>
        <w:tab w:val="center" w:pos="4680"/>
        <w:tab w:val="right" w:pos="9360"/>
      </w:tabs>
      <w:rPr>
        <w:rFonts w:ascii="Calibri" w:eastAsia="Calibri" w:hAnsi="Calibri" w:cs="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27"/>
    <w:rsid w:val="00014C94"/>
    <w:rsid w:val="00034854"/>
    <w:rsid w:val="000618F8"/>
    <w:rsid w:val="000763BF"/>
    <w:rsid w:val="000A46AF"/>
    <w:rsid w:val="000C0E64"/>
    <w:rsid w:val="000C4654"/>
    <w:rsid w:val="00104481"/>
    <w:rsid w:val="00107A0F"/>
    <w:rsid w:val="00117E44"/>
    <w:rsid w:val="00154D23"/>
    <w:rsid w:val="00165994"/>
    <w:rsid w:val="001B5F0E"/>
    <w:rsid w:val="001C1913"/>
    <w:rsid w:val="001E767A"/>
    <w:rsid w:val="002034A7"/>
    <w:rsid w:val="002361A8"/>
    <w:rsid w:val="00236BAC"/>
    <w:rsid w:val="00252399"/>
    <w:rsid w:val="00276E7B"/>
    <w:rsid w:val="0028710F"/>
    <w:rsid w:val="00325184"/>
    <w:rsid w:val="00346E98"/>
    <w:rsid w:val="00374C06"/>
    <w:rsid w:val="003822D9"/>
    <w:rsid w:val="0038765A"/>
    <w:rsid w:val="0039503B"/>
    <w:rsid w:val="003C21B9"/>
    <w:rsid w:val="003E6366"/>
    <w:rsid w:val="004016EA"/>
    <w:rsid w:val="0040450E"/>
    <w:rsid w:val="00424353"/>
    <w:rsid w:val="0045297E"/>
    <w:rsid w:val="00480E8A"/>
    <w:rsid w:val="00491C34"/>
    <w:rsid w:val="004A4E99"/>
    <w:rsid w:val="004C5189"/>
    <w:rsid w:val="004C71A7"/>
    <w:rsid w:val="004C755C"/>
    <w:rsid w:val="005050DB"/>
    <w:rsid w:val="00551732"/>
    <w:rsid w:val="005658A1"/>
    <w:rsid w:val="005723DD"/>
    <w:rsid w:val="00577649"/>
    <w:rsid w:val="005828F4"/>
    <w:rsid w:val="005D2CF8"/>
    <w:rsid w:val="00610503"/>
    <w:rsid w:val="00611250"/>
    <w:rsid w:val="006812F1"/>
    <w:rsid w:val="006A12DF"/>
    <w:rsid w:val="007602C8"/>
    <w:rsid w:val="00805688"/>
    <w:rsid w:val="008C7DE6"/>
    <w:rsid w:val="009156BF"/>
    <w:rsid w:val="00923984"/>
    <w:rsid w:val="009B7827"/>
    <w:rsid w:val="009D378B"/>
    <w:rsid w:val="00A12183"/>
    <w:rsid w:val="00A24B7A"/>
    <w:rsid w:val="00A6423A"/>
    <w:rsid w:val="00A64742"/>
    <w:rsid w:val="00A67C0B"/>
    <w:rsid w:val="00A84DB9"/>
    <w:rsid w:val="00A94A58"/>
    <w:rsid w:val="00AA6A2D"/>
    <w:rsid w:val="00AD29E9"/>
    <w:rsid w:val="00AD46C4"/>
    <w:rsid w:val="00AD5CA1"/>
    <w:rsid w:val="00B17A35"/>
    <w:rsid w:val="00B53E03"/>
    <w:rsid w:val="00B9371B"/>
    <w:rsid w:val="00BA31D0"/>
    <w:rsid w:val="00BC7287"/>
    <w:rsid w:val="00BD4111"/>
    <w:rsid w:val="00BF5100"/>
    <w:rsid w:val="00BF77E1"/>
    <w:rsid w:val="00C16977"/>
    <w:rsid w:val="00C64449"/>
    <w:rsid w:val="00C92029"/>
    <w:rsid w:val="00CC69ED"/>
    <w:rsid w:val="00CC6DA7"/>
    <w:rsid w:val="00CD1557"/>
    <w:rsid w:val="00CE51BC"/>
    <w:rsid w:val="00D04431"/>
    <w:rsid w:val="00D940B6"/>
    <w:rsid w:val="00E219E8"/>
    <w:rsid w:val="00E53D88"/>
    <w:rsid w:val="00E9488C"/>
    <w:rsid w:val="00EA199E"/>
    <w:rsid w:val="00EC78B8"/>
    <w:rsid w:val="00FB4075"/>
    <w:rsid w:val="00FC3C45"/>
    <w:rsid w:val="00FD4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A13B4"/>
  <w15:docId w15:val="{E25EC142-4D3D-AC4B-A6F6-F45073E93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4">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E219E8"/>
    <w:rPr>
      <w:sz w:val="16"/>
      <w:szCs w:val="16"/>
    </w:rPr>
  </w:style>
  <w:style w:type="paragraph" w:styleId="CommentText">
    <w:name w:val="annotation text"/>
    <w:basedOn w:val="Normal"/>
    <w:link w:val="CommentTextChar"/>
    <w:uiPriority w:val="99"/>
    <w:semiHidden/>
    <w:unhideWhenUsed/>
    <w:rsid w:val="00E219E8"/>
    <w:rPr>
      <w:sz w:val="20"/>
      <w:szCs w:val="20"/>
    </w:rPr>
  </w:style>
  <w:style w:type="character" w:customStyle="1" w:styleId="CommentTextChar">
    <w:name w:val="Comment Text Char"/>
    <w:basedOn w:val="DefaultParagraphFont"/>
    <w:link w:val="CommentText"/>
    <w:uiPriority w:val="99"/>
    <w:semiHidden/>
    <w:rsid w:val="00E219E8"/>
    <w:rPr>
      <w:sz w:val="20"/>
      <w:szCs w:val="20"/>
    </w:rPr>
  </w:style>
  <w:style w:type="paragraph" w:styleId="CommentSubject">
    <w:name w:val="annotation subject"/>
    <w:basedOn w:val="CommentText"/>
    <w:next w:val="CommentText"/>
    <w:link w:val="CommentSubjectChar"/>
    <w:uiPriority w:val="99"/>
    <w:semiHidden/>
    <w:unhideWhenUsed/>
    <w:rsid w:val="00E219E8"/>
    <w:rPr>
      <w:b/>
      <w:bCs/>
    </w:rPr>
  </w:style>
  <w:style w:type="character" w:customStyle="1" w:styleId="CommentSubjectChar">
    <w:name w:val="Comment Subject Char"/>
    <w:basedOn w:val="CommentTextChar"/>
    <w:link w:val="CommentSubject"/>
    <w:uiPriority w:val="99"/>
    <w:semiHidden/>
    <w:rsid w:val="00E219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4666</Words>
  <Characters>26597</Characters>
  <Application>Microsoft Office Word</Application>
  <DocSecurity>0</DocSecurity>
  <Lines>221</Lines>
  <Paragraphs>62</Paragraphs>
  <ScaleCrop>false</ScaleCrop>
  <Company/>
  <LinksUpToDate>false</LinksUpToDate>
  <CharactersWithSpaces>31201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Margarita</cp:lastModifiedBy>
  <cp:revision>11</cp:revision>
  <dcterms:created xsi:type="dcterms:W3CDTF">2024-05-03T22:40:00Z</dcterms:created>
  <dcterms:modified xsi:type="dcterms:W3CDTF">2024-05-03T22:44:00Z</dcterms:modified>
</cp:coreProperties>
</file>