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Singapore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 Jane Zhang, Allison Lin, Zev McManus, Navia Zhang, Daniel Xu, Young Kim, Naythan Chan, Aishani Srikumar, Ismael Hernandez, Will Li</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Singapore</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2023.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Singapore</w:t>
      </w:r>
      <w:r w:rsidDel="00000000" w:rsidR="00000000" w:rsidRPr="00000000">
        <w:rPr>
          <w:rtl w:val="0"/>
        </w:rPr>
        <w:t xml:space="preserve"> demonstrated a </w:t>
      </w:r>
      <w:r w:rsidDel="00000000" w:rsidR="00000000" w:rsidRPr="00000000">
        <w:rPr>
          <w:rtl w:val="0"/>
        </w:rPr>
        <w:t xml:space="preserve">high</w:t>
      </w:r>
      <w:r w:rsidDel="00000000" w:rsidR="00000000" w:rsidRPr="00000000">
        <w:rPr>
          <w:rtl w:val="0"/>
        </w:rPr>
        <w:t xml:space="preserve"> level of economic growth with an average annual GDP growth rate of </w:t>
      </w:r>
      <w:r w:rsidDel="00000000" w:rsidR="00000000" w:rsidRPr="00000000">
        <w:rPr>
          <w:rtl w:val="0"/>
        </w:rPr>
        <w:t xml:space="preserve">6.31</w:t>
      </w:r>
      <w:r w:rsidDel="00000000" w:rsidR="00000000" w:rsidRPr="00000000">
        <w:rPr>
          <w:rtl w:val="0"/>
        </w:rPr>
        <w:t xml:space="preserve">% between 2019 and 2023, with a </w:t>
      </w:r>
      <w:r w:rsidDel="00000000" w:rsidR="00000000" w:rsidRPr="00000000">
        <w:rPr>
          <w:rtl w:val="0"/>
        </w:rPr>
        <w:t xml:space="preserve">decreased</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Singapore</w:t>
      </w:r>
      <w:r w:rsidDel="00000000" w:rsidR="00000000" w:rsidRPr="00000000">
        <w:rPr>
          <w:rtl w:val="0"/>
        </w:rPr>
        <w:t xml:space="preserve"> could further its gains by prioritizing Chemicals and </w:t>
      </w:r>
      <w:r w:rsidDel="00000000" w:rsidR="00000000" w:rsidRPr="00000000">
        <w:rPr>
          <w:rtl w:val="0"/>
        </w:rPr>
        <w:t xml:space="preserve">Transportation.</w:t>
      </w:r>
      <w:r w:rsidDel="00000000" w:rsidR="00000000" w:rsidRPr="00000000">
        <w:rPr>
          <w:rtl w:val="0"/>
        </w:rPr>
        <w:t xml:space="preserve"> We further note that </w:t>
      </w:r>
      <w:r w:rsidDel="00000000" w:rsidR="00000000" w:rsidRPr="00000000">
        <w:rPr>
          <w:rtl w:val="0"/>
        </w:rPr>
        <w:t xml:space="preserve">Singapore</w:t>
      </w:r>
      <w:r w:rsidDel="00000000" w:rsidR="00000000" w:rsidRPr="00000000">
        <w:rPr>
          <w:rtl w:val="0"/>
        </w:rPr>
        <w:t xml:space="preserve"> has a heavily mismatched development strategy that indicates a low</w:t>
      </w:r>
      <w:r w:rsidDel="00000000" w:rsidR="00000000" w:rsidRPr="00000000">
        <w:rPr>
          <w:rtl w:val="0"/>
        </w:rPr>
        <w:t xml:space="preserve"> </w:t>
      </w:r>
      <w:r w:rsidDel="00000000" w:rsidR="00000000" w:rsidRPr="00000000">
        <w:rPr>
          <w:rtl w:val="0"/>
        </w:rPr>
        <w:t xml:space="preserve">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0.054 </w:t>
      </w:r>
      <w:r w:rsidDel="00000000" w:rsidR="00000000" w:rsidRPr="00000000">
        <w:rPr>
          <w:rtl w:val="0"/>
        </w:rPr>
        <w:t xml:space="preserve">in 2018 and a lower score of 0.025 in 2023, demonstrating a </w:t>
      </w:r>
      <w:r w:rsidDel="00000000" w:rsidR="00000000" w:rsidRPr="00000000">
        <w:rPr>
          <w:rtl w:val="0"/>
        </w:rPr>
        <w:t xml:space="preserve">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positive correlation exists between GDP growth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five years between 2019 and 2023 showed a mixed improvement in </w:t>
      </w:r>
      <w:r w:rsidDel="00000000" w:rsidR="00000000" w:rsidRPr="00000000">
        <w:rPr>
          <w:rtl w:val="0"/>
        </w:rPr>
        <w:t xml:space="preserve">Singapore</w:t>
      </w:r>
      <w:r w:rsidDel="00000000" w:rsidR="00000000" w:rsidRPr="00000000">
        <w:rPr>
          <w:rtl w:val="0"/>
        </w:rPr>
        <w:t xml:space="preserve">'s economic growth. Its GDP is above pre-pandemic levels, but it saw a decrease</w:t>
      </w:r>
      <w:r w:rsidDel="00000000" w:rsidR="00000000" w:rsidRPr="00000000">
        <w:rPr>
          <w:rtl w:val="0"/>
        </w:rPr>
        <w:t xml:space="preserve"> </w:t>
      </w:r>
      <w:r w:rsidDel="00000000" w:rsidR="00000000" w:rsidRPr="00000000">
        <w:rPr>
          <w:rtl w:val="0"/>
        </w:rPr>
        <w:t xml:space="preserve">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2023.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Singapore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Singapore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w:t>
      </w:r>
      <w:r w:rsidDel="00000000" w:rsidR="00000000" w:rsidRPr="00000000">
        <w:rPr>
          <w:rtl w:val="0"/>
        </w:rPr>
        <w:t xml:space="preserve">Singapore</w:t>
      </w:r>
      <w:r w:rsidDel="00000000" w:rsidR="00000000" w:rsidRPr="00000000">
        <w:rPr>
          <w:rtl w:val="0"/>
        </w:rPr>
        <w:t xml:space="preserve"> and three of its peer countries (Indonesia, Thailand, and China) from 2019 to 2023. During this five year period, Singapore achieved an average annual growth of 6.31% in GDP. This number is higher than the annual growth rate of its peer countries, which have an average growth rate of 2.7%. Compared with more developed economies on a global scale, the annual growth rate of 6.31% is comparable to countries such as the USA which had an average annual GDP increase of around 5.42%. Similar to most of the other countries, Singapore displayed a drop in GDP from 2019 to 2020 because of the pandemic, with all GDPs rebounding in 2021.</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2682913" cy="1946275"/>
            <wp:effectExtent b="0" l="0" r="0" t="0"/>
            <wp:docPr id="19" name="image11.png"/>
            <a:graphic>
              <a:graphicData uri="http://schemas.openxmlformats.org/drawingml/2006/picture">
                <pic:pic>
                  <pic:nvPicPr>
                    <pic:cNvPr id="0" name="image11.png"/>
                    <pic:cNvPicPr preferRelativeResize="0"/>
                  </pic:nvPicPr>
                  <pic:blipFill>
                    <a:blip r:embed="rId8"/>
                    <a:srcRect b="-2140" l="0" r="0" t="5556"/>
                    <a:stretch>
                      <a:fillRect/>
                    </a:stretch>
                  </pic:blipFill>
                  <pic:spPr>
                    <a:xfrm>
                      <a:off x="0" y="0"/>
                      <a:ext cx="2682913" cy="1946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i w:val="1"/>
          <w:iCs w:val="1"/>
          <w:color w:val="444499"/>
          <w:sz w:val="20"/>
          <w:szCs w:val="20"/>
        </w:rPr>
      </w:pPr>
      <w:r w:rsidDel="00000000" w:rsidR="00000000" w:rsidRPr="00000000">
        <w:rPr>
          <w:rtl w:val="0"/>
        </w:rPr>
      </w:r>
    </w:p>
    <w:p w:rsidR="00000000" w:rsidDel="00000000" w:rsidP="00000000" w:rsidRDefault="00000000" w:rsidRPr="00000000" w14:paraId="00000021">
      <w:pPr>
        <w:jc w:val="center"/>
        <w:rPr>
          <w:sz w:val="22"/>
          <w:szCs w:val="22"/>
        </w:rPr>
      </w:pPr>
      <w:r w:rsidDel="00000000" w:rsidR="00000000" w:rsidRPr="00000000">
        <w:rPr>
          <w:sz w:val="22"/>
          <w:szCs w:val="22"/>
          <w:rtl w:val="0"/>
        </w:rPr>
        <w:t xml:space="preserve">Figure 1 GDP Comparison Among Peer Countries (2019-2023)</w:t>
      </w: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Singapore</w:t>
      </w:r>
      <w:r w:rsidDel="00000000" w:rsidR="00000000" w:rsidRPr="00000000">
        <w:rPr>
          <w:rtl w:val="0"/>
        </w:rPr>
        <w:t xml:space="preserve"> has seen a 240.31% decrease in ECI. Thailand and China saw their ECI decrease by 617.72% and 184.44% respectively, while Indonesia saw a 181.39% increase.</w:t>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3419475" cy="2428875"/>
            <wp:effectExtent b="0" l="0" r="0" t="0"/>
            <wp:docPr id="2" name="image4.png"/>
            <a:graphic>
              <a:graphicData uri="http://schemas.openxmlformats.org/drawingml/2006/picture">
                <pic:pic>
                  <pic:nvPicPr>
                    <pic:cNvPr id="0" name="image4.png"/>
                    <pic:cNvPicPr preferRelativeResize="0"/>
                  </pic:nvPicPr>
                  <pic:blipFill>
                    <a:blip r:embed="rId9"/>
                    <a:srcRect b="0" l="0" r="0" t="5556"/>
                    <a:stretch>
                      <a:fillRect/>
                    </a:stretch>
                  </pic:blipFill>
                  <pic:spPr>
                    <a:xfrm>
                      <a:off x="0" y="0"/>
                      <a:ext cx="3419475" cy="2428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(2019-2023)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2019 to 2023 for </w:t>
      </w:r>
      <w:r w:rsidDel="00000000" w:rsidR="00000000" w:rsidRPr="00000000">
        <w:rPr>
          <w:rtl w:val="0"/>
        </w:rPr>
        <w:t xml:space="preserve">Singapore</w:t>
      </w:r>
      <w:r w:rsidDel="00000000" w:rsidR="00000000" w:rsidRPr="00000000">
        <w:rPr>
          <w:rtl w:val="0"/>
        </w:rPr>
        <w:t xml:space="preserve">. T</w:t>
      </w:r>
      <w:r w:rsidDel="00000000" w:rsidR="00000000" w:rsidRPr="00000000">
        <w:rPr>
          <w:rtl w:val="0"/>
        </w:rPr>
        <w:t xml:space="preserve">he GDP growth is accompanied by a decrease in ECI.</w:t>
      </w:r>
      <w:r w:rsidDel="00000000" w:rsidR="00000000" w:rsidRPr="00000000">
        <w:rPr>
          <w:rtl w:val="0"/>
        </w:rPr>
        <w:t xml:space="preserve"> The results show that the economic growth experienced by Singapore during the period from 2019 to 2023 is only partially consistent with the predictions by ECI and that Singapore made weak progress towards effectively developing a competitive product space that helps to accumulate complicated knowledge and technology. ECI did not follow GDP trends. In order to provide a more concrete answer to why this has happened, we will dive into an analysis of Singapore’s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848100" cy="2840349"/>
            <wp:effectExtent b="0" l="0" r="0" t="0"/>
            <wp:docPr id="3" name="image10.png"/>
            <a:graphic>
              <a:graphicData uri="http://schemas.openxmlformats.org/drawingml/2006/picture">
                <pic:pic>
                  <pic:nvPicPr>
                    <pic:cNvPr id="0" name="image10.png"/>
                    <pic:cNvPicPr preferRelativeResize="0"/>
                  </pic:nvPicPr>
                  <pic:blipFill>
                    <a:blip r:embed="rId10"/>
                    <a:srcRect b="0" l="0" r="0" t="1714"/>
                    <a:stretch>
                      <a:fillRect/>
                    </a:stretch>
                  </pic:blipFill>
                  <pic:spPr>
                    <a:xfrm>
                      <a:off x="0" y="0"/>
                      <a:ext cx="3848100" cy="284034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Singapore</w:t>
      </w:r>
      <w:r w:rsidDel="00000000" w:rsidR="00000000" w:rsidRPr="00000000">
        <w:rPr>
          <w:sz w:val="22"/>
          <w:szCs w:val="22"/>
          <w:rtl w:val="0"/>
        </w:rPr>
        <w:t xml:space="preserve"> (2019-2023)</w:t>
      </w: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b w:val="0"/>
                <w:bCs w:val="0"/>
              </w:rPr>
            </w:pPr>
            <w:r w:rsidDel="00000000" w:rsidR="00000000" w:rsidRPr="00000000">
              <w:rPr>
                <w:rtl w:val="0"/>
              </w:rPr>
            </w:r>
          </w:p>
        </w:tc>
        <w:tc>
          <w:tcPr/>
          <w:p w:rsidR="00000000" w:rsidDel="00000000" w:rsidP="00000000" w:rsidRDefault="00000000" w:rsidRPr="00000000" w14:paraId="00000063">
            <w:pPr>
              <w:pageBreakBefore w:val="0"/>
              <w:jc w:val="center"/>
              <w:rPr>
                <w:b w:val="0"/>
                <w:bCs w:val="0"/>
                <w:sz w:val="20"/>
                <w:szCs w:val="20"/>
              </w:rPr>
            </w:pPr>
            <w:r w:rsidDel="00000000" w:rsidR="00000000" w:rsidRPr="00000000">
              <w:rPr>
                <w:b w:val="0"/>
                <w:bCs w:val="0"/>
                <w:sz w:val="20"/>
                <w:szCs w:val="20"/>
                <w:rtl w:val="0"/>
              </w:rPr>
              <w:t xml:space="preserve">High-complexity Products</w:t>
            </w:r>
          </w:p>
        </w:tc>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Food and</w:t>
            </w:r>
            <w:r w:rsidDel="00000000" w:rsidR="00000000" w:rsidRPr="00000000">
              <w:rPr>
                <w:b w:val="0"/>
                <w:bCs w:val="0"/>
                <w:sz w:val="20"/>
                <w:szCs w:val="20"/>
                <w:rtl w:val="0"/>
              </w:rPr>
              <w:t xml:space="preserve"> Preparations</w:t>
            </w:r>
          </w:p>
        </w:tc>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Animals and</w:t>
            </w:r>
            <w:r w:rsidDel="00000000" w:rsidR="00000000" w:rsidRPr="00000000">
              <w:rPr>
                <w:b w:val="0"/>
                <w:bCs w:val="0"/>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b w:val="0"/>
                <w:bCs w:val="0"/>
              </w:rPr>
            </w:pPr>
            <w:r w:rsidDel="00000000" w:rsidR="00000000" w:rsidRPr="00000000">
              <w:rPr>
                <w:rtl w:val="0"/>
              </w:rPr>
            </w:r>
          </w:p>
        </w:tc>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High-complexity Products</w:t>
            </w:r>
          </w:p>
        </w:tc>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Food and</w:t>
            </w:r>
            <w:r w:rsidDel="00000000" w:rsidR="00000000" w:rsidRPr="00000000">
              <w:rPr>
                <w:b w:val="0"/>
                <w:bCs w:val="0"/>
                <w:sz w:val="20"/>
                <w:szCs w:val="20"/>
                <w:rtl w:val="0"/>
              </w:rPr>
              <w:t xml:space="preserve"> Preparations</w:t>
            </w:r>
          </w:p>
        </w:tc>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Animals and</w:t>
            </w:r>
            <w:r w:rsidDel="00000000" w:rsidR="00000000" w:rsidRPr="00000000">
              <w:rPr>
                <w:b w:val="0"/>
                <w:bCs w:val="0"/>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r w:rsidDel="00000000" w:rsidR="00000000" w:rsidRPr="00000000">
              <w:rPr>
                <w:rtl w:val="0"/>
              </w:rPr>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center"/>
        <w:rPr>
          <w:sz w:val="22"/>
          <w:szCs w:val="22"/>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r w:rsidDel="00000000" w:rsidR="00000000" w:rsidRPr="00000000">
        <w:rPr>
          <w:rtl w:val="0"/>
        </w:rPr>
      </w:r>
    </w:p>
    <w:p w:rsidR="00000000" w:rsidDel="00000000" w:rsidP="00000000" w:rsidRDefault="00000000" w:rsidRPr="00000000" w14:paraId="00000088">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Singapore'</w:t>
      </w:r>
      <w:r w:rsidDel="00000000" w:rsidR="00000000" w:rsidRPr="00000000">
        <w:rPr>
          <w:rtl w:val="0"/>
        </w:rPr>
        <w:t xml:space="preserve">s realized industry production strategy between 2019 and 2023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Singapore</w:t>
      </w:r>
      <w:r w:rsidDel="00000000" w:rsidR="00000000" w:rsidRPr="00000000">
        <w:rPr>
          <w:rtl w:val="0"/>
        </w:rPr>
        <w:t xml:space="preserve"> and the 18 product groups in 2023, where a positive RID indicates a shortening of the distance (i.e., advancement of the industry), and a negative RID indicates the reverse.</w:t>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jc w:val="center"/>
        <w:rPr>
          <w:sz w:val="22"/>
          <w:szCs w:val="22"/>
        </w:rPr>
      </w:pPr>
      <w:r w:rsidDel="00000000" w:rsidR="00000000" w:rsidRPr="00000000">
        <w:rPr>
          <w:sz w:val="22"/>
          <w:szCs w:val="22"/>
        </w:rPr>
        <w:drawing>
          <wp:inline distB="114300" distT="114300" distL="114300" distR="114300">
            <wp:extent cx="2274507" cy="3967163"/>
            <wp:effectExtent b="0" l="0" r="0" t="0"/>
            <wp:docPr id="8" name="image12.png"/>
            <a:graphic>
              <a:graphicData uri="http://schemas.openxmlformats.org/drawingml/2006/picture">
                <pic:pic>
                  <pic:nvPicPr>
                    <pic:cNvPr id="0" name="image12.png"/>
                    <pic:cNvPicPr preferRelativeResize="0"/>
                  </pic:nvPicPr>
                  <pic:blipFill>
                    <a:blip r:embed="rId11"/>
                    <a:srcRect b="-932" l="0" r="0" t="-927"/>
                    <a:stretch>
                      <a:fillRect/>
                    </a:stretch>
                  </pic:blipFill>
                  <pic:spPr>
                    <a:xfrm>
                      <a:off x="0" y="0"/>
                      <a:ext cx="2274507"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Singapore</w:t>
      </w: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3.3 Regional and Global Comparison</w:t>
      </w:r>
      <w:r w:rsidDel="00000000" w:rsidR="00000000" w:rsidRPr="00000000">
        <w:rPr>
          <w:rtl w:val="0"/>
        </w:rPr>
      </w:r>
    </w:p>
    <w:p w:rsidR="00000000" w:rsidDel="00000000" w:rsidP="00000000" w:rsidRDefault="00000000" w:rsidRPr="00000000" w14:paraId="0000008E">
      <w:pPr>
        <w:pageBreakBefore w:val="0"/>
        <w:jc w:val="both"/>
        <w:rPr/>
      </w:pPr>
      <w:r w:rsidDel="00000000" w:rsidR="00000000" w:rsidRPr="00000000">
        <w:rPr>
          <w:rtl w:val="0"/>
        </w:rPr>
        <w:t xml:space="preserve">Table 4a below summarizes how the production strategy adopted by </w:t>
      </w:r>
      <w:r w:rsidDel="00000000" w:rsidR="00000000" w:rsidRPr="00000000">
        <w:rPr>
          <w:rtl w:val="0"/>
        </w:rPr>
        <w:t xml:space="preserve">Singapore</w:t>
      </w:r>
      <w:r w:rsidDel="00000000" w:rsidR="00000000" w:rsidRPr="00000000">
        <w:rPr>
          <w:rtl w:val="0"/>
        </w:rPr>
        <w:t xml:space="preserve"> compares with selected leading economies in the world across different years, as measured in RID. Leading economies such as France, Greece, and Portugal gave a considerable level of attention to Services and Utilities and Vegetables, Fruits, and Plants in 2023.</w:t>
      </w:r>
      <w:r w:rsidDel="00000000" w:rsidR="00000000" w:rsidRPr="00000000">
        <w:rPr>
          <w:rtl w:val="0"/>
        </w:rPr>
      </w:r>
    </w:p>
    <w:p w:rsidR="00000000" w:rsidDel="00000000" w:rsidP="00000000" w:rsidRDefault="00000000" w:rsidRPr="00000000" w14:paraId="0000008F">
      <w:pPr>
        <w:jc w:val="both"/>
        <w:rPr/>
      </w:pPr>
      <w:r w:rsidDel="00000000" w:rsidR="00000000" w:rsidRPr="00000000">
        <w:rPr/>
        <w:drawing>
          <wp:inline distB="114300" distT="114300" distL="114300" distR="114300">
            <wp:extent cx="5731200" cy="1092200"/>
            <wp:effectExtent b="0" l="0" r="0" t="0"/>
            <wp:docPr id="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Table 4a. RID Comparison across Leading Economies (2023)</w:t>
      </w:r>
    </w:p>
    <w:p w:rsidR="00000000" w:rsidDel="00000000" w:rsidP="00000000" w:rsidRDefault="00000000" w:rsidRPr="00000000" w14:paraId="00000091">
      <w:pPr>
        <w:jc w:val="center"/>
        <w:rPr>
          <w:sz w:val="22"/>
          <w:szCs w:val="22"/>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Table 4b further examines </w:t>
      </w:r>
      <w:r w:rsidDel="00000000" w:rsidR="00000000" w:rsidRPr="00000000">
        <w:rPr>
          <w:rtl w:val="0"/>
        </w:rPr>
        <w:t xml:space="preserve">Singapore</w:t>
      </w:r>
      <w:r w:rsidDel="00000000" w:rsidR="00000000" w:rsidRPr="00000000">
        <w:rPr>
          <w:rtl w:val="0"/>
        </w:rPr>
        <w:t xml:space="preserve">'s development strategy against countries like China that also prioritize Services and Utilities.</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sz w:val="22"/>
          <w:szCs w:val="22"/>
        </w:rPr>
        <w:drawing>
          <wp:inline distB="114300" distT="114300" distL="114300" distR="114300">
            <wp:extent cx="5731200" cy="15240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524000"/>
                    </a:xfrm>
                    <a:prstGeom prst="rect"/>
                    <a:ln/>
                  </pic:spPr>
                </pic:pic>
              </a:graphicData>
            </a:graphic>
          </wp:inline>
        </w:drawing>
      </w:r>
      <w:r w:rsidDel="00000000" w:rsidR="00000000" w:rsidRPr="00000000">
        <w:rPr>
          <w:sz w:val="22"/>
          <w:szCs w:val="22"/>
          <w:rtl w:val="0"/>
        </w:rPr>
        <w:t xml:space="preserve">Table 4b. RID Comparison with China (2023)</w:t>
      </w:r>
      <w:r w:rsidDel="00000000" w:rsidR="00000000" w:rsidRPr="00000000">
        <w:rPr>
          <w:rtl w:val="0"/>
        </w:rPr>
      </w:r>
    </w:p>
    <w:p w:rsidR="00000000" w:rsidDel="00000000" w:rsidP="00000000" w:rsidRDefault="00000000" w:rsidRPr="00000000" w14:paraId="00000095">
      <w:pPr>
        <w:pageBreakBefore w:val="0"/>
        <w:jc w:val="center"/>
        <w:rPr>
          <w:sz w:val="22"/>
          <w:szCs w:val="22"/>
        </w:rPr>
      </w:pPr>
      <w:r w:rsidDel="00000000" w:rsidR="00000000" w:rsidRPr="00000000">
        <w:rPr>
          <w:rtl w:val="0"/>
        </w:rPr>
      </w:r>
    </w:p>
    <w:p w:rsidR="00000000" w:rsidDel="00000000" w:rsidP="00000000" w:rsidRDefault="00000000" w:rsidRPr="00000000" w14:paraId="00000096">
      <w:pPr>
        <w:pageBreakBefore w:val="0"/>
        <w:jc w:val="both"/>
        <w:rPr/>
      </w:pPr>
      <w:r w:rsidDel="00000000" w:rsidR="00000000" w:rsidRPr="00000000">
        <w:rPr>
          <w:rtl w:val="0"/>
        </w:rPr>
      </w:r>
    </w:p>
    <w:p w:rsidR="00000000" w:rsidDel="00000000" w:rsidP="00000000" w:rsidRDefault="00000000" w:rsidRPr="00000000" w14:paraId="0000009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8">
      <w:pPr>
        <w:pageBreakBefore w:val="0"/>
        <w:jc w:val="both"/>
        <w:rPr>
          <w:b w:val="1"/>
          <w:bCs w:val="1"/>
        </w:rPr>
      </w:pPr>
      <w:r w:rsidDel="00000000" w:rsidR="00000000" w:rsidRPr="00000000">
        <w:rPr>
          <w:rtl w:val="0"/>
        </w:rPr>
      </w:r>
    </w:p>
    <w:p w:rsidR="00000000" w:rsidDel="00000000" w:rsidP="00000000" w:rsidRDefault="00000000" w:rsidRPr="00000000" w14:paraId="0000009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9E">
      <w:pPr>
        <w:pageBreakBefore w:val="0"/>
        <w:jc w:val="left"/>
        <w:rPr/>
      </w:pPr>
      <w:r w:rsidDel="00000000" w:rsidR="00000000" w:rsidRPr="00000000">
        <w:rPr>
          <w:rtl w:val="0"/>
        </w:rPr>
      </w:r>
    </w:p>
    <w:p w:rsidR="00000000" w:rsidDel="00000000" w:rsidP="00000000" w:rsidRDefault="00000000" w:rsidRPr="00000000" w14:paraId="0000009F">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4050" cy="3457575"/>
            <wp:effectExtent b="0" l="0" r="0" t="0"/>
            <wp:docPr id="1" name="image9.png"/>
            <a:graphic>
              <a:graphicData uri="http://schemas.openxmlformats.org/drawingml/2006/picture">
                <pic:pic>
                  <pic:nvPicPr>
                    <pic:cNvPr id="0" name="image9.png"/>
                    <pic:cNvPicPr preferRelativeResize="0"/>
                  </pic:nvPicPr>
                  <pic:blipFill>
                    <a:blip r:embed="rId14"/>
                    <a:srcRect b="-1921" l="0" r="0" t="0"/>
                    <a:stretch>
                      <a:fillRect/>
                    </a:stretch>
                  </pic:blipFill>
                  <pic:spPr>
                    <a:xfrm>
                      <a:off x="0" y="0"/>
                      <a:ext cx="57340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23)</w:t>
      </w:r>
    </w:p>
    <w:p w:rsidR="00000000" w:rsidDel="00000000" w:rsidP="00000000" w:rsidRDefault="00000000" w:rsidRPr="00000000" w14:paraId="000000A1">
      <w:pPr>
        <w:pageBreakBefore w:val="0"/>
        <w:jc w:val="center"/>
        <w:rPr/>
      </w:pPr>
      <w:r w:rsidDel="00000000" w:rsidR="00000000" w:rsidRPr="00000000">
        <w:rPr>
          <w:rtl w:val="0"/>
        </w:rPr>
      </w:r>
    </w:p>
    <w:p w:rsidR="00000000" w:rsidDel="00000000" w:rsidP="00000000" w:rsidRDefault="00000000" w:rsidRPr="00000000" w14:paraId="000000A2">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Singapore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It can be concluded that </w:t>
      </w:r>
      <w:r w:rsidDel="00000000" w:rsidR="00000000" w:rsidRPr="00000000">
        <w:rPr>
          <w:rtl w:val="0"/>
        </w:rPr>
        <w:t xml:space="preserve">Singapore</w:t>
      </w:r>
      <w:r w:rsidDel="00000000" w:rsidR="00000000" w:rsidRPr="00000000">
        <w:rPr>
          <w:rtl w:val="0"/>
        </w:rPr>
        <w:t xml:space="preserve"> shares the characteristics of leading countries.</w:t>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tbl>
      <w:tblPr>
        <w:tblStyle w:val="Table4"/>
        <w:tblW w:w="9030.0" w:type="dxa"/>
        <w:jc w:val="center"/>
        <w:tblLayout w:type="fixed"/>
        <w:tblLook w:val="0600"/>
      </w:tblPr>
      <w:tblGrid>
        <w:gridCol w:w="735"/>
        <w:gridCol w:w="2010"/>
        <w:gridCol w:w="2025"/>
        <w:gridCol w:w="2130"/>
        <w:gridCol w:w="2130"/>
        <w:tblGridChange w:id="0">
          <w:tblGrid>
            <w:gridCol w:w="735"/>
            <w:gridCol w:w="2010"/>
            <w:gridCol w:w="2025"/>
            <w:gridCol w:w="2130"/>
            <w:gridCol w:w="213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A7">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A8">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The United States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A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South Korea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AA">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Japan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A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Indonesia</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A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AD">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0">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2">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B6">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7">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A">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BB">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C">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F">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C0">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1">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4">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6">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9">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CA">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B">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E">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C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0">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1">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3">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D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D5">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D6">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D7">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D8">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A">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B">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C">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D">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D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DF">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0">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1">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2">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E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4">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5">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6">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7">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55" w:hRule="atLeast"/>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E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9">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A">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B">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C">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E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E">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F">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0">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1">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F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4">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6">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0F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9">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A">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B">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0F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E">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F">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00">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tcBorders>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0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03">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04">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05">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06">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07">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0.6301643562</w:t>
            </w:r>
          </w:p>
        </w:tc>
        <w:tc>
          <w:tcPr>
            <w:tcBorders>
              <w:top w:color="000000" w:space="0" w:sz="0" w:val="nil"/>
              <w:bottom w:color="000000" w:space="0" w:sz="0" w:val="nil"/>
            </w:tcBorders>
            <w:shd w:fill="c9c9c9" w:val="clear"/>
            <w:tcMar>
              <w:top w:w="-267.84" w:type="dxa"/>
              <w:left w:w="-267.84" w:type="dxa"/>
              <w:bottom w:w="-267.84" w:type="dxa"/>
              <w:right w:w="-267.84" w:type="dxa"/>
            </w:tcMar>
          </w:tcPr>
          <w:p w:rsidR="00000000" w:rsidDel="00000000" w:rsidP="00000000" w:rsidRDefault="00000000" w:rsidRPr="00000000" w14:paraId="00000108">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1.519092735</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09">
            <w:pPr>
              <w:widowControl w:val="0"/>
              <w:spacing w:line="276" w:lineRule="auto"/>
              <w:ind w:right="-75"/>
              <w:rPr>
                <w:b w:val="1"/>
                <w:bCs w:val="1"/>
                <w:color w:val="7b7b7b"/>
                <w:sz w:val="20"/>
                <w:szCs w:val="20"/>
              </w:rPr>
            </w:pPr>
            <w:r w:rsidDel="00000000" w:rsidR="00000000" w:rsidRPr="00000000">
              <w:rPr>
                <w:b w:val="1"/>
                <w:bCs w:val="1"/>
                <w:color w:val="7b7b7b"/>
                <w:sz w:val="21"/>
                <w:szCs w:val="21"/>
                <w:rtl w:val="0"/>
              </w:rPr>
              <w:t xml:space="preserve">1.792342474</w:t>
            </w:r>
            <w:r w:rsidDel="00000000" w:rsidR="00000000" w:rsidRPr="00000000">
              <w:rPr>
                <w:rtl w:val="0"/>
              </w:rPr>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0A">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-0.345375137</w:t>
            </w:r>
          </w:p>
        </w:tc>
      </w:tr>
    </w:tbl>
    <w:p w:rsidR="00000000" w:rsidDel="00000000" w:rsidP="00000000" w:rsidRDefault="00000000" w:rsidRPr="00000000" w14:paraId="0000010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0C">
      <w:pPr>
        <w:pageBreakBefore w:val="0"/>
        <w:jc w:val="center"/>
        <w:rPr>
          <w:sz w:val="22"/>
          <w:szCs w:val="22"/>
        </w:rPr>
      </w:pPr>
      <w:r w:rsidDel="00000000" w:rsidR="00000000" w:rsidRPr="00000000">
        <w:rPr>
          <w:rtl w:val="0"/>
        </w:rPr>
      </w:r>
    </w:p>
    <w:p w:rsidR="00000000" w:rsidDel="00000000" w:rsidP="00000000" w:rsidRDefault="00000000" w:rsidRPr="00000000" w14:paraId="0000010D">
      <w:pPr>
        <w:pageBreakBefore w:val="0"/>
        <w:jc w:val="center"/>
        <w:rPr/>
      </w:pPr>
      <w:r w:rsidDel="00000000" w:rsidR="00000000" w:rsidRPr="00000000">
        <w:rPr>
          <w:rtl w:val="0"/>
        </w:rPr>
      </w:r>
    </w:p>
    <w:p w:rsidR="00000000" w:rsidDel="00000000" w:rsidP="00000000" w:rsidRDefault="00000000" w:rsidRPr="00000000" w14:paraId="0000010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jc w:val="center"/>
        <w:rPr/>
      </w:pPr>
      <w:r w:rsidDel="00000000" w:rsidR="00000000" w:rsidRPr="00000000">
        <w:rPr>
          <w:rtl w:val="0"/>
        </w:rPr>
      </w:r>
    </w:p>
    <w:p w:rsidR="00000000" w:rsidDel="00000000" w:rsidP="00000000" w:rsidRDefault="00000000" w:rsidRPr="00000000" w14:paraId="0000011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14">
      <w:pPr>
        <w:pageBreakBefore w:val="0"/>
        <w:jc w:val="both"/>
        <w:rPr/>
      </w:pPr>
      <w:r w:rsidDel="00000000" w:rsidR="00000000" w:rsidRPr="00000000">
        <w:rPr>
          <w:rtl w:val="0"/>
        </w:rPr>
        <w:t xml:space="preserve"> </w:t>
      </w:r>
    </w:p>
    <w:p w:rsidR="00000000" w:rsidDel="00000000" w:rsidP="00000000" w:rsidRDefault="00000000" w:rsidRPr="00000000" w14:paraId="0000011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16">
      <w:pPr>
        <w:pageBreakBefore w:val="0"/>
        <w:jc w:val="both"/>
        <w:rPr/>
      </w:pPr>
      <w:r w:rsidDel="00000000" w:rsidR="00000000" w:rsidRPr="00000000">
        <w:rPr>
          <w:rtl w:val="0"/>
        </w:rPr>
        <w:t xml:space="preserve"> </w:t>
      </w:r>
    </w:p>
    <w:p w:rsidR="00000000" w:rsidDel="00000000" w:rsidP="00000000" w:rsidRDefault="00000000" w:rsidRPr="00000000" w14:paraId="0000011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1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1C">
      <w:pPr>
        <w:pageBreakBefore w:val="0"/>
        <w:rPr/>
      </w:pPr>
      <w:r w:rsidDel="00000000" w:rsidR="00000000" w:rsidRPr="00000000">
        <w:rPr>
          <w:rtl w:val="0"/>
        </w:rPr>
        <w:t xml:space="preserve"> </w:t>
      </w:r>
    </w:p>
    <w:p w:rsidR="00000000" w:rsidDel="00000000" w:rsidP="00000000" w:rsidRDefault="00000000" w:rsidRPr="00000000" w14:paraId="0000011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2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it can also give a sense of how a country should develop in the long term. Eventually, the graph in the end is just for numerical explanation for the pie charts.</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ageBreakBefore w:val="0"/>
        <w:jc w:val="both"/>
        <w:rPr>
          <w:b w:val="1"/>
          <w:bCs w:val="1"/>
        </w:rPr>
      </w:pPr>
      <w:r w:rsidDel="00000000" w:rsidR="00000000" w:rsidRPr="00000000">
        <w:rPr>
          <w:rtl w:val="0"/>
        </w:rPr>
      </w:r>
    </w:p>
    <w:p w:rsidR="00000000" w:rsidDel="00000000" w:rsidP="00000000" w:rsidRDefault="00000000" w:rsidRPr="00000000" w14:paraId="00000123">
      <w:pPr>
        <w:pageBreakBefore w:val="0"/>
        <w:jc w:val="both"/>
        <w:rPr>
          <w:b w:val="1"/>
          <w:bCs w:val="1"/>
        </w:rPr>
      </w:pP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26">
      <w:pPr>
        <w:pageBreakBefore w:val="0"/>
        <w:jc w:val="both"/>
        <w:rPr/>
      </w:pPr>
      <w:r w:rsidDel="00000000" w:rsidR="00000000" w:rsidRPr="00000000">
        <w:rPr>
          <w:rtl w:val="0"/>
        </w:rPr>
      </w:r>
    </w:p>
    <w:tbl>
      <w:tblPr>
        <w:tblStyle w:val="Table5"/>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4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4E">
      <w:pPr>
        <w:pageBreakBefore w:val="0"/>
        <w:jc w:val="center"/>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Singapore</w:t>
      </w:r>
      <w:r w:rsidDel="00000000" w:rsidR="00000000" w:rsidRPr="00000000">
        <w:rPr>
          <w:rtl w:val="0"/>
        </w:rPr>
        <w:t xml:space="preserve"> in 2023. We can see that for different percentages of heuristic total export growth, the ECIs of </w:t>
      </w:r>
      <w:r w:rsidDel="00000000" w:rsidR="00000000" w:rsidRPr="00000000">
        <w:rPr>
          <w:rtl w:val="0"/>
        </w:rPr>
        <w:t xml:space="preserve">Singapore</w:t>
      </w:r>
      <w:r w:rsidDel="00000000" w:rsidR="00000000" w:rsidRPr="00000000">
        <w:rPr>
          <w:rtl w:val="0"/>
        </w:rPr>
        <w:t xml:space="preserve"> actually have different increments.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For 2023, </w:t>
      </w:r>
      <w:r w:rsidDel="00000000" w:rsidR="00000000" w:rsidRPr="00000000">
        <w:rPr>
          <w:rtl w:val="0"/>
        </w:rPr>
        <w:t xml:space="preserve">a 5 percent increase in export would emphasize Machinery and Construction, followed by High-complexity Products for 10 and 15 percent export growth respectively and then Weapons for 20 percent export growth. These strategies go in line with the suggested trajectories based on ECI. As we increase </w:t>
      </w:r>
      <w:r w:rsidDel="00000000" w:rsidR="00000000" w:rsidRPr="00000000">
        <w:rPr>
          <w:rtl w:val="0"/>
        </w:rPr>
        <w:t xml:space="preserve">percent</w:t>
      </w:r>
      <w:r w:rsidDel="00000000" w:rsidR="00000000" w:rsidRPr="00000000">
        <w:rPr>
          <w:rtl w:val="0"/>
        </w:rPr>
        <w:t xml:space="preserve"> export, we start out prioritizing Weapons and Machinery and Construction and then High-complexity Products and Weapons once again. A more detailed numerical representation of the portfolio for </w:t>
      </w:r>
      <w:r w:rsidDel="00000000" w:rsidR="00000000" w:rsidRPr="00000000">
        <w:rPr>
          <w:rtl w:val="0"/>
        </w:rPr>
        <w:t xml:space="preserve">Singapore</w:t>
      </w:r>
      <w:r w:rsidDel="00000000" w:rsidR="00000000" w:rsidRPr="00000000">
        <w:rPr>
          <w:rtl w:val="0"/>
        </w:rPr>
        <w:t xml:space="preserve"> is shown in Table 8.</w:t>
      </w:r>
    </w:p>
    <w:p w:rsidR="00000000" w:rsidDel="00000000" w:rsidP="00000000" w:rsidRDefault="00000000" w:rsidRPr="00000000" w14:paraId="00000152">
      <w:pPr>
        <w:pageBreakBefore w:val="0"/>
        <w:rPr>
          <w:sz w:val="22"/>
          <w:szCs w:val="22"/>
        </w:rPr>
      </w:pPr>
      <w:r w:rsidDel="00000000" w:rsidR="00000000" w:rsidRPr="00000000">
        <w:rPr/>
        <w:drawing>
          <wp:inline distB="114300" distT="114300" distL="114300" distR="114300">
            <wp:extent cx="5731200" cy="19812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sz w:val="22"/>
          <w:szCs w:val="22"/>
        </w:rPr>
      </w:pPr>
      <w:r w:rsidDel="00000000" w:rsidR="00000000" w:rsidRPr="00000000">
        <w:rPr>
          <w:sz w:val="22"/>
          <w:szCs w:val="22"/>
        </w:rPr>
        <w:drawing>
          <wp:inline distB="114300" distT="114300" distL="114300" distR="114300">
            <wp:extent cx="5731200" cy="1879600"/>
            <wp:effectExtent b="0" l="0" r="0" t="0"/>
            <wp:docPr id="1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(2023)</w:t>
      </w:r>
    </w:p>
    <w:p w:rsidR="00000000" w:rsidDel="00000000" w:rsidP="00000000" w:rsidRDefault="00000000" w:rsidRPr="00000000" w14:paraId="00000155">
      <w:pPr>
        <w:jc w:val="left"/>
        <w:rPr>
          <w:sz w:val="22"/>
          <w:szCs w:val="22"/>
        </w:rPr>
      </w:pPr>
      <w:r w:rsidDel="00000000" w:rsidR="00000000" w:rsidRPr="00000000">
        <w:rPr>
          <w:sz w:val="22"/>
          <w:szCs w:val="22"/>
        </w:rPr>
        <w:drawing>
          <wp:inline distB="114300" distT="114300" distL="114300" distR="114300">
            <wp:extent cx="5731200" cy="16002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sz w:val="22"/>
          <w:szCs w:val="22"/>
        </w:rPr>
      </w:pPr>
      <w:r w:rsidDel="00000000" w:rsidR="00000000" w:rsidRPr="00000000">
        <w:rPr>
          <w:rtl w:val="0"/>
        </w:rPr>
      </w:r>
    </w:p>
    <w:p w:rsidR="00000000" w:rsidDel="00000000" w:rsidP="00000000" w:rsidRDefault="00000000" w:rsidRPr="00000000" w14:paraId="0000015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Singapore</w:t>
      </w:r>
      <w:r w:rsidDel="00000000" w:rsidR="00000000" w:rsidRPr="00000000">
        <w:rPr>
          <w:sz w:val="22"/>
          <w:szCs w:val="22"/>
          <w:rtl w:val="0"/>
        </w:rPr>
        <w:t xml:space="preserve"> </w:t>
      </w:r>
      <w:r w:rsidDel="00000000" w:rsidR="00000000" w:rsidRPr="00000000">
        <w:rPr>
          <w:sz w:val="22"/>
          <w:szCs w:val="22"/>
          <w:rtl w:val="0"/>
        </w:rPr>
        <w:t xml:space="preserve">(2023)</w:t>
      </w:r>
      <w:r w:rsidDel="00000000" w:rsidR="00000000" w:rsidRPr="00000000">
        <w:rPr>
          <w:rtl w:val="0"/>
        </w:rPr>
      </w:r>
    </w:p>
    <w:p w:rsidR="00000000" w:rsidDel="00000000" w:rsidP="00000000" w:rsidRDefault="00000000" w:rsidRPr="00000000" w14:paraId="00000158">
      <w:pPr>
        <w:jc w:val="center"/>
        <w:rPr>
          <w:sz w:val="22"/>
          <w:szCs w:val="22"/>
        </w:rPr>
      </w:pPr>
      <w:r w:rsidDel="00000000" w:rsidR="00000000" w:rsidRPr="00000000">
        <w:rPr>
          <w:rtl w:val="0"/>
        </w:rPr>
      </w:r>
    </w:p>
    <w:p w:rsidR="00000000" w:rsidDel="00000000" w:rsidP="00000000" w:rsidRDefault="00000000" w:rsidRPr="00000000" w14:paraId="0000015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5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Singapore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5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5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5D">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2.jpg"/>
            <a:graphic>
              <a:graphicData uri="http://schemas.openxmlformats.org/drawingml/2006/picture">
                <pic:pic>
                  <pic:nvPicPr>
                    <pic:cNvPr id="0" name="image2.jpg"/>
                    <pic:cNvPicPr preferRelativeResize="0"/>
                  </pic:nvPicPr>
                  <pic:blipFill>
                    <a:blip r:embed="rId20"/>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5F">
      <w:pPr>
        <w:pageBreakBefore w:val="0"/>
        <w:spacing w:after="240" w:before="240" w:line="276" w:lineRule="auto"/>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61">
      <w:pPr>
        <w:pageBreakBefore w:val="0"/>
        <w:jc w:val="both"/>
        <w:rPr/>
      </w:pPr>
      <w:r w:rsidDel="00000000" w:rsidR="00000000" w:rsidRPr="00000000">
        <w:rPr>
          <w:rtl w:val="0"/>
        </w:rPr>
        <w:t xml:space="preserve">We examine </w:t>
      </w:r>
      <w:r w:rsidDel="00000000" w:rsidR="00000000" w:rsidRPr="00000000">
        <w:rPr>
          <w:rtl w:val="0"/>
        </w:rPr>
        <w:t xml:space="preserve">Singapore</w:t>
      </w:r>
      <w:r w:rsidDel="00000000" w:rsidR="00000000" w:rsidRPr="00000000">
        <w:rPr>
          <w:rtl w:val="0"/>
        </w:rPr>
        <w:t xml:space="preserve">'s ECI Decremental and Incremental Sensitivity Charts for 2023. An increase in Precious Stones will lead to the highest change in ECI, followed by Food and Preparations. For the negative shock cases, High-complexity Products become most impactful. The rest of the industries do not appear to have the same level of sensitivity.</w:t>
      </w:r>
    </w:p>
    <w:p w:rsidR="00000000" w:rsidDel="00000000" w:rsidP="00000000" w:rsidRDefault="00000000" w:rsidRPr="00000000" w14:paraId="00000162">
      <w:pPr>
        <w:pageBreakBefore w:val="0"/>
        <w:jc w:val="both"/>
        <w:rPr/>
      </w:pP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drawing>
          <wp:inline distB="114300" distT="114300" distL="114300" distR="114300">
            <wp:extent cx="5731200" cy="1778000"/>
            <wp:effectExtent b="0" l="0" r="0" t="0"/>
            <wp:docPr id="1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(2023)</w:t>
      </w:r>
    </w:p>
    <w:p w:rsidR="00000000" w:rsidDel="00000000" w:rsidP="00000000" w:rsidRDefault="00000000" w:rsidRPr="00000000" w14:paraId="00000165">
      <w:pPr>
        <w:jc w:val="center"/>
        <w:rPr>
          <w:sz w:val="22"/>
          <w:szCs w:val="22"/>
        </w:rPr>
      </w:pPr>
      <w:r w:rsidDel="00000000" w:rsidR="00000000" w:rsidRPr="00000000">
        <w:rPr>
          <w:sz w:val="22"/>
          <w:szCs w:val="22"/>
        </w:rPr>
        <w:drawing>
          <wp:inline distB="114300" distT="114300" distL="114300" distR="114300">
            <wp:extent cx="5731200" cy="18161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(2023)</w:t>
      </w: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6C">
      <w:pPr>
        <w:pageBreakBefore w:val="0"/>
        <w:jc w:val="both"/>
        <w:rPr/>
      </w:pPr>
      <w:r w:rsidDel="00000000" w:rsidR="00000000" w:rsidRPr="00000000">
        <w:rPr>
          <w:rtl w:val="0"/>
        </w:rPr>
      </w:r>
    </w:p>
    <w:p w:rsidR="00000000" w:rsidDel="00000000" w:rsidP="00000000" w:rsidRDefault="00000000" w:rsidRPr="00000000" w14:paraId="0000016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In other words, the more a country develops, as suggested by calculations on a complexity level, the better economic outcomes it achieves. </w:t>
      </w:r>
    </w:p>
    <w:p w:rsidR="00000000" w:rsidDel="00000000" w:rsidP="00000000" w:rsidRDefault="00000000" w:rsidRPr="00000000" w14:paraId="0000016E">
      <w:pPr>
        <w:pageBreakBefore w:val="0"/>
        <w:jc w:val="left"/>
        <w:rPr/>
      </w:pPr>
      <w:r w:rsidDel="00000000" w:rsidR="00000000" w:rsidRPr="00000000">
        <w:rPr>
          <w:rtl w:val="0"/>
        </w:rPr>
      </w:r>
    </w:p>
    <w:p w:rsidR="00000000" w:rsidDel="00000000" w:rsidP="00000000" w:rsidRDefault="00000000" w:rsidRPr="00000000" w14:paraId="0000016F">
      <w:pPr>
        <w:jc w:val="center"/>
        <w:rPr>
          <w:sz w:val="22"/>
          <w:szCs w:val="22"/>
        </w:rPr>
      </w:pPr>
      <w:r w:rsidDel="00000000" w:rsidR="00000000" w:rsidRPr="00000000">
        <w:rPr>
          <w:sz w:val="22"/>
          <w:szCs w:val="22"/>
        </w:rPr>
        <w:drawing>
          <wp:inline distB="114300" distT="114300" distL="114300" distR="114300">
            <wp:extent cx="5731200" cy="34671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(2019-2023)</w:t>
      </w: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Singapore</w:t>
      </w:r>
      <w:r w:rsidDel="00000000" w:rsidR="00000000" w:rsidRPr="00000000">
        <w:rPr>
          <w:b w:val="1"/>
          <w:bCs w:val="1"/>
          <w:rtl w:val="0"/>
        </w:rPr>
        <w:t xml:space="preserve"> and Its Implications</w:t>
      </w:r>
    </w:p>
    <w:p w:rsidR="00000000" w:rsidDel="00000000" w:rsidP="00000000" w:rsidRDefault="00000000" w:rsidRPr="00000000" w14:paraId="00000173">
      <w:pPr>
        <w:pageBreakBefore w:val="0"/>
        <w:jc w:val="both"/>
        <w:rPr/>
      </w:pPr>
      <w:r w:rsidDel="00000000" w:rsidR="00000000" w:rsidRPr="00000000">
        <w:rPr>
          <w:rtl w:val="0"/>
        </w:rPr>
        <w:t xml:space="preserve">As the regression in Figure 10 suggests (the red curve represents export increase and the blue curve stands for opportunity gain of the corresponding industry), </w:t>
      </w:r>
      <w:r w:rsidDel="00000000" w:rsidR="00000000" w:rsidRPr="00000000">
        <w:rPr>
          <w:rtl w:val="0"/>
        </w:rPr>
        <w:t xml:space="preserve">Singapore</w:t>
      </w:r>
      <w:r w:rsidDel="00000000" w:rsidR="00000000" w:rsidRPr="00000000">
        <w:rPr>
          <w:rtl w:val="0"/>
        </w:rPr>
        <w:t xml:space="preserve"> demonstrates a moderate level of correlation with the suggested developmental path. </w:t>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t xml:space="preserve">Singapore</w:t>
      </w:r>
      <w:r w:rsidDel="00000000" w:rsidR="00000000" w:rsidRPr="00000000">
        <w:rPr>
          <w:rtl w:val="0"/>
        </w:rPr>
        <w:t xml:space="preserve"> ranks in the </w:t>
      </w:r>
      <w:r w:rsidDel="00000000" w:rsidR="00000000" w:rsidRPr="00000000">
        <w:rPr>
          <w:rtl w:val="0"/>
        </w:rPr>
        <w:t xml:space="preserve">third</w:t>
      </w:r>
      <w:r w:rsidDel="00000000" w:rsidR="00000000" w:rsidRPr="00000000">
        <w:rPr>
          <w:rtl w:val="0"/>
        </w:rPr>
        <w:t xml:space="preserve"> quartile among all countries in terms of SOI and has made a fast rate of economic progress among its emerging peers from 2019 to 2023 with a</w:t>
      </w:r>
      <w:r w:rsidDel="00000000" w:rsidR="00000000" w:rsidRPr="00000000">
        <w:rPr>
          <w:rtl w:val="0"/>
        </w:rPr>
        <w:t xml:space="preserve"> 4-year GDP growth rate of</w:t>
      </w:r>
      <w:r w:rsidDel="00000000" w:rsidR="00000000" w:rsidRPr="00000000">
        <w:rPr>
          <w:rtl w:val="0"/>
        </w:rPr>
        <w:t xml:space="preserve"> 6.31%. </w:t>
      </w:r>
    </w:p>
    <w:p w:rsidR="00000000" w:rsidDel="00000000" w:rsidP="00000000" w:rsidRDefault="00000000" w:rsidRPr="00000000" w14:paraId="00000176">
      <w:pPr>
        <w:pageBreakBefore w:val="0"/>
        <w:jc w:val="both"/>
        <w:rPr/>
      </w:pP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t xml:space="preserve">Specifically, </w:t>
      </w:r>
      <w:r w:rsidDel="00000000" w:rsidR="00000000" w:rsidRPr="00000000">
        <w:rPr>
          <w:rtl w:val="0"/>
        </w:rPr>
        <w:t xml:space="preserve">Singapore</w:t>
      </w:r>
      <w:r w:rsidDel="00000000" w:rsidR="00000000" w:rsidRPr="00000000">
        <w:rPr>
          <w:rtl w:val="0"/>
        </w:rPr>
        <w:t xml:space="preserve">'s mixed economic progress from 2019 to 2023 can be at least partially explained by a development strategy that demonstrates a low level of matches with our suggested developmental path. </w:t>
      </w:r>
      <w:r w:rsidDel="00000000" w:rsidR="00000000" w:rsidRPr="00000000">
        <w:rPr>
          <w:rtl w:val="0"/>
        </w:rPr>
        <w:t xml:space="preserve">In specific, </w:t>
      </w:r>
      <w:r w:rsidDel="00000000" w:rsidR="00000000" w:rsidRPr="00000000">
        <w:rPr>
          <w:rtl w:val="0"/>
        </w:rPr>
        <w:t xml:space="preserve">Singapore</w:t>
      </w:r>
      <w:r w:rsidDel="00000000" w:rsidR="00000000" w:rsidRPr="00000000">
        <w:rPr>
          <w:rtl w:val="0"/>
        </w:rPr>
        <w:t xml:space="preserve"> invested heavily in the High-complexity Products, while it should have focused more on industry groups such as Machinery and Construction.</w:t>
      </w:r>
      <w:r w:rsidDel="00000000" w:rsidR="00000000" w:rsidRPr="00000000">
        <w:rPr>
          <w:rtl w:val="0"/>
        </w:rPr>
      </w:r>
    </w:p>
    <w:p w:rsidR="00000000" w:rsidDel="00000000" w:rsidP="00000000" w:rsidRDefault="00000000" w:rsidRPr="00000000" w14:paraId="00000178">
      <w:pPr>
        <w:pageBreakBefore w:val="0"/>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drawing>
          <wp:inline distB="114300" distT="114300" distL="114300" distR="114300">
            <wp:extent cx="5734050" cy="2174486"/>
            <wp:effectExtent b="0" l="0" r="0" t="0"/>
            <wp:docPr id="17" name="image7.png"/>
            <a:graphic>
              <a:graphicData uri="http://schemas.openxmlformats.org/drawingml/2006/picture">
                <pic:pic>
                  <pic:nvPicPr>
                    <pic:cNvPr id="0" name="image7.png"/>
                    <pic:cNvPicPr preferRelativeResize="0"/>
                  </pic:nvPicPr>
                  <pic:blipFill>
                    <a:blip r:embed="rId24"/>
                    <a:srcRect b="0" l="0" r="0" t="5502"/>
                    <a:stretch>
                      <a:fillRect/>
                    </a:stretch>
                  </pic:blipFill>
                  <pic:spPr>
                    <a:xfrm>
                      <a:off x="0" y="0"/>
                      <a:ext cx="5734050" cy="2174486"/>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Singapore</w:t>
      </w:r>
      <w:r w:rsidDel="00000000" w:rsidR="00000000" w:rsidRPr="00000000">
        <w:rPr>
          <w:sz w:val="22"/>
          <w:szCs w:val="22"/>
          <w:rtl w:val="0"/>
        </w:rPr>
        <w:t xml:space="preserve"> (2019-2023)</w:t>
      </w:r>
      <w:r w:rsidDel="00000000" w:rsidR="00000000" w:rsidRPr="00000000">
        <w:rPr>
          <w:rtl w:val="0"/>
        </w:rPr>
      </w:r>
    </w:p>
    <w:p w:rsidR="00000000" w:rsidDel="00000000" w:rsidP="00000000" w:rsidRDefault="00000000" w:rsidRPr="00000000" w14:paraId="0000017B">
      <w:pPr>
        <w:pageBreakBefore w:val="0"/>
        <w:jc w:val="both"/>
        <w:rPr>
          <w:b w:val="1"/>
          <w:bCs w:val="1"/>
        </w:rPr>
      </w:pPr>
      <w:r w:rsidDel="00000000" w:rsidR="00000000" w:rsidRPr="00000000">
        <w:rPr>
          <w:rtl w:val="0"/>
        </w:rPr>
      </w:r>
    </w:p>
    <w:p w:rsidR="00000000" w:rsidDel="00000000" w:rsidP="00000000" w:rsidRDefault="00000000" w:rsidRPr="00000000" w14:paraId="0000017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pageBreakBefore w:val="0"/>
        <w:jc w:val="both"/>
        <w:rPr/>
      </w:pPr>
      <w:r w:rsidDel="00000000" w:rsidR="00000000" w:rsidRPr="00000000">
        <w:rPr>
          <w:rtl w:val="0"/>
        </w:rPr>
        <w:t xml:space="preserve">In conclusion, </w:t>
      </w:r>
      <w:r w:rsidDel="00000000" w:rsidR="00000000" w:rsidRPr="00000000">
        <w:rPr>
          <w:rtl w:val="0"/>
        </w:rPr>
        <w:t xml:space="preserve">Singapore</w:t>
      </w:r>
      <w:r w:rsidDel="00000000" w:rsidR="00000000" w:rsidRPr="00000000">
        <w:rPr>
          <w:rtl w:val="0"/>
        </w:rPr>
        <w:t xml:space="preserve"> has demonstrated a high level of economic growth in terms of annual GDP increase during the period from 2019 to 2023, concurrent with a decrease in economic complexity.</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t xml:space="preserve">We believe that the </w:t>
      </w:r>
      <w:r w:rsidDel="00000000" w:rsidR="00000000" w:rsidRPr="00000000">
        <w:rPr>
          <w:rtl w:val="0"/>
        </w:rPr>
        <w:t xml:space="preserve">mixed</w:t>
      </w:r>
      <w:r w:rsidDel="00000000" w:rsidR="00000000" w:rsidRPr="00000000">
        <w:rPr>
          <w:rtl w:val="0"/>
        </w:rPr>
        <w:t xml:space="preserve"> progress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Based on our analysis of the opportunity gain and sensitivity analysis of major industry groups for 2019-2023, </w:t>
      </w:r>
      <w:r w:rsidDel="00000000" w:rsidR="00000000" w:rsidRPr="00000000">
        <w:rPr>
          <w:rtl w:val="0"/>
        </w:rPr>
        <w:t xml:space="preserve">Singapore</w:t>
      </w:r>
      <w:r w:rsidDel="00000000" w:rsidR="00000000" w:rsidRPr="00000000">
        <w:rPr>
          <w:rtl w:val="0"/>
        </w:rPr>
        <w:t xml:space="preserve"> can further its gains by prioritizing Chemicals and Transportation.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0.025. Since a </w:t>
      </w:r>
      <w:r w:rsidDel="00000000" w:rsidR="00000000" w:rsidRPr="00000000">
        <w:rPr>
          <w:rtl w:val="0"/>
        </w:rPr>
        <w:t xml:space="preserve">positive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8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8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B">
      <w:pPr>
        <w:pageBreakBefore w:val="0"/>
        <w:jc w:val="both"/>
        <w:rPr/>
      </w:pPr>
      <w:r w:rsidDel="00000000" w:rsidR="00000000" w:rsidRPr="00000000">
        <w:rPr>
          <w:rtl w:val="0"/>
        </w:rPr>
      </w:r>
    </w:p>
    <w:sectPr>
      <w:headerReference r:id="rId25" w:type="default"/>
      <w:footerReference r:id="rId26" w:type="default"/>
      <w:footerReference r:id="rId27" w:type="first"/>
      <w:footerReference r:id="rId2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