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Portugal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Portugal</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Portugal</w:t>
      </w:r>
      <w:r w:rsidDel="00000000" w:rsidR="00000000" w:rsidRPr="00000000">
        <w:rPr>
          <w:rtl w:val="0"/>
        </w:rPr>
        <w:t xml:space="preserve"> went through during the period from 2019 to 2023. Specifically, we dive into the topic through a macroeconomic overview of </w:t>
      </w:r>
      <w:r w:rsidDel="00000000" w:rsidR="00000000" w:rsidRPr="00000000">
        <w:rPr>
          <w:rtl w:val="0"/>
        </w:rPr>
        <w:t xml:space="preserve">Portugal</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Portugal</w:t>
      </w:r>
      <w:r w:rsidDel="00000000" w:rsidR="00000000" w:rsidRPr="00000000">
        <w:rPr>
          <w:rtl w:val="0"/>
        </w:rPr>
        <w:t xml:space="preserve"> demonstrated a </w:t>
      </w:r>
      <w:r w:rsidDel="00000000" w:rsidR="00000000" w:rsidRPr="00000000">
        <w:rPr>
          <w:rtl w:val="0"/>
        </w:rPr>
        <w:t xml:space="preserve">high</w:t>
      </w:r>
      <w:r w:rsidDel="00000000" w:rsidR="00000000" w:rsidRPr="00000000">
        <w:rPr>
          <w:rtl w:val="0"/>
        </w:rPr>
        <w:t xml:space="preserve"> level of economic growth with an average annual GDP growth rate of 6.2% between 2019 and 2023, with a </w:t>
      </w:r>
      <w:r w:rsidDel="00000000" w:rsidR="00000000" w:rsidRPr="00000000">
        <w:rPr>
          <w:rtl w:val="0"/>
        </w:rPr>
        <w:t xml:space="preserve">similar</w:t>
      </w:r>
      <w:r w:rsidDel="00000000" w:rsidR="00000000" w:rsidRPr="00000000">
        <w:rPr>
          <w:rtl w:val="0"/>
        </w:rPr>
        <w:t xml:space="preserve">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mixed</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Portugal</w:t>
      </w:r>
      <w:r w:rsidDel="00000000" w:rsidR="00000000" w:rsidRPr="00000000">
        <w:rPr>
          <w:rtl w:val="0"/>
        </w:rPr>
        <w:t xml:space="preserve"> on the industry group level, as well as the </w:t>
      </w:r>
      <w:r w:rsidDel="00000000" w:rsidR="00000000" w:rsidRPr="00000000">
        <w:rPr>
          <w:rtl w:val="0"/>
        </w:rPr>
        <w:t xml:space="preserve">stagnant</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Portugal</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most of its industries during the period while its </w:t>
      </w:r>
      <w:r w:rsidDel="00000000" w:rsidR="00000000" w:rsidRPr="00000000">
        <w:rPr>
          <w:rtl w:val="0"/>
        </w:rPr>
        <w:t xml:space="preserve">developed</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Portugal</w:t>
      </w:r>
      <w:r w:rsidDel="00000000" w:rsidR="00000000" w:rsidRPr="00000000">
        <w:rPr>
          <w:rtl w:val="0"/>
        </w:rPr>
        <w:t xml:space="preserve"> could further its gains by prioritizing Precious Stones, Weapons, and Energy, Drilling and Mining products in 2023. We further note that </w:t>
      </w:r>
      <w:r w:rsidDel="00000000" w:rsidR="00000000" w:rsidRPr="00000000">
        <w:rPr>
          <w:rtl w:val="0"/>
        </w:rPr>
        <w:t xml:space="preserve">Portugal</w:t>
      </w:r>
      <w:r w:rsidDel="00000000" w:rsidR="00000000" w:rsidRPr="00000000">
        <w:rPr>
          <w:rtl w:val="0"/>
        </w:rPr>
        <w:t xml:space="preserve"> has a </w:t>
      </w:r>
      <w:r w:rsidDel="00000000" w:rsidR="00000000" w:rsidRPr="00000000">
        <w:rPr>
          <w:rtl w:val="0"/>
        </w:rPr>
        <w:t xml:space="preserve">slightly</w:t>
      </w:r>
      <w:r w:rsidDel="00000000" w:rsidR="00000000" w:rsidRPr="00000000">
        <w:rPr>
          <w:rtl w:val="0"/>
        </w:rPr>
        <w:t xml:space="preserve"> mismatched development strategy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of around</w:t>
      </w:r>
      <w:r w:rsidDel="00000000" w:rsidR="00000000" w:rsidRPr="00000000">
        <w:rPr>
          <w:rtl w:val="0"/>
        </w:rPr>
        <w:t xml:space="preserve"> </w:t>
      </w:r>
      <w:r w:rsidDel="00000000" w:rsidR="00000000" w:rsidRPr="00000000">
        <w:rPr>
          <w:rtl w:val="0"/>
        </w:rPr>
        <w:t xml:space="preserve">82.9%</w:t>
      </w:r>
      <w:r w:rsidDel="00000000" w:rsidR="00000000" w:rsidRPr="00000000">
        <w:rPr>
          <w:rtl w:val="0"/>
        </w:rPr>
        <w:t xml:space="preserve"> </w:t>
      </w:r>
      <w:r w:rsidDel="00000000" w:rsidR="00000000" w:rsidRPr="00000000">
        <w:rPr>
          <w:rtl w:val="0"/>
        </w:rPr>
        <w:t xml:space="preserve">in 2023.</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Portugal</w:t>
      </w:r>
      <w:r w:rsidDel="00000000" w:rsidR="00000000" w:rsidRPr="00000000">
        <w:rPr>
          <w:rtl w:val="0"/>
        </w:rPr>
        <w:t xml:space="preserve"> indeed has an </w:t>
      </w:r>
      <w:r w:rsidDel="00000000" w:rsidR="00000000" w:rsidRPr="00000000">
        <w:rPr>
          <w:rtl w:val="0"/>
        </w:rPr>
        <w:t xml:space="preserve">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five years between 2019 and 2023 showed a significant improvement in </w:t>
      </w:r>
      <w:r w:rsidDel="00000000" w:rsidR="00000000" w:rsidRPr="00000000">
        <w:rPr>
          <w:rtl w:val="0"/>
        </w:rPr>
        <w:t xml:space="preserve">Portugal</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Portugal</w:t>
      </w:r>
      <w:r w:rsidDel="00000000" w:rsidR="00000000" w:rsidRPr="00000000">
        <w:rPr>
          <w:rtl w:val="0"/>
        </w:rPr>
        <w:t xml:space="preserve"> went through during the period from 2019 to 2023. Specifically, we dive into the topic through a macroeconomic overview of </w:t>
      </w:r>
      <w:r w:rsidDel="00000000" w:rsidR="00000000" w:rsidRPr="00000000">
        <w:rPr>
          <w:rtl w:val="0"/>
        </w:rPr>
        <w:t xml:space="preserve">Portugal</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Portugal</w:t>
      </w:r>
      <w:r w:rsidDel="00000000" w:rsidR="00000000" w:rsidRPr="00000000">
        <w:rPr>
          <w:rtl w:val="0"/>
        </w:rPr>
        <w:t xml:space="preserve"> during the period based on quantitative measures such as the Product Complexity Index (PCI) and Product Family Complexity Index (PCI),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Portugal</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b w:val="1"/>
          <w:bCs w:val="1"/>
          <w:rtl w:val="0"/>
        </w:rPr>
        <w:t xml:space="preserve">2.1 GDP Ranking and Changes</w:t>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t xml:space="preserve">Figure 1 shows the GDP levels for </w:t>
      </w:r>
      <w:r w:rsidDel="00000000" w:rsidR="00000000" w:rsidRPr="00000000">
        <w:rPr>
          <w:rtl w:val="0"/>
        </w:rPr>
        <w:t xml:space="preserve">Portugal</w:t>
      </w:r>
      <w:r w:rsidDel="00000000" w:rsidR="00000000" w:rsidRPr="00000000">
        <w:rPr>
          <w:rtl w:val="0"/>
        </w:rPr>
        <w:t xml:space="preserve"> and its peer countries (</w:t>
      </w:r>
      <w:r w:rsidDel="00000000" w:rsidR="00000000" w:rsidRPr="00000000">
        <w:rPr>
          <w:rtl w:val="0"/>
        </w:rPr>
        <w:t xml:space="preserve">Italy</w:t>
      </w:r>
      <w:r w:rsidDel="00000000" w:rsidR="00000000" w:rsidRPr="00000000">
        <w:rPr>
          <w:rtl w:val="0"/>
        </w:rPr>
        <w:t xml:space="preserve">, </w:t>
      </w:r>
      <w:r w:rsidDel="00000000" w:rsidR="00000000" w:rsidRPr="00000000">
        <w:rPr>
          <w:rtl w:val="0"/>
        </w:rPr>
        <w:t xml:space="preserve">Spain</w:t>
      </w:r>
      <w:r w:rsidDel="00000000" w:rsidR="00000000" w:rsidRPr="00000000">
        <w:rPr>
          <w:rtl w:val="0"/>
        </w:rPr>
        <w:t xml:space="preserve">, and </w:t>
      </w:r>
      <w:r w:rsidDel="00000000" w:rsidR="00000000" w:rsidRPr="00000000">
        <w:rPr>
          <w:rtl w:val="0"/>
        </w:rPr>
        <w:t xml:space="preserve">Greece</w:t>
      </w:r>
      <w:r w:rsidDel="00000000" w:rsidR="00000000" w:rsidRPr="00000000">
        <w:rPr>
          <w:rtl w:val="0"/>
        </w:rPr>
        <w:t xml:space="preserve">) from 2019 to 2022. Similar to the other countries, </w:t>
      </w:r>
      <w:r w:rsidDel="00000000" w:rsidR="00000000" w:rsidRPr="00000000">
        <w:rPr>
          <w:rtl w:val="0"/>
        </w:rPr>
        <w:t xml:space="preserve">Portugal</w:t>
      </w:r>
      <w:r w:rsidDel="00000000" w:rsidR="00000000" w:rsidRPr="00000000">
        <w:rPr>
          <w:rtl w:val="0"/>
        </w:rPr>
        <w:t xml:space="preserve"> displayed a drop in GDP from 2019 to 2020 because of the pandemic, with all GDPs rebounding in 2021. Over these four years, </w:t>
      </w:r>
      <w:r w:rsidDel="00000000" w:rsidR="00000000" w:rsidRPr="00000000">
        <w:rPr>
          <w:rtl w:val="0"/>
        </w:rPr>
        <w:t xml:space="preserve">Portugal</w:t>
      </w:r>
      <w:r w:rsidDel="00000000" w:rsidR="00000000" w:rsidRPr="00000000">
        <w:rPr>
          <w:rtl w:val="0"/>
        </w:rPr>
        <w:t xml:space="preserve">’s average annual GDP growth rate (6.2%) is mediocre</w:t>
      </w:r>
      <w:r w:rsidDel="00000000" w:rsidR="00000000" w:rsidRPr="00000000">
        <w:rPr>
          <w:rtl w:val="0"/>
        </w:rPr>
        <w:t xml:space="preserve">,</w:t>
      </w:r>
      <w:r w:rsidDel="00000000" w:rsidR="00000000" w:rsidRPr="00000000">
        <w:rPr>
          <w:rtl w:val="0"/>
        </w:rPr>
        <w:t xml:space="preserve"> as </w:t>
      </w:r>
      <w:r w:rsidDel="00000000" w:rsidR="00000000" w:rsidRPr="00000000">
        <w:rPr>
          <w:rtl w:val="0"/>
        </w:rPr>
        <w:t xml:space="preserve">Italy</w:t>
      </w:r>
      <w:r w:rsidDel="00000000" w:rsidR="00000000" w:rsidRPr="00000000">
        <w:rPr>
          <w:rtl w:val="0"/>
        </w:rPr>
        <w:t xml:space="preserve">’s rate (5.19%), </w:t>
      </w:r>
      <w:r w:rsidDel="00000000" w:rsidR="00000000" w:rsidRPr="00000000">
        <w:rPr>
          <w:rtl w:val="0"/>
        </w:rPr>
        <w:t xml:space="preserve">Spain</w:t>
      </w:r>
      <w:r w:rsidDel="00000000" w:rsidR="00000000" w:rsidRPr="00000000">
        <w:rPr>
          <w:rtl w:val="0"/>
        </w:rPr>
        <w:t xml:space="preserve">’s (6.33%), and </w:t>
      </w:r>
      <w:r w:rsidDel="00000000" w:rsidR="00000000" w:rsidRPr="00000000">
        <w:rPr>
          <w:rtl w:val="0"/>
        </w:rPr>
        <w:t xml:space="preserve">Greece</w:t>
      </w:r>
      <w:r w:rsidDel="00000000" w:rsidR="00000000" w:rsidRPr="00000000">
        <w:rPr>
          <w:rtl w:val="0"/>
        </w:rPr>
        <w:t xml:space="preserve">’s rates (6.76%) are variable around Portugal’s level. It is notable that the GDP levels in </w:t>
      </w:r>
      <w:r w:rsidDel="00000000" w:rsidR="00000000" w:rsidRPr="00000000">
        <w:rPr>
          <w:rtl w:val="0"/>
        </w:rPr>
        <w:t xml:space="preserve">Portugal</w:t>
      </w:r>
      <w:r w:rsidDel="00000000" w:rsidR="00000000" w:rsidRPr="00000000">
        <w:rPr>
          <w:rtl w:val="0"/>
        </w:rPr>
        <w:t xml:space="preserve"> and Greece almost evened out beginning 2020.</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jc w:val="center"/>
        <w:rPr>
          <w:i w:val="1"/>
          <w:iCs w:val="1"/>
          <w:color w:val="444499"/>
          <w:sz w:val="20"/>
          <w:szCs w:val="20"/>
        </w:rPr>
      </w:pPr>
      <w:r w:rsidDel="00000000" w:rsidR="00000000" w:rsidRPr="00000000">
        <w:rPr/>
        <w:drawing>
          <wp:inline distB="114300" distT="114300" distL="114300" distR="114300">
            <wp:extent cx="3927638" cy="3087936"/>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927638" cy="308793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t xml:space="preserve">The comparable countries saw a large</w:t>
      </w:r>
      <w:r w:rsidDel="00000000" w:rsidR="00000000" w:rsidRPr="00000000">
        <w:rPr>
          <w:rtl w:val="0"/>
        </w:rPr>
        <w:t xml:space="preserve"> change in ECI level between 2019 and 2020, with a slight decrease between 2020 and 2021</w:t>
      </w:r>
      <w:r w:rsidDel="00000000" w:rsidR="00000000" w:rsidRPr="00000000">
        <w:rPr>
          <w:rtl w:val="0"/>
        </w:rPr>
        <w:t xml:space="preserve">. </w:t>
      </w:r>
      <w:r w:rsidDel="00000000" w:rsidR="00000000" w:rsidRPr="00000000">
        <w:rPr>
          <w:rtl w:val="0"/>
        </w:rPr>
        <w:t xml:space="preserve">Portugal</w:t>
      </w:r>
      <w:r w:rsidDel="00000000" w:rsidR="00000000" w:rsidRPr="00000000">
        <w:rPr>
          <w:rtl w:val="0"/>
        </w:rPr>
        <w:t xml:space="preserve"> has seen a 129.53% decrease in its ECI, which is greater than Italy's (181.74% decrease) but less than Spain's (100.83% decrease), and Greece's (111.75% increase).</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507310" cy="2767013"/>
            <wp:effectExtent b="0" l="0" r="0" t="0"/>
            <wp:docPr id="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507310"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2019 to 2022 for </w:t>
      </w:r>
      <w:r w:rsidDel="00000000" w:rsidR="00000000" w:rsidRPr="00000000">
        <w:rPr>
          <w:rtl w:val="0"/>
        </w:rPr>
        <w:t xml:space="preserve">Portugal</w:t>
      </w:r>
      <w:r w:rsidDel="00000000" w:rsidR="00000000" w:rsidRPr="00000000">
        <w:rPr>
          <w:rtl w:val="0"/>
        </w:rPr>
        <w:t xml:space="preserve">. T</w:t>
      </w:r>
      <w:r w:rsidDel="00000000" w:rsidR="00000000" w:rsidRPr="00000000">
        <w:rPr>
          <w:rtl w:val="0"/>
        </w:rPr>
        <w:t xml:space="preserve">he GDP growth during the period from 2019 to 2022 is accompanied by a similarly volatile increase in ECI.</w:t>
      </w:r>
      <w:r w:rsidDel="00000000" w:rsidR="00000000" w:rsidRPr="00000000">
        <w:rPr>
          <w:rtl w:val="0"/>
        </w:rPr>
        <w:t xml:space="preserve"> T</w:t>
      </w:r>
      <w:r w:rsidDel="00000000" w:rsidR="00000000" w:rsidRPr="00000000">
        <w:rPr>
          <w:rtl w:val="0"/>
        </w:rPr>
        <w:t xml:space="preserve">he GDP followed ECI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Portugal</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700913" cy="2662238"/>
            <wp:effectExtent b="0" l="0" r="0" t="0"/>
            <wp:docPr id="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700913"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Portugal</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4">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7">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9">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8">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4">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E">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8">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9">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D">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1">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2">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B">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F">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6">
      <w:pPr>
        <w:pageBreakBefore w:val="0"/>
        <w:jc w:val="center"/>
        <w:rPr>
          <w:sz w:val="22"/>
          <w:szCs w:val="22"/>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Portugal'</w:t>
      </w:r>
      <w:r w:rsidDel="00000000" w:rsidR="00000000" w:rsidRPr="00000000">
        <w:rPr>
          <w:rtl w:val="0"/>
        </w:rPr>
        <w:t xml:space="preserve">s realized industry production strategy between 2019 and 2023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the RID of </w:t>
      </w:r>
      <w:r w:rsidDel="00000000" w:rsidR="00000000" w:rsidRPr="00000000">
        <w:rPr>
          <w:rtl w:val="0"/>
        </w:rPr>
        <w:t xml:space="preserve">Portugal</w:t>
      </w:r>
      <w:r w:rsidDel="00000000" w:rsidR="00000000" w:rsidRPr="00000000">
        <w:rPr>
          <w:rtl w:val="0"/>
        </w:rPr>
        <w:t xml:space="preserve"> and the 18 product groups in 2023 through the difference, where a positive RID indicates a shortening of the distance (i.e., advancement of the industry), and a negative RID indicates the reverse. It is notable that all industries had positive RID in 2023.</w:t>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ageBreakBefore w:val="0"/>
        <w:jc w:val="center"/>
        <w:rPr>
          <w:sz w:val="22"/>
          <w:szCs w:val="22"/>
        </w:rPr>
      </w:pPr>
      <w:r w:rsidDel="00000000" w:rsidR="00000000" w:rsidRPr="00000000">
        <w:rPr>
          <w:sz w:val="22"/>
          <w:szCs w:val="22"/>
        </w:rPr>
        <w:drawing>
          <wp:inline distB="114300" distT="114300" distL="114300" distR="114300">
            <wp:extent cx="2277728" cy="3328988"/>
            <wp:effectExtent b="0" l="0" r="0" t="0"/>
            <wp:docPr id="1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277728"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Portugal</w:t>
      </w:r>
      <w:r w:rsidDel="00000000" w:rsidR="00000000" w:rsidRPr="00000000">
        <w:rPr>
          <w:rtl w:val="0"/>
        </w:rPr>
      </w:r>
    </w:p>
    <w:p w:rsidR="00000000" w:rsidDel="00000000" w:rsidP="00000000" w:rsidRDefault="00000000" w:rsidRPr="00000000" w14:paraId="0000008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E">
      <w:pPr>
        <w:pageBreakBefore w:val="0"/>
        <w:jc w:val="both"/>
        <w:rPr/>
      </w:pPr>
      <w:r w:rsidDel="00000000" w:rsidR="00000000" w:rsidRPr="00000000">
        <w:rPr>
          <w:rtl w:val="0"/>
        </w:rPr>
        <w:t xml:space="preserve">Table 4a below summarizes how the production strategy adopted by </w:t>
      </w:r>
      <w:r w:rsidDel="00000000" w:rsidR="00000000" w:rsidRPr="00000000">
        <w:rPr>
          <w:rtl w:val="0"/>
        </w:rPr>
        <w:t xml:space="preserve">Portugal</w:t>
      </w:r>
      <w:r w:rsidDel="00000000" w:rsidR="00000000" w:rsidRPr="00000000">
        <w:rPr>
          <w:rtl w:val="0"/>
        </w:rPr>
        <w:t xml:space="preserve"> compares with selected leading economies in the world across different years, as measured in RID. Leading economies such as France, Greece, and Portugal gave a considerable level of attention to more advanced product groups such as Chemicals and Transportation in 2023.</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drawing>
          <wp:inline distB="114300" distT="114300" distL="114300" distR="114300">
            <wp:extent cx="5731200" cy="1244600"/>
            <wp:effectExtent b="0" l="0" r="0" t="0"/>
            <wp:docPr id="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22"/>
          <w:szCs w:val="22"/>
        </w:rPr>
      </w:pPr>
      <w:r w:rsidDel="00000000" w:rsidR="00000000" w:rsidRPr="00000000">
        <w:rPr>
          <w:sz w:val="22"/>
          <w:szCs w:val="22"/>
          <w:rtl w:val="0"/>
        </w:rPr>
        <w:t xml:space="preserve">Table 4a. RID Comparison across Leading Economies (2023)</w:t>
      </w:r>
    </w:p>
    <w:p w:rsidR="00000000" w:rsidDel="00000000" w:rsidP="00000000" w:rsidRDefault="00000000" w:rsidRPr="00000000" w14:paraId="00000092">
      <w:pPr>
        <w:jc w:val="center"/>
        <w:rPr>
          <w:sz w:val="22"/>
          <w:szCs w:val="22"/>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Table 4b further examines </w:t>
      </w:r>
      <w:r w:rsidDel="00000000" w:rsidR="00000000" w:rsidRPr="00000000">
        <w:rPr>
          <w:rtl w:val="0"/>
        </w:rPr>
        <w:t xml:space="preserve">Portugal</w:t>
      </w:r>
      <w:r w:rsidDel="00000000" w:rsidR="00000000" w:rsidRPr="00000000">
        <w:rPr>
          <w:rtl w:val="0"/>
        </w:rPr>
        <w:t xml:space="preserve">'s development strategy against those of emerging economies on a global scale. Reasonably, emerging economies such as China and Singapore have devoted the majority of their efforts to intermediate industry groups.</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4116225" cy="1297016"/>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16225" cy="129701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96">
      <w:pPr>
        <w:pageBreakBefore w:val="0"/>
        <w:jc w:val="center"/>
        <w:rPr>
          <w:sz w:val="22"/>
          <w:szCs w:val="22"/>
        </w:rPr>
      </w:pPr>
      <w:r w:rsidDel="00000000" w:rsidR="00000000" w:rsidRPr="00000000">
        <w:rPr>
          <w:rtl w:val="0"/>
        </w:rPr>
      </w:r>
    </w:p>
    <w:p w:rsidR="00000000" w:rsidDel="00000000" w:rsidP="00000000" w:rsidRDefault="00000000" w:rsidRPr="00000000" w14:paraId="00000097">
      <w:pPr>
        <w:pageBreakBefore w:val="0"/>
        <w:jc w:val="both"/>
        <w:rPr/>
      </w:pPr>
      <w:r w:rsidDel="00000000" w:rsidR="00000000" w:rsidRPr="00000000">
        <w:rPr>
          <w:rtl w:val="0"/>
        </w:rPr>
      </w:r>
    </w:p>
    <w:p w:rsidR="00000000" w:rsidDel="00000000" w:rsidP="00000000" w:rsidRDefault="00000000" w:rsidRPr="00000000" w14:paraId="0000009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9">
      <w:pPr>
        <w:pageBreakBefore w:val="0"/>
        <w:jc w:val="both"/>
        <w:rPr>
          <w:b w:val="1"/>
          <w:bCs w:val="1"/>
        </w:rPr>
      </w:pPr>
      <w:r w:rsidDel="00000000" w:rsidR="00000000" w:rsidRPr="00000000">
        <w:rPr>
          <w:rtl w:val="0"/>
        </w:rPr>
      </w:r>
    </w:p>
    <w:p w:rsidR="00000000" w:rsidDel="00000000" w:rsidP="00000000" w:rsidRDefault="00000000" w:rsidRPr="00000000" w14:paraId="0000009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E">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9F">
      <w:pPr>
        <w:pageBreakBefore w:val="0"/>
        <w:jc w:val="both"/>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114300" distT="114300" distL="114300" distR="114300">
            <wp:extent cx="5731200" cy="2095500"/>
            <wp:effectExtent b="0" l="0" r="0" t="0"/>
            <wp:docPr id="7"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A2">
      <w:pPr>
        <w:pageBreakBefore w:val="0"/>
        <w:jc w:val="center"/>
        <w:rPr/>
      </w:pPr>
      <w:r w:rsidDel="00000000" w:rsidR="00000000" w:rsidRPr="00000000">
        <w:rPr>
          <w:rtl w:val="0"/>
        </w:rPr>
      </w:r>
    </w:p>
    <w:p w:rsidR="00000000" w:rsidDel="00000000" w:rsidP="00000000" w:rsidRDefault="00000000" w:rsidRPr="00000000" w14:paraId="000000A3">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the USA compares with a selected group of</w:t>
      </w:r>
      <w:r w:rsidDel="00000000" w:rsidR="00000000" w:rsidRPr="00000000">
        <w:rPr>
          <w:rtl w:val="0"/>
        </w:rPr>
        <w:t xml:space="preserve"> comparable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4">
      <w:pPr>
        <w:pageBreakBefore w:val="0"/>
        <w:jc w:val="both"/>
        <w:rPr/>
      </w:pPr>
      <w:r w:rsidDel="00000000" w:rsidR="00000000" w:rsidRPr="00000000">
        <w:rPr>
          <w:rtl w:val="0"/>
        </w:rPr>
      </w:r>
    </w:p>
    <w:p w:rsidR="00000000" w:rsidDel="00000000" w:rsidP="00000000" w:rsidRDefault="00000000" w:rsidRPr="00000000" w14:paraId="000000A5">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L</w:t>
      </w:r>
      <w:r w:rsidDel="00000000" w:rsidR="00000000" w:rsidRPr="00000000">
        <w:rPr>
          <w:rtl w:val="0"/>
        </w:rPr>
        <w:t xml:space="preserve">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The comparable countries share common interests in Energy Drilling and Mining and Animals and By-products industries. It can be concluded that </w:t>
      </w:r>
      <w:r w:rsidDel="00000000" w:rsidR="00000000" w:rsidRPr="00000000">
        <w:rPr>
          <w:rtl w:val="0"/>
        </w:rPr>
        <w:t xml:space="preserve">Portugal</w:t>
      </w:r>
      <w:r w:rsidDel="00000000" w:rsidR="00000000" w:rsidRPr="00000000">
        <w:rPr>
          <w:rtl w:val="0"/>
        </w:rPr>
        <w:t xml:space="preserve"> shares some characteristics of developing countries, with a balanced economic structure that leans towards primary-level industries.</w:t>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jc w:val="both"/>
        <w:rPr>
          <w:sz w:val="22"/>
          <w:szCs w:val="22"/>
        </w:rPr>
      </w:pPr>
      <w:r w:rsidDel="00000000" w:rsidR="00000000" w:rsidRPr="00000000">
        <w:rPr/>
        <w:drawing>
          <wp:inline distB="114300" distT="114300" distL="114300" distR="114300">
            <wp:extent cx="5731200" cy="2273300"/>
            <wp:effectExtent b="0" l="0" r="0" t="0"/>
            <wp:docPr id="17"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9">
      <w:pPr>
        <w:pageBreakBefore w:val="0"/>
        <w:jc w:val="center"/>
        <w:rPr>
          <w:sz w:val="22"/>
          <w:szCs w:val="22"/>
        </w:rPr>
      </w:pPr>
      <w:r w:rsidDel="00000000" w:rsidR="00000000" w:rsidRPr="00000000">
        <w:rPr>
          <w:rtl w:val="0"/>
        </w:rPr>
      </w:r>
    </w:p>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AD">
      <w:pPr>
        <w:pageBreakBefore w:val="0"/>
        <w:jc w:val="both"/>
        <w:rPr/>
      </w:pPr>
      <w:r w:rsidDel="00000000" w:rsidR="00000000" w:rsidRPr="00000000">
        <w:rPr>
          <w:rtl w:val="0"/>
        </w:rPr>
      </w:r>
    </w:p>
    <w:p w:rsidR="00000000" w:rsidDel="00000000" w:rsidP="00000000" w:rsidRDefault="00000000" w:rsidRPr="00000000" w14:paraId="000000AE">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jc w:val="center"/>
        <w:rPr/>
      </w:pPr>
      <w:r w:rsidDel="00000000" w:rsidR="00000000" w:rsidRPr="00000000">
        <w:rPr>
          <w:rtl w:val="0"/>
        </w:rPr>
      </w:r>
    </w:p>
    <w:p w:rsidR="00000000" w:rsidDel="00000000" w:rsidP="00000000" w:rsidRDefault="00000000" w:rsidRPr="00000000" w14:paraId="000000B0">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1">
      <w:pPr>
        <w:pageBreakBefore w:val="0"/>
        <w:jc w:val="both"/>
        <w:rPr/>
      </w:pPr>
      <w:r w:rsidDel="00000000" w:rsidR="00000000" w:rsidRPr="00000000">
        <w:rPr>
          <w:rtl w:val="0"/>
        </w:rPr>
        <w:t xml:space="preserve"> </w:t>
      </w:r>
    </w:p>
    <w:p w:rsidR="00000000" w:rsidDel="00000000" w:rsidP="00000000" w:rsidRDefault="00000000" w:rsidRPr="00000000" w14:paraId="000000B2">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3">
      <w:pPr>
        <w:pageBreakBefore w:val="0"/>
        <w:jc w:val="both"/>
        <w:rPr/>
      </w:pPr>
      <w:r w:rsidDel="00000000" w:rsidR="00000000" w:rsidRPr="00000000">
        <w:rPr>
          <w:rtl w:val="0"/>
        </w:rPr>
        <w:t xml:space="preserve"> </w:t>
      </w:r>
    </w:p>
    <w:p w:rsidR="00000000" w:rsidDel="00000000" w:rsidP="00000000" w:rsidRDefault="00000000" w:rsidRPr="00000000" w14:paraId="000000B4">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5">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9">
      <w:pPr>
        <w:pageBreakBefore w:val="0"/>
        <w:rPr/>
      </w:pPr>
      <w:r w:rsidDel="00000000" w:rsidR="00000000" w:rsidRPr="00000000">
        <w:rPr>
          <w:rtl w:val="0"/>
        </w:rPr>
        <w:t xml:space="preserve"> </w:t>
      </w:r>
    </w:p>
    <w:p w:rsidR="00000000" w:rsidDel="00000000" w:rsidP="00000000" w:rsidRDefault="00000000" w:rsidRPr="00000000" w14:paraId="000000BA">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BD">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ageBreakBefore w:val="0"/>
        <w:jc w:val="both"/>
        <w:rPr>
          <w:b w:val="1"/>
          <w:bCs w:val="1"/>
        </w:rPr>
      </w:pPr>
      <w:r w:rsidDel="00000000" w:rsidR="00000000" w:rsidRPr="00000000">
        <w:rPr>
          <w:rtl w:val="0"/>
        </w:rPr>
      </w:r>
    </w:p>
    <w:p w:rsidR="00000000" w:rsidDel="00000000" w:rsidP="00000000" w:rsidRDefault="00000000" w:rsidRPr="00000000" w14:paraId="000000C0">
      <w:pPr>
        <w:pageBreakBefore w:val="0"/>
        <w:jc w:val="both"/>
        <w:rPr>
          <w:b w:val="1"/>
          <w:bCs w:val="1"/>
        </w:rPr>
      </w:pPr>
      <w:r w:rsidDel="00000000" w:rsidR="00000000" w:rsidRPr="00000000">
        <w:rPr>
          <w:rtl w:val="0"/>
        </w:rPr>
      </w:r>
    </w:p>
    <w:p w:rsidR="00000000" w:rsidDel="00000000" w:rsidP="00000000" w:rsidRDefault="00000000" w:rsidRPr="00000000" w14:paraId="000000C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3">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4">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B">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C">
      <w:pPr>
        <w:pageBreakBefore w:val="0"/>
        <w:jc w:val="center"/>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Portugal</w:t>
      </w:r>
      <w:r w:rsidDel="00000000" w:rsidR="00000000" w:rsidRPr="00000000">
        <w:rPr>
          <w:rtl w:val="0"/>
        </w:rPr>
        <w:t xml:space="preserve"> in 2023. We can see that for different percentages of heuristic total export growth, the ECIs of </w:t>
      </w:r>
      <w:r w:rsidDel="00000000" w:rsidR="00000000" w:rsidRPr="00000000">
        <w:rPr>
          <w:rtl w:val="0"/>
        </w:rPr>
        <w:t xml:space="preserve">Portugal</w:t>
      </w:r>
      <w:r w:rsidDel="00000000" w:rsidR="00000000" w:rsidRPr="00000000">
        <w:rPr>
          <w:rtl w:val="0"/>
        </w:rPr>
        <w:t xml:space="preserve"> actually have different increments. </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For 2023, </w:t>
      </w:r>
      <w:r w:rsidDel="00000000" w:rsidR="00000000" w:rsidRPr="00000000">
        <w:rPr>
          <w:rtl w:val="0"/>
        </w:rPr>
        <w:t xml:space="preserve">a 5 percent increase in export would emphasize High Complexity Products, followed by Precious Stones, then Machinery and Construction. For a 10 percent increase, Energy Drilling and Mining products are</w:t>
      </w:r>
      <w:r w:rsidDel="00000000" w:rsidR="00000000" w:rsidRPr="00000000">
        <w:rPr>
          <w:rtl w:val="0"/>
        </w:rPr>
        <w:t xml:space="preserve"> emphasized</w:t>
      </w:r>
      <w:r w:rsidDel="00000000" w:rsidR="00000000" w:rsidRPr="00000000">
        <w:rPr>
          <w:rtl w:val="0"/>
        </w:rPr>
        <w:t xml:space="preserve">.  For 15 and 20 percent export growth, the Weapons industry becomes more important although the diversity of product importance also increases. These strategies go in line with the suggested trajectories based on ECI. A more detailed numerical representation of the portfolio for </w:t>
      </w:r>
      <w:r w:rsidDel="00000000" w:rsidR="00000000" w:rsidRPr="00000000">
        <w:rPr>
          <w:rtl w:val="0"/>
        </w:rPr>
        <w:t xml:space="preserve">Portugal</w:t>
      </w:r>
      <w:r w:rsidDel="00000000" w:rsidR="00000000" w:rsidRPr="00000000">
        <w:rPr>
          <w:rtl w:val="0"/>
        </w:rPr>
        <w:t xml:space="preserve"> is shown in Table 8.</w:t>
      </w:r>
    </w:p>
    <w:p w:rsidR="00000000" w:rsidDel="00000000" w:rsidP="00000000" w:rsidRDefault="00000000" w:rsidRPr="00000000" w14:paraId="000000F0">
      <w:pPr>
        <w:pageBreakBefore w:val="0"/>
        <w:rPr>
          <w:sz w:val="22"/>
          <w:szCs w:val="22"/>
        </w:rPr>
      </w:pPr>
      <w:r w:rsidDel="00000000" w:rsidR="00000000" w:rsidRPr="00000000">
        <w:rPr/>
        <w:drawing>
          <wp:inline distB="114300" distT="114300" distL="114300" distR="114300">
            <wp:extent cx="5734050" cy="2047875"/>
            <wp:effectExtent b="0" l="0" r="0" t="0"/>
            <wp:docPr id="15" name="image15.png"/>
            <a:graphic>
              <a:graphicData uri="http://schemas.openxmlformats.org/drawingml/2006/picture">
                <pic:pic>
                  <pic:nvPicPr>
                    <pic:cNvPr id="0" name="image15.png"/>
                    <pic:cNvPicPr preferRelativeResize="0"/>
                  </pic:nvPicPr>
                  <pic:blipFill>
                    <a:blip r:embed="rId18"/>
                    <a:srcRect b="28571" l="0" r="0" t="0"/>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sz w:val="22"/>
          <w:szCs w:val="22"/>
        </w:rPr>
      </w:pPr>
      <w:r w:rsidDel="00000000" w:rsidR="00000000" w:rsidRPr="00000000">
        <w:rPr>
          <w:rtl w:val="0"/>
        </w:rPr>
      </w:r>
    </w:p>
    <w:p w:rsidR="00000000" w:rsidDel="00000000" w:rsidP="00000000" w:rsidRDefault="00000000" w:rsidRPr="00000000" w14:paraId="000000F2">
      <w:pPr>
        <w:jc w:val="center"/>
        <w:rPr>
          <w:sz w:val="22"/>
          <w:szCs w:val="22"/>
        </w:rPr>
      </w:pPr>
      <w:r w:rsidDel="00000000" w:rsidR="00000000" w:rsidRPr="00000000">
        <w:rPr>
          <w:sz w:val="22"/>
          <w:szCs w:val="22"/>
        </w:rPr>
        <w:drawing>
          <wp:inline distB="114300" distT="114300" distL="114300" distR="114300">
            <wp:extent cx="5731200" cy="21590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Portugal</w:t>
      </w:r>
      <w:r w:rsidDel="00000000" w:rsidR="00000000" w:rsidRPr="00000000">
        <w:rPr>
          <w:sz w:val="22"/>
          <w:szCs w:val="22"/>
          <w:rtl w:val="0"/>
        </w:rPr>
        <w:t xml:space="preserve"> with Different Budgets (2023)</w:t>
      </w:r>
    </w:p>
    <w:p w:rsidR="00000000" w:rsidDel="00000000" w:rsidP="00000000" w:rsidRDefault="00000000" w:rsidRPr="00000000" w14:paraId="000000F4">
      <w:pPr>
        <w:jc w:val="left"/>
        <w:rPr>
          <w:sz w:val="22"/>
          <w:szCs w:val="22"/>
        </w:rPr>
      </w:pPr>
      <w:r w:rsidDel="00000000" w:rsidR="00000000" w:rsidRPr="00000000">
        <w:rPr>
          <w:rtl w:val="0"/>
        </w:rPr>
      </w:r>
    </w:p>
    <w:p w:rsidR="00000000" w:rsidDel="00000000" w:rsidP="00000000" w:rsidRDefault="00000000" w:rsidRPr="00000000" w14:paraId="000000F5">
      <w:pPr>
        <w:jc w:val="center"/>
        <w:rPr>
          <w:sz w:val="22"/>
          <w:szCs w:val="22"/>
        </w:rPr>
      </w:pPr>
      <w:r w:rsidDel="00000000" w:rsidR="00000000" w:rsidRPr="00000000">
        <w:rPr>
          <w:sz w:val="22"/>
          <w:szCs w:val="22"/>
        </w:rPr>
        <w:drawing>
          <wp:inline distB="114300" distT="114300" distL="114300" distR="114300">
            <wp:extent cx="4658916" cy="1423988"/>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58916"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Portugal</w:t>
      </w:r>
      <w:r w:rsidDel="00000000" w:rsidR="00000000" w:rsidRPr="00000000">
        <w:rPr>
          <w:sz w:val="22"/>
          <w:szCs w:val="22"/>
          <w:rtl w:val="0"/>
        </w:rPr>
        <w:t xml:space="preserve"> </w:t>
      </w:r>
      <w:r w:rsidDel="00000000" w:rsidR="00000000" w:rsidRPr="00000000">
        <w:rPr>
          <w:sz w:val="22"/>
          <w:szCs w:val="22"/>
          <w:rtl w:val="0"/>
        </w:rPr>
        <w:t xml:space="preserve">(2023)</w:t>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rtl w:val="0"/>
        </w:rPr>
      </w:r>
    </w:p>
    <w:p w:rsidR="00000000" w:rsidDel="00000000" w:rsidP="00000000" w:rsidRDefault="00000000" w:rsidRPr="00000000" w14:paraId="000000F8">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9">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Portugal</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A">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B">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C">
      <w:pPr>
        <w:jc w:val="both"/>
        <w:rPr>
          <w:b w:val="1"/>
          <w:bCs w:val="1"/>
        </w:rPr>
      </w:pPr>
      <w:r w:rsidDel="00000000" w:rsidR="00000000" w:rsidRPr="00000000">
        <w:rPr>
          <w:b w:val="1"/>
          <w:bCs w:val="1"/>
        </w:rPr>
        <w:drawing>
          <wp:inline distB="114300" distT="114300" distL="114300" distR="114300">
            <wp:extent cx="5310188" cy="2519630"/>
            <wp:effectExtent b="0" l="0" r="0" t="0"/>
            <wp:docPr id="8" name="image2.jpg"/>
            <a:graphic>
              <a:graphicData uri="http://schemas.openxmlformats.org/drawingml/2006/picture">
                <pic:pic>
                  <pic:nvPicPr>
                    <pic:cNvPr id="0" name="image2.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E">
      <w:pPr>
        <w:pageBreakBefore w:val="0"/>
        <w:spacing w:after="240" w:before="240" w:line="276" w:lineRule="auto"/>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0FF">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0">
      <w:pPr>
        <w:pageBreakBefore w:val="0"/>
        <w:jc w:val="both"/>
        <w:rPr/>
      </w:pPr>
      <w:r w:rsidDel="00000000" w:rsidR="00000000" w:rsidRPr="00000000">
        <w:rPr>
          <w:rtl w:val="0"/>
        </w:rPr>
        <w:t xml:space="preserve">We examine </w:t>
      </w:r>
      <w:r w:rsidDel="00000000" w:rsidR="00000000" w:rsidRPr="00000000">
        <w:rPr>
          <w:rtl w:val="0"/>
        </w:rPr>
        <w:t xml:space="preserve">Portugal</w:t>
      </w:r>
      <w:r w:rsidDel="00000000" w:rsidR="00000000" w:rsidRPr="00000000">
        <w:rPr>
          <w:rtl w:val="0"/>
        </w:rPr>
        <w:t xml:space="preserve">'s ECI Decremental and Incremental Sensitivity Charts for 2023. An increase in Energy Drilling and Mining will lead to the highest change in ECI, followed by Food and Preparations and High Complexity Products. For the negative shock cases, Metal becomes most impactful. The rest of the industries do not appear to have the same level of sensitivity.</w:t>
      </w:r>
    </w:p>
    <w:p w:rsidR="00000000" w:rsidDel="00000000" w:rsidP="00000000" w:rsidRDefault="00000000" w:rsidRPr="00000000" w14:paraId="00000101">
      <w:pPr>
        <w:pageBreakBefore w:val="0"/>
        <w:jc w:val="both"/>
        <w:rPr/>
      </w:pP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drawing>
          <wp:inline distB="114300" distT="114300" distL="114300" distR="114300">
            <wp:extent cx="5734050" cy="3552825"/>
            <wp:effectExtent b="0" l="0" r="0" t="0"/>
            <wp:docPr id="20" name="image4.png"/>
            <a:graphic>
              <a:graphicData uri="http://schemas.openxmlformats.org/drawingml/2006/picture">
                <pic:pic>
                  <pic:nvPicPr>
                    <pic:cNvPr id="0" name="image4.png"/>
                    <pic:cNvPicPr preferRelativeResize="0"/>
                  </pic:nvPicPr>
                  <pic:blipFill>
                    <a:blip r:embed="rId22"/>
                    <a:srcRect b="0" l="0" r="0" t="13457"/>
                    <a:stretch>
                      <a:fillRect/>
                    </a:stretch>
                  </pic:blipFill>
                  <pic:spPr>
                    <a:xfrm>
                      <a:off x="0" y="0"/>
                      <a:ext cx="57340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Portugal</w:t>
      </w:r>
      <w:r w:rsidDel="00000000" w:rsidR="00000000" w:rsidRPr="00000000">
        <w:rPr>
          <w:sz w:val="22"/>
          <w:szCs w:val="22"/>
          <w:rtl w:val="0"/>
        </w:rPr>
        <w:t xml:space="preserve"> (2023)</w:t>
      </w:r>
    </w:p>
    <w:p w:rsidR="00000000" w:rsidDel="00000000" w:rsidP="00000000" w:rsidRDefault="00000000" w:rsidRPr="00000000" w14:paraId="00000104">
      <w:pPr>
        <w:jc w:val="center"/>
        <w:rPr>
          <w:sz w:val="22"/>
          <w:szCs w:val="22"/>
        </w:rPr>
      </w:pPr>
      <w:r w:rsidDel="00000000" w:rsidR="00000000" w:rsidRPr="00000000">
        <w:rPr>
          <w:sz w:val="22"/>
          <w:szCs w:val="22"/>
        </w:rPr>
        <w:drawing>
          <wp:inline distB="114300" distT="114300" distL="114300" distR="114300">
            <wp:extent cx="5734050" cy="3486150"/>
            <wp:effectExtent b="0" l="0" r="0" t="0"/>
            <wp:docPr id="18" name="image3.png"/>
            <a:graphic>
              <a:graphicData uri="http://schemas.openxmlformats.org/drawingml/2006/picture">
                <pic:pic>
                  <pic:nvPicPr>
                    <pic:cNvPr id="0" name="image3.png"/>
                    <pic:cNvPicPr preferRelativeResize="0"/>
                  </pic:nvPicPr>
                  <pic:blipFill>
                    <a:blip r:embed="rId23"/>
                    <a:srcRect b="0" l="0" r="0" t="15081"/>
                    <a:stretch>
                      <a:fillRect/>
                    </a:stretch>
                  </pic:blipFill>
                  <pic:spPr>
                    <a:xfrm>
                      <a:off x="0" y="0"/>
                      <a:ext cx="57340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Portugal</w:t>
      </w:r>
      <w:r w:rsidDel="00000000" w:rsidR="00000000" w:rsidRPr="00000000">
        <w:rPr>
          <w:sz w:val="22"/>
          <w:szCs w:val="22"/>
          <w:rtl w:val="0"/>
        </w:rPr>
        <w:t xml:space="preserve"> (2023)</w:t>
      </w:r>
      <w:r w:rsidDel="00000000" w:rsidR="00000000" w:rsidRPr="00000000">
        <w:rPr>
          <w:rtl w:val="0"/>
        </w:rPr>
      </w:r>
    </w:p>
    <w:p w:rsidR="00000000" w:rsidDel="00000000" w:rsidP="00000000" w:rsidRDefault="00000000" w:rsidRPr="00000000" w14:paraId="00000106">
      <w:pPr>
        <w:pageBreakBefore w:val="0"/>
        <w:jc w:val="both"/>
        <w:rPr>
          <w:b w:val="1"/>
          <w:bCs w:val="1"/>
        </w:rPr>
      </w:pPr>
      <w:r w:rsidDel="00000000" w:rsidR="00000000" w:rsidRPr="00000000">
        <w:rPr>
          <w:rtl w:val="0"/>
        </w:rPr>
      </w:r>
    </w:p>
    <w:p w:rsidR="00000000" w:rsidDel="00000000" w:rsidP="00000000" w:rsidRDefault="00000000" w:rsidRPr="00000000" w14:paraId="000001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8">
      <w:pPr>
        <w:pageBreakBefore w:val="0"/>
        <w:jc w:val="both"/>
        <w:rPr>
          <w:b w:val="1"/>
          <w:bCs w:val="1"/>
        </w:rPr>
      </w:pPr>
      <w:r w:rsidDel="00000000" w:rsidR="00000000" w:rsidRPr="00000000">
        <w:rPr>
          <w:rtl w:val="0"/>
        </w:rPr>
      </w:r>
    </w:p>
    <w:p w:rsidR="00000000" w:rsidDel="00000000" w:rsidP="00000000" w:rsidRDefault="00000000" w:rsidRPr="00000000" w14:paraId="00000109">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A">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B">
      <w:pPr>
        <w:pageBreakBefore w:val="0"/>
        <w:jc w:val="both"/>
        <w:rPr/>
      </w:pPr>
      <w:r w:rsidDel="00000000" w:rsidR="00000000" w:rsidRPr="00000000">
        <w:rPr>
          <w:rtl w:val="0"/>
        </w:rPr>
      </w:r>
    </w:p>
    <w:p w:rsidR="00000000" w:rsidDel="00000000" w:rsidP="00000000" w:rsidRDefault="00000000" w:rsidRPr="00000000" w14:paraId="0000010C">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In other words, the more a country develops, as suggested by calculations on a complexity level, the better economic outcomes it achieves. </w:t>
      </w:r>
    </w:p>
    <w:p w:rsidR="00000000" w:rsidDel="00000000" w:rsidP="00000000" w:rsidRDefault="00000000" w:rsidRPr="00000000" w14:paraId="0000010D">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1"/>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E">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10">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1">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9.684</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12">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0.829</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3">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0.0896</w:t>
            </w:r>
          </w:p>
        </w:tc>
      </w:tr>
      <w:tr>
        <w:trPr>
          <w:cantSplit w:val="0"/>
          <w:trHeight w:val="335.52" w:hRule="atLeast"/>
          <w:tblHeader w:val="1"/>
        </w:trPr>
        <w:tc>
          <w:tcPr>
            <w:shd w:fill="auto" w:val="clear"/>
            <w:tcMar>
              <w:top w:w="-44.64" w:type="dxa"/>
              <w:left w:w="-44.64" w:type="dxa"/>
              <w:bottom w:w="-44.64" w:type="dxa"/>
              <w:right w:w="-44.64" w:type="dxa"/>
            </w:tcMar>
            <w:vAlign w:val="center"/>
          </w:tcPr>
          <w:p w:rsidR="00000000" w:rsidDel="00000000" w:rsidP="00000000" w:rsidRDefault="00000000" w:rsidRPr="00000000" w14:paraId="00000114">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0.743</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5">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116">
      <w:pPr>
        <w:pageBreakBefore w:val="0"/>
        <w:jc w:val="center"/>
        <w:rPr>
          <w:sz w:val="22"/>
          <w:szCs w:val="22"/>
        </w:rPr>
      </w:pPr>
      <w:r w:rsidDel="00000000" w:rsidR="00000000" w:rsidRPr="00000000">
        <w:rPr>
          <w:sz w:val="22"/>
          <w:szCs w:val="22"/>
        </w:rPr>
        <w:drawing>
          <wp:inline distB="114300" distT="114300" distL="114300" distR="114300">
            <wp:extent cx="3567113" cy="23761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567113" cy="2376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r>
    </w:p>
    <w:p w:rsidR="00000000" w:rsidDel="00000000" w:rsidP="00000000" w:rsidRDefault="00000000" w:rsidRPr="00000000" w14:paraId="00000119">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Portugal</w:t>
      </w:r>
      <w:r w:rsidDel="00000000" w:rsidR="00000000" w:rsidRPr="00000000">
        <w:rPr>
          <w:b w:val="1"/>
          <w:bCs w:val="1"/>
          <w:rtl w:val="0"/>
        </w:rPr>
        <w:t xml:space="preserve"> and Its Implications</w:t>
      </w:r>
    </w:p>
    <w:p w:rsidR="00000000" w:rsidDel="00000000" w:rsidP="00000000" w:rsidRDefault="00000000" w:rsidRPr="00000000" w14:paraId="0000011A">
      <w:pPr>
        <w:pageBreakBefore w:val="0"/>
        <w:jc w:val="both"/>
        <w:rPr/>
      </w:pPr>
      <w:r w:rsidDel="00000000" w:rsidR="00000000" w:rsidRPr="00000000">
        <w:rPr>
          <w:rtl w:val="0"/>
        </w:rPr>
        <w:t xml:space="preserve">During the first examined period, </w:t>
      </w:r>
      <w:r w:rsidDel="00000000" w:rsidR="00000000" w:rsidRPr="00000000">
        <w:rPr>
          <w:rtl w:val="0"/>
        </w:rPr>
        <w:t xml:space="preserve">Portugal</w:t>
      </w:r>
      <w:r w:rsidDel="00000000" w:rsidR="00000000" w:rsidRPr="00000000">
        <w:rPr>
          <w:rtl w:val="0"/>
        </w:rPr>
        <w:t xml:space="preserve">, for instance, has a </w:t>
      </w:r>
      <w:r w:rsidDel="00000000" w:rsidR="00000000" w:rsidRPr="00000000">
        <w:rPr>
          <w:rtl w:val="0"/>
        </w:rPr>
        <w:t xml:space="preserve">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Portugal</w:t>
      </w:r>
      <w:r w:rsidDel="00000000" w:rsidR="00000000" w:rsidRPr="00000000">
        <w:rPr>
          <w:rtl w:val="0"/>
        </w:rPr>
        <w:t xml:space="preserve"> demonstrates a </w:t>
      </w:r>
      <w:r w:rsidDel="00000000" w:rsidR="00000000" w:rsidRPr="00000000">
        <w:rPr>
          <w:rtl w:val="0"/>
        </w:rPr>
        <w:t xml:space="preserve">high</w:t>
      </w:r>
      <w:r w:rsidDel="00000000" w:rsidR="00000000" w:rsidRPr="00000000">
        <w:rPr>
          <w:rtl w:val="0"/>
        </w:rPr>
        <w:t xml:space="preserve"> level of correlation with the suggested developmental path, having an adjusted R-square of around 0.73123681. </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For the 2019-2023 years, Portugal has a strong presence in the Energy Drilling and Mining and Raw Manufacturing industries. The Precious Stones industry presents a good opportunity for further investment as their opportunity gain is greater than their RID, while Raw Manufacturing has already surpassed its opportunity gain. It also could consider Metals, Textile, and Clothing and Accessories industries to improve its growth. Portugal has seen a growth in GDP over those four years, with an average growth of 6.20%.</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969941" cy="2386013"/>
            <wp:effectExtent b="0" l="0" r="0" t="0"/>
            <wp:docPr id="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69941"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Portugal</w:t>
      </w:r>
      <w:r w:rsidDel="00000000" w:rsidR="00000000" w:rsidRPr="00000000">
        <w:rPr>
          <w:sz w:val="22"/>
          <w:szCs w:val="22"/>
          <w:rtl w:val="0"/>
        </w:rPr>
        <w:t xml:space="preserve"> (2019-2023)</w:t>
      </w:r>
      <w:r w:rsidDel="00000000" w:rsidR="00000000" w:rsidRPr="00000000">
        <w:rPr>
          <w:rtl w:val="0"/>
        </w:rPr>
      </w:r>
    </w:p>
    <w:p w:rsidR="00000000" w:rsidDel="00000000" w:rsidP="00000000" w:rsidRDefault="00000000" w:rsidRPr="00000000" w14:paraId="00000120">
      <w:pPr>
        <w:pageBreakBefore w:val="0"/>
        <w:jc w:val="both"/>
        <w:rPr>
          <w:b w:val="1"/>
          <w:bCs w:val="1"/>
        </w:rPr>
      </w:pPr>
      <w:r w:rsidDel="00000000" w:rsidR="00000000" w:rsidRPr="00000000">
        <w:rPr>
          <w:rtl w:val="0"/>
        </w:rPr>
      </w:r>
    </w:p>
    <w:p w:rsidR="00000000" w:rsidDel="00000000" w:rsidP="00000000" w:rsidRDefault="00000000" w:rsidRPr="00000000" w14:paraId="0000012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In conclusion, </w:t>
      </w:r>
      <w:r w:rsidDel="00000000" w:rsidR="00000000" w:rsidRPr="00000000">
        <w:rPr>
          <w:rtl w:val="0"/>
        </w:rPr>
        <w:t xml:space="preserve">Portugal</w:t>
      </w:r>
      <w:r w:rsidDel="00000000" w:rsidR="00000000" w:rsidRPr="00000000">
        <w:rPr>
          <w:rtl w:val="0"/>
        </w:rPr>
        <w:t xml:space="preserve"> has demonstrated a </w:t>
      </w:r>
      <w:r w:rsidDel="00000000" w:rsidR="00000000" w:rsidRPr="00000000">
        <w:rPr>
          <w:rtl w:val="0"/>
        </w:rPr>
        <w:t xml:space="preserve">high</w:t>
      </w:r>
      <w:r w:rsidDel="00000000" w:rsidR="00000000" w:rsidRPr="00000000">
        <w:rPr>
          <w:rtl w:val="0"/>
        </w:rPr>
        <w:t xml:space="preserve"> level of economic growth in terms of annual GDP increase during the period from 2019-2023, concurrent with an increase in economic complexity as compared with major developed economies.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t xml:space="preserve">We believe that the </w:t>
      </w:r>
      <w:r w:rsidDel="00000000" w:rsidR="00000000" w:rsidRPr="00000000">
        <w:rPr>
          <w:rtl w:val="0"/>
        </w:rPr>
        <w:t xml:space="preserve">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Portugal</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Portugal</w:t>
      </w:r>
      <w:r w:rsidDel="00000000" w:rsidR="00000000" w:rsidRPr="00000000">
        <w:rPr>
          <w:rtl w:val="0"/>
        </w:rPr>
        <w:t xml:space="preserve"> </w:t>
      </w:r>
      <w:r w:rsidDel="00000000" w:rsidR="00000000" w:rsidRPr="00000000">
        <w:rPr>
          <w:rtl w:val="0"/>
        </w:rPr>
        <w:t xml:space="preserve">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Based on our analysis of the opportunity gain and sensitivity analysis of major industry groups for 2019-2023, </w:t>
      </w:r>
      <w:r w:rsidDel="00000000" w:rsidR="00000000" w:rsidRPr="00000000">
        <w:rPr>
          <w:rtl w:val="0"/>
        </w:rPr>
        <w:t xml:space="preserve">Portugal</w:t>
      </w:r>
      <w:r w:rsidDel="00000000" w:rsidR="00000000" w:rsidRPr="00000000">
        <w:rPr>
          <w:rtl w:val="0"/>
        </w:rPr>
        <w:t xml:space="preserve"> can further its gains by prioritizing Precious Stones, Textiles, and Clothing and Accessories. We further note that </w:t>
      </w:r>
      <w:r w:rsidDel="00000000" w:rsidR="00000000" w:rsidRPr="00000000">
        <w:rPr>
          <w:rtl w:val="0"/>
        </w:rPr>
        <w:t xml:space="preserve">Portugal</w:t>
      </w:r>
      <w:r w:rsidDel="00000000" w:rsidR="00000000" w:rsidRPr="00000000">
        <w:rPr>
          <w:rtl w:val="0"/>
        </w:rPr>
        <w:t xml:space="preserve"> has a </w:t>
      </w:r>
      <w:r w:rsidDel="00000000" w:rsidR="00000000" w:rsidRPr="00000000">
        <w:rPr>
          <w:rtl w:val="0"/>
        </w:rPr>
        <w:t xml:space="preserve">balanced development strategy</w:t>
      </w:r>
      <w:r w:rsidDel="00000000" w:rsidR="00000000" w:rsidRPr="00000000">
        <w:rPr>
          <w:rtl w:val="0"/>
        </w:rPr>
        <w:t xml:space="preserve"> that indicates a </w:t>
      </w:r>
      <w:r w:rsidDel="00000000" w:rsidR="00000000" w:rsidRPr="00000000">
        <w:rPr>
          <w:rtl w:val="0"/>
        </w:rPr>
        <w:t xml:space="preserve">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82.9%. Since a </w:t>
      </w:r>
      <w:r w:rsidDel="00000000" w:rsidR="00000000" w:rsidRPr="00000000">
        <w:rPr>
          <w:rtl w:val="0"/>
        </w:rPr>
        <w:t xml:space="preserve">positive</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Portugal</w:t>
      </w:r>
      <w:r w:rsidDel="00000000" w:rsidR="00000000" w:rsidRPr="00000000">
        <w:rPr>
          <w:rtl w:val="0"/>
        </w:rPr>
        <w:t xml:space="preserve"> indeed has an </w:t>
      </w:r>
      <w:r w:rsidDel="00000000" w:rsidR="00000000" w:rsidRPr="00000000">
        <w:rPr>
          <w:rtl w:val="0"/>
        </w:rPr>
        <w:t xml:space="preserve">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D">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2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2F">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1">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3">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5">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7">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9">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3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B">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3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D">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3E">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4.png"/><Relationship Id="rId21" Type="http://schemas.openxmlformats.org/officeDocument/2006/relationships/image" Target="media/image2.jpg"/><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eader" Target="header1.xml"/><Relationship Id="rId25" Type="http://schemas.openxmlformats.org/officeDocument/2006/relationships/image" Target="media/image12.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1.png"/><Relationship Id="rId11" Type="http://schemas.openxmlformats.org/officeDocument/2006/relationships/image" Target="media/image18.png"/><Relationship Id="rId10" Type="http://schemas.openxmlformats.org/officeDocument/2006/relationships/image" Target="media/image17.png"/><Relationship Id="rId13" Type="http://schemas.openxmlformats.org/officeDocument/2006/relationships/image" Target="media/image8.png"/><Relationship Id="rId12" Type="http://schemas.openxmlformats.org/officeDocument/2006/relationships/image" Target="media/image13.png"/><Relationship Id="rId15" Type="http://schemas.openxmlformats.org/officeDocument/2006/relationships/image" Target="media/image9.jpg"/><Relationship Id="rId14" Type="http://schemas.openxmlformats.org/officeDocument/2006/relationships/image" Target="media/image19.jp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