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bwkt3xhj6yyh"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Tunisia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Tunisia</w:t>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Tunisia</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w:t>
      </w:r>
      <w:r w:rsidDel="00000000" w:rsidR="00000000" w:rsidRPr="00000000">
        <w:rPr>
          <w:rtl w:val="0"/>
        </w:rPr>
        <w:t xml:space="preserve">2.8</w:t>
      </w:r>
      <w:r w:rsidDel="00000000" w:rsidR="00000000" w:rsidRPr="00000000">
        <w:rPr>
          <w:rtl w:val="0"/>
        </w:rPr>
        <w:t xml:space="preserve"> between 2019 and 2021,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Tunisia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Tunisia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Tunisia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Tunisia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1a illustrates the time-series GDP results for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Tunisia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1b shows the GDP levels for </w:t>
      </w:r>
      <w:r w:rsidDel="00000000" w:rsidR="00000000" w:rsidRPr="00000000">
        <w:rPr>
          <w:rtl w:val="0"/>
        </w:rPr>
        <w:t xml:space="preserve">Tunisia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Tunisia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743200" cy="1828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shown, </w:t>
      </w:r>
      <w:r w:rsidDel="00000000" w:rsidR="00000000" w:rsidRPr="00000000">
        <w:rPr>
          <w:rtl w:val="0"/>
        </w:rPr>
        <w:t xml:space="preserve">Tunisia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Tunisia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Tunisia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Tunisia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Tunisia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Tunisia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743200" cy="1647118"/>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43200" cy="16471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Tunisia</w:t>
      </w:r>
      <w:r w:rsidDel="00000000" w:rsidR="00000000" w:rsidRPr="00000000">
        <w:rPr>
          <w:sz w:val="22"/>
          <w:szCs w:val="22"/>
          <w:rtl w:val="0"/>
        </w:rPr>
        <w:t xml:space="preserve"> (right: 2019-2021)</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jc w:val="center"/>
        <w:rPr>
          <w:sz w:val="22"/>
          <w:szCs w:val="22"/>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Tunisia'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Tunisia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jc w:val="both"/>
              <w:rPr>
                <w:b w:val="1"/>
                <w:bCs w:val="1"/>
                <w:color w:val="ffffff"/>
                <w:sz w:val="20"/>
                <w:szCs w:val="20"/>
              </w:rPr>
            </w:pPr>
            <w:r w:rsidDel="00000000" w:rsidR="00000000" w:rsidRPr="00000000">
              <w:rPr>
                <w:b w:val="1"/>
                <w:bCs w:val="1"/>
                <w:color w:val="ffffff"/>
                <w:sz w:val="20"/>
                <w:szCs w:val="20"/>
                <w:rtl w:val="0"/>
              </w:rPr>
              <w:t xml:space="preserve">RID (2021)</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Tunisia</w:t>
      </w: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Tunisia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Tunisia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jc w:val="center"/>
        <w:rPr>
          <w:sz w:val="22"/>
          <w:szCs w:val="22"/>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Tunisia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Tunisia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2]</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jc w:val="center"/>
        <w:rPr>
          <w:sz w:val="22"/>
          <w:szCs w:val="22"/>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jc w:val="both"/>
        <w:rPr/>
      </w:pPr>
      <w:r w:rsidDel="00000000" w:rsidR="00000000" w:rsidRPr="00000000">
        <w:rPr>
          <w:rtl w:val="0"/>
        </w:rPr>
        <w:t xml:space="preserve"> </w:t>
      </w:r>
    </w:p>
    <w:p w:rsidR="00000000" w:rsidDel="00000000" w:rsidP="00000000" w:rsidRDefault="00000000" w:rsidRPr="00000000" w14:paraId="000002A7">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jc w:val="both"/>
        <w:rPr/>
      </w:pPr>
      <w:r w:rsidDel="00000000" w:rsidR="00000000" w:rsidRPr="00000000">
        <w:rPr>
          <w:rtl w:val="0"/>
        </w:rPr>
        <w:t xml:space="preserve"> </w:t>
      </w:r>
    </w:p>
    <w:p w:rsidR="00000000" w:rsidDel="00000000" w:rsidP="00000000" w:rsidRDefault="00000000" w:rsidRPr="00000000" w14:paraId="000002A9">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Tunisia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Tunisia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jc w:val="both"/>
        <w:rPr/>
      </w:pPr>
      <w:r w:rsidDel="00000000" w:rsidR="00000000" w:rsidRPr="00000000">
        <w:rPr>
          <w:rtl w:val="0"/>
        </w:rPr>
        <w:t xml:space="preserve"> </w:t>
      </w:r>
    </w:p>
    <w:p w:rsidR="00000000" w:rsidDel="00000000" w:rsidP="00000000" w:rsidRDefault="00000000" w:rsidRPr="00000000" w14:paraId="000002E3">
      <w:pPr>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jc w:val="both"/>
        <w:rPr>
          <w:i w:val="1"/>
          <w:iCs w:val="1"/>
          <w:color w:val="444499"/>
          <w:sz w:val="20"/>
          <w:szCs w:val="20"/>
        </w:rPr>
      </w:pPr>
      <w:r w:rsidDel="00000000" w:rsidR="00000000" w:rsidRPr="00000000">
        <w:rPr/>
        <w:drawing>
          <wp:inline distB="114300" distT="114300" distL="114300" distR="114300">
            <wp:extent cx="5887890" cy="2005013"/>
            <wp:effectExtent b="0" l="0" r="0" t="0"/>
            <wp:docPr id="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13" name="image22.png"/>
            <a:graphic>
              <a:graphicData uri="http://schemas.openxmlformats.org/drawingml/2006/picture">
                <pic:pic>
                  <pic:nvPicPr>
                    <pic:cNvPr id="0" name="image22.png"/>
                    <pic:cNvPicPr preferRelativeResize="0"/>
                  </pic:nvPicPr>
                  <pic:blipFill>
                    <a:blip r:embed="rId14"/>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Tunisia</w:t>
      </w:r>
      <w:r w:rsidDel="00000000" w:rsidR="00000000" w:rsidRPr="00000000">
        <w:rPr>
          <w:sz w:val="22"/>
          <w:szCs w:val="22"/>
          <w:rtl w:val="0"/>
        </w:rPr>
        <w:t xml:space="preserve"> (2013)</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For further suggestions on </w:t>
      </w:r>
      <w:r w:rsidDel="00000000" w:rsidR="00000000" w:rsidRPr="00000000">
        <w:rPr>
          <w:rtl w:val="0"/>
        </w:rPr>
        <w:t xml:space="preserve">Tunisia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Tunisia</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drawing>
          <wp:inline distB="114300" distT="114300" distL="114300" distR="114300">
            <wp:extent cx="6040580" cy="2062163"/>
            <wp:effectExtent b="0" l="0" r="0" t="0"/>
            <wp:docPr id="1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9.png"/>
            <a:graphic>
              <a:graphicData uri="http://schemas.openxmlformats.org/drawingml/2006/picture">
                <pic:pic>
                  <pic:nvPicPr>
                    <pic:cNvPr id="0" name="image9.png"/>
                    <pic:cNvPicPr preferRelativeResize="0"/>
                  </pic:nvPicPr>
                  <pic:blipFill>
                    <a:blip r:embed="rId16"/>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Tunisia (2018)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Tunisia</w:t>
      </w:r>
      <w:r w:rsidDel="00000000" w:rsidR="00000000" w:rsidRPr="00000000">
        <w:rPr>
          <w:sz w:val="22"/>
          <w:szCs w:val="22"/>
          <w:rtl w:val="0"/>
        </w:rPr>
        <w:t xml:space="preserve"> (2018)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Tunisia</w:t>
      </w:r>
      <w:r w:rsidDel="00000000" w:rsidR="00000000" w:rsidRPr="00000000">
        <w:rPr>
          <w:rtl w:val="0"/>
        </w:rPr>
        <w:t xml:space="preserve"> is shown in Table 8c.</w:t>
      </w:r>
    </w:p>
    <w:p w:rsidR="00000000" w:rsidDel="00000000" w:rsidP="00000000" w:rsidRDefault="00000000" w:rsidRPr="00000000" w14:paraId="00000360">
      <w:pPr>
        <w:rPr>
          <w:sz w:val="22"/>
          <w:szCs w:val="22"/>
        </w:rPr>
      </w:pPr>
      <w:r w:rsidDel="00000000" w:rsidR="00000000" w:rsidRPr="00000000">
        <w:rPr/>
        <w:drawing>
          <wp:inline distB="114300" distT="114300" distL="114300" distR="114300">
            <wp:extent cx="5734050" cy="1952625"/>
            <wp:effectExtent b="0" l="0" r="0" t="0"/>
            <wp:docPr id="10" name="image3.png"/>
            <a:graphic>
              <a:graphicData uri="http://schemas.openxmlformats.org/drawingml/2006/picture">
                <pic:pic>
                  <pic:nvPicPr>
                    <pic:cNvPr id="0" name="image3.png"/>
                    <pic:cNvPicPr preferRelativeResize="0"/>
                  </pic:nvPicPr>
                  <pic:blipFill>
                    <a:blip r:embed="rId17"/>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1.png"/>
            <a:graphic>
              <a:graphicData uri="http://schemas.openxmlformats.org/drawingml/2006/picture">
                <pic:pic>
                  <pic:nvPicPr>
                    <pic:cNvPr id="0" name="image1.png"/>
                    <pic:cNvPicPr preferRelativeResize="0"/>
                  </pic:nvPicPr>
                  <pic:blipFill>
                    <a:blip r:embed="rId18"/>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(2021)</w:t>
      </w:r>
    </w:p>
    <w:p w:rsidR="00000000" w:rsidDel="00000000" w:rsidP="00000000" w:rsidRDefault="00000000" w:rsidRPr="00000000" w14:paraId="00000363">
      <w:pPr>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F">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0">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1">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Tunisia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Tunisia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13.jpg"/>
            <a:graphic>
              <a:graphicData uri="http://schemas.openxmlformats.org/drawingml/2006/picture">
                <pic:pic>
                  <pic:nvPicPr>
                    <pic:cNvPr id="0" name="image13.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spacing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spacing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spacing w:line="276" w:lineRule="auto"/>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drawing>
          <wp:inline distB="114300" distT="114300" distL="114300" distR="114300">
            <wp:extent cx="5734050" cy="1739900"/>
            <wp:effectExtent b="0" l="0" r="0" t="0"/>
            <wp:docPr id="22" name="image20.jpg"/>
            <a:graphic>
              <a:graphicData uri="http://schemas.openxmlformats.org/drawingml/2006/picture">
                <pic:pic>
                  <pic:nvPicPr>
                    <pic:cNvPr id="0" name="image20.jpg"/>
                    <pic:cNvPicPr preferRelativeResize="0"/>
                  </pic:nvPicPr>
                  <pic:blipFill>
                    <a:blip r:embed="rId20"/>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 Sample Incremental SDV Sensitivity for High-Complexity Products (2018)</w:t>
      </w:r>
      <w:r w:rsidDel="00000000" w:rsidR="00000000" w:rsidRPr="00000000">
        <w:rPr>
          <w:rtl w:val="0"/>
        </w:rPr>
      </w:r>
    </w:p>
    <w:p w:rsidR="00000000" w:rsidDel="00000000" w:rsidP="00000000" w:rsidRDefault="00000000" w:rsidRPr="00000000" w14:paraId="000003A1">
      <w:pPr>
        <w:spacing w:line="276" w:lineRule="auto"/>
        <w:rPr>
          <w:b w:val="1"/>
          <w:bCs w:val="1"/>
        </w:rPr>
      </w:pPr>
      <w:r w:rsidDel="00000000" w:rsidR="00000000" w:rsidRPr="00000000">
        <w:rPr>
          <w:rtl w:val="0"/>
        </w:rPr>
      </w:r>
    </w:p>
    <w:p w:rsidR="00000000" w:rsidDel="00000000" w:rsidP="00000000" w:rsidRDefault="00000000" w:rsidRPr="00000000" w14:paraId="000003A2">
      <w:pPr>
        <w:spacing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jc w:val="both"/>
        <w:rPr>
          <w:b w:val="1"/>
          <w:bCs w:val="1"/>
          <w:sz w:val="28"/>
          <w:szCs w:val="28"/>
        </w:rPr>
      </w:pPr>
      <w:r w:rsidDel="00000000" w:rsidR="00000000" w:rsidRPr="00000000">
        <w:rPr>
          <w:rtl w:val="0"/>
        </w:rPr>
      </w:r>
    </w:p>
    <w:p w:rsidR="00000000" w:rsidDel="00000000" w:rsidP="00000000" w:rsidRDefault="00000000" w:rsidRPr="00000000" w14:paraId="000003F3">
      <w:pPr>
        <w:jc w:val="both"/>
        <w:rPr>
          <w:b w:val="1"/>
          <w:bCs w:val="1"/>
          <w:sz w:val="28"/>
          <w:szCs w:val="28"/>
        </w:rPr>
      </w:pP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jc w:val="both"/>
        <w:rPr/>
      </w:pPr>
      <w:r w:rsidDel="00000000" w:rsidR="00000000" w:rsidRPr="00000000">
        <w:rPr>
          <w:rtl w:val="0"/>
        </w:rPr>
        <w:t xml:space="preserve">We examine </w:t>
      </w:r>
      <w:r w:rsidDel="00000000" w:rsidR="00000000" w:rsidRPr="00000000">
        <w:rPr>
          <w:rtl w:val="0"/>
        </w:rPr>
        <w:t xml:space="preserve">Tunisia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drawing>
          <wp:inline distB="114300" distT="114300" distL="114300" distR="114300">
            <wp:extent cx="5731200" cy="23495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t xml:space="preserve">Below is </w:t>
      </w:r>
      <w:r w:rsidDel="00000000" w:rsidR="00000000" w:rsidRPr="00000000">
        <w:rPr>
          <w:rtl w:val="0"/>
        </w:rPr>
        <w:t xml:space="preserve">Tunisia</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w:t>
      </w:r>
      <w:r w:rsidDel="00000000" w:rsidR="00000000" w:rsidRPr="00000000">
        <w:rPr>
          <w:rtl w:val="0"/>
        </w:rPr>
        <w:t xml:space="preserve">Tunisia</w:t>
      </w:r>
      <w:r w:rsidDel="00000000" w:rsidR="00000000" w:rsidRPr="00000000">
        <w:rPr>
          <w:rtl w:val="0"/>
        </w:rPr>
        <w:t xml:space="preserve">'s 2018 Negative Shock chart. We see that </w:t>
      </w:r>
      <w:r w:rsidDel="00000000" w:rsidR="00000000" w:rsidRPr="00000000">
        <w:rPr>
          <w:rtl w:val="0"/>
        </w:rPr>
        <w:t xml:space="preserve">Tunisia</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Tunisia</w:t>
      </w:r>
      <w:r w:rsidDel="00000000" w:rsidR="00000000" w:rsidRPr="00000000">
        <w:rPr>
          <w:rtl w:val="0"/>
        </w:rPr>
        <w:t xml:space="preserve"> is highly insensitive to changes in most other industries suggesting that </w:t>
      </w:r>
      <w:r w:rsidDel="00000000" w:rsidR="00000000" w:rsidRPr="00000000">
        <w:rPr>
          <w:rtl w:val="0"/>
        </w:rPr>
        <w:t xml:space="preserve">Tunisia</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jc w:val="both"/>
        <w:rPr>
          <w:b w:val="1"/>
          <w:bCs w:val="1"/>
        </w:rPr>
      </w:pPr>
      <w:r w:rsidDel="00000000" w:rsidR="00000000" w:rsidRPr="00000000">
        <w:rPr>
          <w:b w:val="1"/>
          <w:bCs w:val="1"/>
        </w:rPr>
        <w:drawing>
          <wp:inline distB="114300" distT="114300" distL="114300" distR="114300">
            <wp:extent cx="5731200" cy="2984500"/>
            <wp:effectExtent b="0" l="0" r="0" t="0"/>
            <wp:docPr id="18"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Pr>
        <w:drawing>
          <wp:inline distB="114300" distT="114300" distL="114300" distR="114300">
            <wp:extent cx="5731200" cy="2959100"/>
            <wp:effectExtent b="0" l="0" r="0" t="0"/>
            <wp:docPr id="14"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jc w:val="cente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Tunisia</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t xml:space="preserve">In the 2013 negative shocking case, we see that again </w:t>
      </w:r>
      <w:r w:rsidDel="00000000" w:rsidR="00000000" w:rsidRPr="00000000">
        <w:rPr>
          <w:rtl w:val="0"/>
        </w:rPr>
        <w:t xml:space="preserve">Tunisia</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Tunisia</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21"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5"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jc w:val="both"/>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Tunisia</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Tunisia</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Tunisia</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Tunisia</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widowControl w:val="0"/>
              <w:spacing w:line="276" w:lineRule="auto"/>
              <w:ind w:left="180"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left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jc w:val="center"/>
              <w:rPr>
                <w:sz w:val="20"/>
                <w:szCs w:val="20"/>
              </w:rPr>
            </w:pPr>
            <w:r w:rsidDel="00000000" w:rsidR="00000000" w:rsidRPr="00000000">
              <w:rPr>
                <w:sz w:val="20"/>
                <w:szCs w:val="20"/>
                <w:rtl w:val="0"/>
              </w:rPr>
              <w:t xml:space="preserve">1</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jc w:val="center"/>
              <w:rPr>
                <w:sz w:val="20"/>
                <w:szCs w:val="20"/>
              </w:rPr>
            </w:pPr>
            <w:r w:rsidDel="00000000" w:rsidR="00000000" w:rsidRPr="00000000">
              <w:rPr>
                <w:sz w:val="20"/>
                <w:szCs w:val="20"/>
                <w:rtl w:val="0"/>
              </w:rPr>
              <w:t xml:space="preserve">2</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jc w:val="center"/>
              <w:rPr>
                <w:sz w:val="20"/>
                <w:szCs w:val="20"/>
              </w:rPr>
            </w:pPr>
            <w:r w:rsidDel="00000000" w:rsidR="00000000" w:rsidRPr="00000000">
              <w:rPr>
                <w:sz w:val="20"/>
                <w:szCs w:val="20"/>
                <w:rtl w:val="0"/>
              </w:rPr>
              <w:t xml:space="preserve">3</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jc w:val="center"/>
              <w:rPr>
                <w:sz w:val="20"/>
                <w:szCs w:val="20"/>
              </w:rPr>
            </w:pPr>
            <w:r w:rsidDel="00000000" w:rsidR="00000000" w:rsidRPr="00000000">
              <w:rPr>
                <w:sz w:val="20"/>
                <w:szCs w:val="20"/>
                <w:rtl w:val="0"/>
              </w:rPr>
              <w:t xml:space="preserve">4</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jc w:val="center"/>
              <w:rPr>
                <w:sz w:val="20"/>
                <w:szCs w:val="20"/>
              </w:rPr>
            </w:pPr>
            <w:r w:rsidDel="00000000" w:rsidR="00000000" w:rsidRPr="00000000">
              <w:rPr>
                <w:sz w:val="20"/>
                <w:szCs w:val="20"/>
                <w:rtl w:val="0"/>
              </w:rPr>
              <w:t xml:space="preserve">5</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jc w:val="center"/>
              <w:rPr>
                <w:sz w:val="20"/>
                <w:szCs w:val="20"/>
              </w:rPr>
            </w:pPr>
            <w:r w:rsidDel="00000000" w:rsidR="00000000" w:rsidRPr="00000000">
              <w:rPr>
                <w:sz w:val="20"/>
                <w:szCs w:val="20"/>
                <w:rtl w:val="0"/>
              </w:rPr>
              <w:t xml:space="preserve">6</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jc w:val="center"/>
              <w:rPr>
                <w:sz w:val="20"/>
                <w:szCs w:val="20"/>
              </w:rPr>
            </w:pPr>
            <w:r w:rsidDel="00000000" w:rsidR="00000000" w:rsidRPr="00000000">
              <w:rPr>
                <w:sz w:val="20"/>
                <w:szCs w:val="20"/>
                <w:rtl w:val="0"/>
              </w:rPr>
              <w:t xml:space="preserve">7</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jc w:val="center"/>
              <w:rPr>
                <w:sz w:val="20"/>
                <w:szCs w:val="20"/>
              </w:rPr>
            </w:pPr>
            <w:r w:rsidDel="00000000" w:rsidR="00000000" w:rsidRPr="00000000">
              <w:rPr>
                <w:sz w:val="20"/>
                <w:szCs w:val="20"/>
                <w:rtl w:val="0"/>
              </w:rPr>
              <w:t xml:space="preserve">8</w:t>
            </w:r>
          </w:p>
        </w:tc>
        <w:tc>
          <w:tcPr>
            <w:tcBorders>
              <w:top w:color="4472c4"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jc w:val="center"/>
              <w:rPr>
                <w:sz w:val="20"/>
                <w:szCs w:val="20"/>
              </w:rPr>
            </w:pPr>
            <w:r w:rsidDel="00000000" w:rsidR="00000000" w:rsidRPr="00000000">
              <w:rPr>
                <w:sz w:val="20"/>
                <w:szCs w:val="20"/>
                <w:rtl w:val="0"/>
              </w:rPr>
              <w:t xml:space="preserve">9</w:t>
            </w:r>
          </w:p>
        </w:tc>
        <w:tc>
          <w:tcPr>
            <w:tcBorders>
              <w:top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jc w:val="center"/>
              <w:rPr>
                <w:sz w:val="20"/>
                <w:szCs w:val="20"/>
              </w:rPr>
            </w:pPr>
            <w:r w:rsidDel="00000000" w:rsidR="00000000" w:rsidRPr="00000000">
              <w:rPr>
                <w:sz w:val="20"/>
                <w:szCs w:val="20"/>
                <w:rtl w:val="0"/>
              </w:rPr>
              <w:t xml:space="preserve">10</w:t>
            </w:r>
          </w:p>
        </w:tc>
        <w:tc>
          <w:tcPr>
            <w:tcBorders>
              <w:top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jc w:val="center"/>
              <w:rPr>
                <w:sz w:val="20"/>
                <w:szCs w:val="20"/>
              </w:rPr>
            </w:pPr>
            <w:r w:rsidDel="00000000" w:rsidR="00000000" w:rsidRPr="00000000">
              <w:rPr>
                <w:sz w:val="20"/>
                <w:szCs w:val="20"/>
                <w:rtl w:val="0"/>
              </w:rPr>
              <w:t xml:space="preserve">11</w:t>
            </w:r>
          </w:p>
        </w:tc>
        <w:tc>
          <w:tcPr>
            <w:tcBorders>
              <w:top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jc w:val="center"/>
              <w:rPr>
                <w:sz w:val="20"/>
                <w:szCs w:val="20"/>
              </w:rPr>
            </w:pPr>
            <w:r w:rsidDel="00000000" w:rsidR="00000000" w:rsidRPr="00000000">
              <w:rPr>
                <w:sz w:val="20"/>
                <w:szCs w:val="20"/>
                <w:rtl w:val="0"/>
              </w:rPr>
              <w:t xml:space="preserve">13</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jc w:val="center"/>
              <w:rPr>
                <w:sz w:val="20"/>
                <w:szCs w:val="20"/>
              </w:rPr>
            </w:pPr>
            <w:r w:rsidDel="00000000" w:rsidR="00000000" w:rsidRPr="00000000">
              <w:rPr>
                <w:sz w:val="20"/>
                <w:szCs w:val="20"/>
                <w:rtl w:val="0"/>
              </w:rPr>
              <w:t xml:space="preserve">14</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jc w:val="center"/>
              <w:rPr>
                <w:sz w:val="20"/>
                <w:szCs w:val="20"/>
              </w:rPr>
            </w:pPr>
            <w:r w:rsidDel="00000000" w:rsidR="00000000" w:rsidRPr="00000000">
              <w:rPr>
                <w:sz w:val="20"/>
                <w:szCs w:val="20"/>
                <w:rtl w:val="0"/>
              </w:rPr>
              <w:t xml:space="preserve">15</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jc w:val="center"/>
              <w:rPr>
                <w:sz w:val="20"/>
                <w:szCs w:val="20"/>
              </w:rPr>
            </w:pPr>
            <w:r w:rsidDel="00000000" w:rsidR="00000000" w:rsidRPr="00000000">
              <w:rPr>
                <w:sz w:val="20"/>
                <w:szCs w:val="20"/>
                <w:rtl w:val="0"/>
              </w:rPr>
              <w:t xml:space="preserve">16</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jc w:val="center"/>
              <w:rPr>
                <w:sz w:val="20"/>
                <w:szCs w:val="20"/>
              </w:rPr>
            </w:pPr>
            <w:r w:rsidDel="00000000" w:rsidR="00000000" w:rsidRPr="00000000">
              <w:rPr>
                <w:sz w:val="20"/>
                <w:szCs w:val="20"/>
                <w:rtl w:val="0"/>
              </w:rPr>
              <w:t xml:space="preserve">17</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jc w:val="center"/>
              <w:rPr>
                <w:sz w:val="20"/>
                <w:szCs w:val="20"/>
              </w:rPr>
            </w:pPr>
            <w:r w:rsidDel="00000000" w:rsidR="00000000" w:rsidRPr="00000000">
              <w:rPr>
                <w:sz w:val="20"/>
                <w:szCs w:val="20"/>
                <w:rtl w:val="0"/>
              </w:rPr>
              <w:t xml:space="preserve">18</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jc w:val="center"/>
              <w:rPr>
                <w:b w:val="1"/>
                <w:bCs w:val="1"/>
                <w:sz w:val="20"/>
                <w:szCs w:val="20"/>
              </w:rPr>
            </w:pPr>
            <w:r w:rsidDel="00000000" w:rsidR="00000000" w:rsidRPr="00000000">
              <w:rPr>
                <w:b w:val="1"/>
                <w:bCs w:val="1"/>
                <w:sz w:val="20"/>
                <w:szCs w:val="20"/>
                <w:rtl w:val="0"/>
              </w:rPr>
              <w:t xml:space="preserve">ECI</w:t>
            </w:r>
          </w:p>
        </w:tc>
        <w:tc>
          <w:tcPr>
            <w:tcBorders>
              <w:top w:color="ff0000"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widowControl w:val="0"/>
              <w:spacing w:line="276" w:lineRule="auto"/>
              <w:ind w:right="-15"/>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left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270" w:right="-285" w:firstLine="0"/>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widowControl w:val="0"/>
              <w:spacing w:line="276" w:lineRule="auto"/>
              <w:ind w:right="-15"/>
              <w:jc w:val="center"/>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right="-15"/>
              <w:jc w:val="center"/>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right="-15"/>
              <w:jc w:val="center"/>
              <w:rPr/>
            </w:pPr>
            <w:r w:rsidDel="00000000" w:rsidR="00000000" w:rsidRPr="00000000">
              <w:rPr>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right="-15"/>
              <w:jc w:val="center"/>
              <w:rPr/>
            </w:pPr>
            <w:r w:rsidDel="00000000" w:rsidR="00000000" w:rsidRPr="00000000">
              <w:rPr>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right="-15"/>
              <w:jc w:val="center"/>
              <w:rPr/>
            </w:pPr>
            <w:r w:rsidDel="00000000" w:rsidR="00000000" w:rsidRPr="00000000">
              <w:rPr>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right="-15"/>
              <w:jc w:val="center"/>
              <w:rPr/>
            </w:pPr>
            <w:r w:rsidDel="00000000" w:rsidR="00000000" w:rsidRPr="00000000">
              <w:rPr>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right="-15"/>
              <w:jc w:val="center"/>
              <w:rPr/>
            </w:pPr>
            <w:r w:rsidDel="00000000" w:rsidR="00000000" w:rsidRPr="00000000">
              <w:rPr>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right="-15"/>
              <w:jc w:val="center"/>
              <w:rPr/>
            </w:pPr>
            <w:r w:rsidDel="00000000" w:rsidR="00000000" w:rsidRPr="00000000">
              <w:rPr>
                <w:sz w:val="20"/>
                <w:szCs w:val="20"/>
                <w:rtl w:val="0"/>
              </w:rPr>
              <w:t xml:space="preserve">8</w:t>
            </w:r>
            <w:r w:rsidDel="00000000" w:rsidR="00000000" w:rsidRPr="00000000">
              <w:rPr>
                <w:rtl w:val="0"/>
              </w:rPr>
            </w:r>
          </w:p>
        </w:tc>
        <w:tc>
          <w:tcPr>
            <w:tcBorders>
              <w:top w:color="4472c4"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right="-15"/>
              <w:jc w:val="center"/>
              <w:rPr/>
            </w:pPr>
            <w:r w:rsidDel="00000000" w:rsidR="00000000" w:rsidRPr="00000000">
              <w:rPr>
                <w:sz w:val="20"/>
                <w:szCs w:val="20"/>
                <w:rtl w:val="0"/>
              </w:rPr>
              <w:t xml:space="preserve">9</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right="-15"/>
              <w:jc w:val="center"/>
              <w:rPr/>
            </w:pPr>
            <w:r w:rsidDel="00000000" w:rsidR="00000000" w:rsidRPr="00000000">
              <w:rPr>
                <w:sz w:val="20"/>
                <w:szCs w:val="20"/>
                <w:rtl w:val="0"/>
              </w:rPr>
              <w:t xml:space="preserve">10</w:t>
            </w:r>
            <w:r w:rsidDel="00000000" w:rsidR="00000000" w:rsidRPr="00000000">
              <w:rPr>
                <w:rtl w:val="0"/>
              </w:rPr>
            </w:r>
          </w:p>
        </w:tc>
        <w:tc>
          <w:tcPr>
            <w:tcBorders>
              <w:top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right="-15"/>
              <w:jc w:val="center"/>
              <w:rPr/>
            </w:pPr>
            <w:r w:rsidDel="00000000" w:rsidR="00000000" w:rsidRPr="00000000">
              <w:rPr>
                <w:sz w:val="20"/>
                <w:szCs w:val="20"/>
                <w:rtl w:val="0"/>
              </w:rPr>
              <w:t xml:space="preserve">11</w:t>
            </w:r>
            <w:r w:rsidDel="00000000" w:rsidR="00000000" w:rsidRPr="00000000">
              <w:rPr>
                <w:rtl w:val="0"/>
              </w:rPr>
            </w:r>
          </w:p>
        </w:tc>
        <w:tc>
          <w:tcPr>
            <w:tcBorders>
              <w:top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right="-15"/>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right="-15"/>
              <w:jc w:val="center"/>
              <w:rPr/>
            </w:pPr>
            <w:r w:rsidDel="00000000" w:rsidR="00000000" w:rsidRPr="00000000">
              <w:rPr>
                <w:sz w:val="20"/>
                <w:szCs w:val="20"/>
                <w:rtl w:val="0"/>
              </w:rPr>
              <w:t xml:space="preserve">13</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right="-15"/>
              <w:jc w:val="center"/>
              <w:rPr/>
            </w:pPr>
            <w:r w:rsidDel="00000000" w:rsidR="00000000" w:rsidRPr="00000000">
              <w:rPr>
                <w:sz w:val="20"/>
                <w:szCs w:val="20"/>
                <w:rtl w:val="0"/>
              </w:rPr>
              <w:t xml:space="preserve">14</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right="-15"/>
              <w:jc w:val="center"/>
              <w:rPr/>
            </w:pPr>
            <w:r w:rsidDel="00000000" w:rsidR="00000000" w:rsidRPr="00000000">
              <w:rPr>
                <w:sz w:val="20"/>
                <w:szCs w:val="20"/>
                <w:rtl w:val="0"/>
              </w:rPr>
              <w:t xml:space="preserve">15</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right="-15"/>
              <w:jc w:val="center"/>
              <w:rPr/>
            </w:pPr>
            <w:r w:rsidDel="00000000" w:rsidR="00000000" w:rsidRPr="00000000">
              <w:rPr>
                <w:sz w:val="20"/>
                <w:szCs w:val="20"/>
                <w:rtl w:val="0"/>
              </w:rPr>
              <w:t xml:space="preserve">16</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right="-15"/>
              <w:jc w:val="center"/>
              <w:rPr/>
            </w:pPr>
            <w:r w:rsidDel="00000000" w:rsidR="00000000" w:rsidRPr="00000000">
              <w:rPr>
                <w:sz w:val="20"/>
                <w:szCs w:val="20"/>
                <w:rtl w:val="0"/>
              </w:rPr>
              <w:t xml:space="preserve">17</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right="-15"/>
              <w:jc w:val="center"/>
              <w:rPr/>
            </w:pPr>
            <w:r w:rsidDel="00000000" w:rsidR="00000000" w:rsidRPr="00000000">
              <w:rPr>
                <w:sz w:val="20"/>
                <w:szCs w:val="20"/>
                <w:rtl w:val="0"/>
              </w:rPr>
              <w:t xml:space="preserve">18</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right="-15"/>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top w:color="ff0000"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Tunisia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Tunisia</w:t>
      </w:r>
      <w:r w:rsidDel="00000000" w:rsidR="00000000" w:rsidRPr="00000000">
        <w:rPr>
          <w:sz w:val="22"/>
          <w:szCs w:val="22"/>
          <w:rtl w:val="0"/>
        </w:rPr>
        <w:t xml:space="preserve">’s Contingency Strategy (2018)</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sz w:val="28"/>
          <w:szCs w:val="28"/>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jc w:val="both"/>
        <w:rPr>
          <w:b w:val="1"/>
          <w:bCs w:val="1"/>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4E9">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B">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4EC">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D">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tcMar>
              <w:top w:w="-44.64" w:type="dxa"/>
              <w:left w:w="-44.64" w:type="dxa"/>
              <w:bottom w:w="-44.64" w:type="dxa"/>
              <w:right w:w="-44.64" w:type="dxa"/>
            </w:tcMar>
            <w:vAlign w:val="center"/>
          </w:tcPr>
          <w:p w:rsidR="00000000" w:rsidDel="00000000" w:rsidP="00000000" w:rsidRDefault="00000000" w:rsidRPr="00000000" w14:paraId="000004EE">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F">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tcMar>
              <w:top w:w="-44.64" w:type="dxa"/>
              <w:left w:w="-44.64" w:type="dxa"/>
              <w:bottom w:w="-44.64" w:type="dxa"/>
              <w:right w:w="-44.64" w:type="dxa"/>
            </w:tcMar>
            <w:vAlign w:val="center"/>
          </w:tcPr>
          <w:p w:rsidR="00000000" w:rsidDel="00000000" w:rsidP="00000000" w:rsidRDefault="00000000" w:rsidRPr="00000000" w14:paraId="000004F0">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Tunisia</w:t>
      </w:r>
      <w:r w:rsidDel="00000000" w:rsidR="00000000" w:rsidRPr="00000000">
        <w:rPr>
          <w:b w:val="1"/>
          <w:bCs w:val="1"/>
          <w:rtl w:val="0"/>
        </w:rPr>
        <w:t xml:space="preserve"> and Its Implications</w:t>
      </w:r>
    </w:p>
    <w:p w:rsidR="00000000" w:rsidDel="00000000" w:rsidP="00000000" w:rsidRDefault="00000000" w:rsidRPr="00000000" w14:paraId="000004F5">
      <w:pPr>
        <w:jc w:val="both"/>
        <w:rPr/>
      </w:pPr>
      <w:r w:rsidDel="00000000" w:rsidR="00000000" w:rsidRPr="00000000">
        <w:rPr>
          <w:rtl w:val="0"/>
        </w:rPr>
        <w:t xml:space="preserve">During the first examined period, </w:t>
      </w:r>
      <w:r w:rsidDel="00000000" w:rsidR="00000000" w:rsidRPr="00000000">
        <w:rPr>
          <w:rtl w:val="0"/>
        </w:rPr>
        <w:t xml:space="preserve">Tunisia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Tunisia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t xml:space="preserve">Specifically, </w:t>
      </w:r>
      <w:r w:rsidDel="00000000" w:rsidR="00000000" w:rsidRPr="00000000">
        <w:rPr>
          <w:rtl w:val="0"/>
        </w:rPr>
        <w:t xml:space="preserve">Tunisia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Tunisia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6448425" cy="2295525"/>
            <wp:effectExtent b="0" l="0" r="0" t="0"/>
            <wp:docPr id="11" name="image24.png"/>
            <a:graphic>
              <a:graphicData uri="http://schemas.openxmlformats.org/drawingml/2006/picture">
                <pic:pic>
                  <pic:nvPicPr>
                    <pic:cNvPr id="0" name="image24.png"/>
                    <pic:cNvPicPr preferRelativeResize="0"/>
                  </pic:nvPicPr>
                  <pic:blipFill>
                    <a:blip r:embed="rId28"/>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Tunisia</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Tunisia</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Tunisia</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2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Tunisia</w:t>
      </w:r>
      <w:r w:rsidDel="00000000" w:rsidR="00000000" w:rsidRPr="00000000">
        <w:rPr>
          <w:sz w:val="22"/>
          <w:szCs w:val="22"/>
          <w:rtl w:val="0"/>
        </w:rPr>
        <w:t xml:space="preserve"> (2019-2021)</w:t>
      </w:r>
    </w:p>
    <w:p w:rsidR="00000000" w:rsidDel="00000000" w:rsidP="00000000" w:rsidRDefault="00000000" w:rsidRPr="00000000" w14:paraId="00000504">
      <w:pPr>
        <w:jc w:val="both"/>
        <w:rPr>
          <w:b w:val="1"/>
          <w:bCs w:val="1"/>
        </w:rPr>
      </w:pPr>
      <w:r w:rsidDel="00000000" w:rsidR="00000000" w:rsidRPr="00000000">
        <w:rPr>
          <w:rtl w:val="0"/>
        </w:rPr>
      </w:r>
    </w:p>
    <w:p w:rsidR="00000000" w:rsidDel="00000000" w:rsidP="00000000" w:rsidRDefault="00000000" w:rsidRPr="00000000" w14:paraId="00000505">
      <w:pPr>
        <w:jc w:val="both"/>
        <w:rPr>
          <w:b w:val="1"/>
          <w:bCs w:val="1"/>
        </w:rPr>
      </w:pPr>
      <w:r w:rsidDel="00000000" w:rsidR="00000000" w:rsidRPr="00000000">
        <w:rPr>
          <w:rtl w:val="0"/>
        </w:rPr>
      </w:r>
    </w:p>
    <w:p w:rsidR="00000000" w:rsidDel="00000000" w:rsidP="00000000" w:rsidRDefault="00000000" w:rsidRPr="00000000" w14:paraId="00000506">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In conclusion, </w:t>
      </w:r>
      <w:r w:rsidDel="00000000" w:rsidR="00000000" w:rsidRPr="00000000">
        <w:rPr>
          <w:rtl w:val="0"/>
        </w:rPr>
        <w:t xml:space="preserve">Tunisia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Tunisia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Tunisia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Tunisia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Tunisia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Tunisia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jc w:val="both"/>
        <w:rPr>
          <w:b w:val="1"/>
          <w:bCs w:val="1"/>
          <w:sz w:val="28"/>
          <w:szCs w:val="28"/>
        </w:rPr>
      </w:pPr>
      <w:r w:rsidDel="00000000" w:rsidR="00000000" w:rsidRPr="00000000">
        <w:rPr>
          <w:rtl w:val="0"/>
        </w:rPr>
      </w:r>
    </w:p>
    <w:p w:rsidR="00000000" w:rsidDel="00000000" w:rsidP="00000000" w:rsidRDefault="00000000" w:rsidRPr="00000000" w14:paraId="00000517">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518">
      <w:pPr>
        <w:jc w:val="both"/>
        <w:rPr>
          <w:highlight w:val="white"/>
        </w:rPr>
      </w:pPr>
      <w:r w:rsidDel="00000000" w:rsidR="00000000" w:rsidRPr="00000000">
        <w:rPr>
          <w:rtl w:val="0"/>
        </w:rPr>
      </w:r>
    </w:p>
    <w:p w:rsidR="00000000" w:rsidDel="00000000" w:rsidP="00000000" w:rsidRDefault="00000000" w:rsidRPr="00000000" w14:paraId="00000519">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51A">
      <w:pPr>
        <w:jc w:val="both"/>
        <w:rPr>
          <w:highlight w:val="white"/>
        </w:rPr>
      </w:pPr>
      <w:r w:rsidDel="00000000" w:rsidR="00000000" w:rsidRPr="00000000">
        <w:rPr>
          <w:rtl w:val="0"/>
        </w:rPr>
      </w:r>
    </w:p>
    <w:p w:rsidR="00000000" w:rsidDel="00000000" w:rsidP="00000000" w:rsidRDefault="00000000" w:rsidRPr="00000000" w14:paraId="0000051B">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jc w:val="both"/>
        <w:rPr>
          <w:highlight w:val="white"/>
        </w:rPr>
      </w:pPr>
      <w:r w:rsidDel="00000000" w:rsidR="00000000" w:rsidRPr="00000000">
        <w:rPr>
          <w:rtl w:val="0"/>
        </w:rPr>
      </w:r>
    </w:p>
    <w:p w:rsidR="00000000" w:rsidDel="00000000" w:rsidP="00000000" w:rsidRDefault="00000000" w:rsidRPr="00000000" w14:paraId="0000051D">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51E">
      <w:pPr>
        <w:jc w:val="both"/>
        <w:rPr>
          <w:highlight w:val="white"/>
        </w:rPr>
      </w:pPr>
      <w:r w:rsidDel="00000000" w:rsidR="00000000" w:rsidRPr="00000000">
        <w:rPr>
          <w:rtl w:val="0"/>
        </w:rPr>
      </w:r>
    </w:p>
    <w:p w:rsidR="00000000" w:rsidDel="00000000" w:rsidP="00000000" w:rsidRDefault="00000000" w:rsidRPr="00000000" w14:paraId="0000051F">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520">
      <w:pPr>
        <w:jc w:val="both"/>
        <w:rPr>
          <w:highlight w:val="white"/>
        </w:rPr>
      </w:pPr>
      <w:r w:rsidDel="00000000" w:rsidR="00000000" w:rsidRPr="00000000">
        <w:rPr>
          <w:rtl w:val="0"/>
        </w:rPr>
      </w:r>
    </w:p>
    <w:p w:rsidR="00000000" w:rsidDel="00000000" w:rsidP="00000000" w:rsidRDefault="00000000" w:rsidRPr="00000000" w14:paraId="00000521">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jc w:val="both"/>
        <w:rPr>
          <w:highlight w:val="white"/>
        </w:rPr>
      </w:pPr>
      <w:r w:rsidDel="00000000" w:rsidR="00000000" w:rsidRPr="00000000">
        <w:rPr>
          <w:rtl w:val="0"/>
        </w:rPr>
      </w:r>
    </w:p>
    <w:p w:rsidR="00000000" w:rsidDel="00000000" w:rsidP="00000000" w:rsidRDefault="00000000" w:rsidRPr="00000000" w14:paraId="00000523">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jc w:val="both"/>
        <w:rPr>
          <w:highlight w:val="white"/>
        </w:rPr>
      </w:pPr>
      <w:r w:rsidDel="00000000" w:rsidR="00000000" w:rsidRPr="00000000">
        <w:rPr>
          <w:rtl w:val="0"/>
        </w:rPr>
      </w:r>
    </w:p>
    <w:p w:rsidR="00000000" w:rsidDel="00000000" w:rsidP="00000000" w:rsidRDefault="00000000" w:rsidRPr="00000000" w14:paraId="00000525">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jc w:val="both"/>
        <w:rPr/>
      </w:pPr>
      <w:r w:rsidDel="00000000" w:rsidR="00000000" w:rsidRPr="00000000">
        <w:rPr>
          <w:rtl w:val="0"/>
        </w:rPr>
      </w:r>
    </w:p>
    <w:sectPr>
      <w:headerReference r:id="rId30" w:type="default"/>
      <w:footerReference r:id="rId31" w:type="default"/>
      <w:footerReference r:id="rId32" w:type="first"/>
      <w:footerReference r:id="rId33"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529">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C">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12.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jpg"/><Relationship Id="rId25" Type="http://schemas.openxmlformats.org/officeDocument/2006/relationships/image" Target="media/image14.jpg"/><Relationship Id="rId28" Type="http://schemas.openxmlformats.org/officeDocument/2006/relationships/image" Target="media/image2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5.png"/><Relationship Id="rId7" Type="http://schemas.openxmlformats.org/officeDocument/2006/relationships/image" Target="media/image23.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6.png"/><Relationship Id="rId33" Type="http://schemas.openxmlformats.org/officeDocument/2006/relationships/footer" Target="footer2.xml"/><Relationship Id="rId10" Type="http://schemas.openxmlformats.org/officeDocument/2006/relationships/image" Target="media/image7.png"/><Relationship Id="rId32" Type="http://schemas.openxmlformats.org/officeDocument/2006/relationships/footer" Target="footer3.xml"/><Relationship Id="rId13" Type="http://schemas.openxmlformats.org/officeDocument/2006/relationships/image" Target="media/image19.png"/><Relationship Id="rId12" Type="http://schemas.openxmlformats.org/officeDocument/2006/relationships/image" Target="media/image4.png"/><Relationship Id="rId15" Type="http://schemas.openxmlformats.org/officeDocument/2006/relationships/image" Target="media/image21.png"/><Relationship Id="rId14" Type="http://schemas.openxmlformats.org/officeDocument/2006/relationships/image" Target="media/image22.png"/><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13.jp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