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F3" w:rsidRDefault="0064143A">
      <w:pPr>
        <w:rPr>
          <w:u w:val="single"/>
        </w:rPr>
      </w:pPr>
      <w:r>
        <w:rPr>
          <w:u w:val="single"/>
        </w:rPr>
        <w:t>Indices used as benchmarks by Vanguard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143A" w:rsidRPr="0064143A" w:rsidTr="0064143A">
        <w:tc>
          <w:tcPr>
            <w:tcW w:w="4675" w:type="dxa"/>
          </w:tcPr>
          <w:p w:rsidR="0064143A" w:rsidRPr="0064143A" w:rsidRDefault="0064143A">
            <w:pPr>
              <w:rPr>
                <w:b/>
              </w:rPr>
            </w:pPr>
            <w:r>
              <w:rPr>
                <w:b/>
              </w:rPr>
              <w:t>Vanguard index fund/ETF</w:t>
            </w:r>
          </w:p>
        </w:tc>
        <w:tc>
          <w:tcPr>
            <w:tcW w:w="4675" w:type="dxa"/>
          </w:tcPr>
          <w:p w:rsidR="0064143A" w:rsidRPr="0064143A" w:rsidRDefault="0064143A">
            <w:pPr>
              <w:rPr>
                <w:b/>
              </w:rPr>
            </w:pPr>
            <w:r>
              <w:rPr>
                <w:b/>
              </w:rPr>
              <w:t>Index benchmark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Total bond market</w:t>
            </w:r>
          </w:p>
        </w:tc>
        <w:tc>
          <w:tcPr>
            <w:tcW w:w="4675" w:type="dxa"/>
          </w:tcPr>
          <w:p w:rsidR="0064143A" w:rsidRDefault="0064143A">
            <w:r>
              <w:rPr>
                <w:rStyle w:val="comp-div"/>
              </w:rPr>
              <w:t>Bloomberg Barclays U.S. Aggregate Bond Index through December 31, 2009; Bloomberg Barclays U.S. Aggregate Float Adjusted Index thereafter.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Total international bond market</w:t>
            </w:r>
          </w:p>
        </w:tc>
        <w:tc>
          <w:tcPr>
            <w:tcW w:w="4675" w:type="dxa"/>
          </w:tcPr>
          <w:p w:rsidR="0064143A" w:rsidRDefault="0064143A">
            <w:proofErr w:type="spellStart"/>
            <w:r>
              <w:rPr>
                <w:rStyle w:val="comp-tabbox"/>
              </w:rPr>
              <w:t>BloomBarc</w:t>
            </w:r>
            <w:proofErr w:type="spellEnd"/>
            <w:r>
              <w:rPr>
                <w:rStyle w:val="comp-tabbox"/>
              </w:rPr>
              <w:t xml:space="preserve"> GA ex-USD </w:t>
            </w:r>
            <w:proofErr w:type="spellStart"/>
            <w:r>
              <w:rPr>
                <w:rStyle w:val="comp-tabbox"/>
              </w:rPr>
              <w:t>FlAdjRIC</w:t>
            </w:r>
            <w:proofErr w:type="spellEnd"/>
            <w:r>
              <w:rPr>
                <w:rStyle w:val="comp-tabbox"/>
              </w:rPr>
              <w:t xml:space="preserve"> </w:t>
            </w:r>
            <w:proofErr w:type="spellStart"/>
            <w:r>
              <w:rPr>
                <w:rStyle w:val="comp-tabbox"/>
              </w:rPr>
              <w:t>Cp</w:t>
            </w:r>
            <w:proofErr w:type="spellEnd"/>
            <w:r>
              <w:rPr>
                <w:rStyle w:val="comp-tabbox"/>
              </w:rPr>
              <w:t xml:space="preserve"> </w:t>
            </w:r>
            <w:proofErr w:type="spellStart"/>
            <w:r>
              <w:rPr>
                <w:rStyle w:val="comp-tabbox"/>
              </w:rPr>
              <w:t>Hgd</w:t>
            </w:r>
            <w:proofErr w:type="spellEnd"/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Total international stock market</w:t>
            </w:r>
          </w:p>
        </w:tc>
        <w:tc>
          <w:tcPr>
            <w:tcW w:w="4675" w:type="dxa"/>
          </w:tcPr>
          <w:p w:rsidR="0064143A" w:rsidRDefault="0064143A">
            <w:r>
              <w:rPr>
                <w:rStyle w:val="comp-div"/>
              </w:rPr>
              <w:t>Total International Composite Index through August 31, 2006; MSCI EAFE + Emerging Markets Index through December 15, 2010; MSCI ACWI ex USA IMI Index through June 2, 2013; and FTSE Global All Cap ex US Index thereafter.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Total stock market</w:t>
            </w:r>
          </w:p>
        </w:tc>
        <w:tc>
          <w:tcPr>
            <w:tcW w:w="4675" w:type="dxa"/>
          </w:tcPr>
          <w:p w:rsidR="0064143A" w:rsidRDefault="0064143A">
            <w:r>
              <w:t xml:space="preserve">Spliced Total Stock Market Index: </w:t>
            </w:r>
            <w:r>
              <w:rPr>
                <w:rStyle w:val="comp-div"/>
              </w:rPr>
              <w:t>Dow Jones U.S. Total Stock Market Index (formerly known as the Dow Jones Wilshire 5000 Index) through April 22, 2005; MSCI US Broad Market Index through June 2, 2013; and CRSP US Total Market Index thereafter.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Municipal money market</w:t>
            </w:r>
          </w:p>
        </w:tc>
        <w:tc>
          <w:tcPr>
            <w:tcW w:w="4675" w:type="dxa"/>
          </w:tcPr>
          <w:p w:rsidR="0064143A" w:rsidRDefault="0064143A">
            <w:r>
              <w:t>Tax-Exempt Money Market Funds Average from Lipper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Prime money market</w:t>
            </w:r>
          </w:p>
        </w:tc>
        <w:tc>
          <w:tcPr>
            <w:tcW w:w="4675" w:type="dxa"/>
          </w:tcPr>
          <w:p w:rsidR="0064143A" w:rsidRDefault="0064143A">
            <w:r>
              <w:t>Money Market Funds Average from Lipper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Intermediate-term investment grade bonds</w:t>
            </w:r>
          </w:p>
        </w:tc>
        <w:tc>
          <w:tcPr>
            <w:tcW w:w="4675" w:type="dxa"/>
          </w:tcPr>
          <w:p w:rsidR="0064143A" w:rsidRDefault="0064143A">
            <w:proofErr w:type="spellStart"/>
            <w:r>
              <w:rPr>
                <w:rStyle w:val="comp-tabbox"/>
              </w:rPr>
              <w:t>BloomBarc</w:t>
            </w:r>
            <w:proofErr w:type="spellEnd"/>
            <w:r>
              <w:rPr>
                <w:rStyle w:val="comp-tabbox"/>
              </w:rPr>
              <w:t xml:space="preserve"> US 5-10 Year Credit Index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Short-term inflation protected securities</w:t>
            </w:r>
          </w:p>
        </w:tc>
        <w:tc>
          <w:tcPr>
            <w:tcW w:w="4675" w:type="dxa"/>
          </w:tcPr>
          <w:p w:rsidR="0064143A" w:rsidRDefault="0064143A">
            <w:pPr>
              <w:rPr>
                <w:rStyle w:val="comp-tabbox"/>
              </w:rPr>
            </w:pPr>
            <w:proofErr w:type="spellStart"/>
            <w:r>
              <w:rPr>
                <w:rStyle w:val="comp-tabbox"/>
              </w:rPr>
              <w:t>BloomBarc</w:t>
            </w:r>
            <w:proofErr w:type="spellEnd"/>
            <w:r>
              <w:rPr>
                <w:rStyle w:val="comp-tabbox"/>
              </w:rPr>
              <w:t xml:space="preserve"> US 0-5 Year TIPS Index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Short-term investment grade</w:t>
            </w:r>
          </w:p>
        </w:tc>
        <w:tc>
          <w:tcPr>
            <w:tcW w:w="4675" w:type="dxa"/>
          </w:tcPr>
          <w:p w:rsidR="0064143A" w:rsidRDefault="0064143A">
            <w:pPr>
              <w:rPr>
                <w:rStyle w:val="comp-tabbox"/>
              </w:rPr>
            </w:pPr>
            <w:proofErr w:type="spellStart"/>
            <w:r>
              <w:rPr>
                <w:rStyle w:val="comp-tabbox"/>
              </w:rPr>
              <w:t>BloomBarc</w:t>
            </w:r>
            <w:proofErr w:type="spellEnd"/>
            <w:r>
              <w:rPr>
                <w:rStyle w:val="comp-tabbox"/>
              </w:rPr>
              <w:t xml:space="preserve"> US 1-5 Year Credit Index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Short-term tax-exempt</w:t>
            </w:r>
          </w:p>
        </w:tc>
        <w:tc>
          <w:tcPr>
            <w:tcW w:w="4675" w:type="dxa"/>
          </w:tcPr>
          <w:p w:rsidR="0064143A" w:rsidRDefault="0064143A">
            <w:pPr>
              <w:rPr>
                <w:rStyle w:val="comp-tabbox"/>
              </w:rPr>
            </w:pPr>
            <w:proofErr w:type="spellStart"/>
            <w:r>
              <w:rPr>
                <w:rStyle w:val="comp-tabbox"/>
              </w:rPr>
              <w:t>BloomBarc</w:t>
            </w:r>
            <w:proofErr w:type="spellEnd"/>
            <w:r>
              <w:rPr>
                <w:rStyle w:val="comp-tabbox"/>
              </w:rPr>
              <w:t xml:space="preserve"> 1 Year Municipal Index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Balanced index</w:t>
            </w:r>
          </w:p>
        </w:tc>
        <w:tc>
          <w:tcPr>
            <w:tcW w:w="4675" w:type="dxa"/>
          </w:tcPr>
          <w:p w:rsidR="0064143A" w:rsidRDefault="0064143A">
            <w:pPr>
              <w:rPr>
                <w:rStyle w:val="comp-tabbox"/>
              </w:rPr>
            </w:pPr>
            <w:r>
              <w:rPr>
                <w:rStyle w:val="comp-div"/>
              </w:rPr>
              <w:t>Weighted 60% Dow Jones U.S. Total Stock Market Index (formerly known as the Dow Jones Wilshire 5000 Index) and 40% Lehman Brothers U.S. Aggregate Bond Index through May 31, 2005; 60% MSCI US Broad Market Index and 40% Bloomberg Barclays U.S. Aggregate Bond Index through December 31, 2009; 60% MSCI US Broad Market Index and 40% Bloomberg Barclays U.S. Aggregate Float Adjusted Index through January 14, 2013; and 60% CRSP US Total Market Index and 40% Bloomberg Barclays U.S. Aggregate Float Adjusted Index thereafter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500 Index</w:t>
            </w:r>
          </w:p>
        </w:tc>
        <w:tc>
          <w:tcPr>
            <w:tcW w:w="4675" w:type="dxa"/>
          </w:tcPr>
          <w:p w:rsidR="0064143A" w:rsidRDefault="0064143A">
            <w:pPr>
              <w:rPr>
                <w:rStyle w:val="comp-div"/>
              </w:rPr>
            </w:pPr>
            <w:r>
              <w:rPr>
                <w:rStyle w:val="comp-div"/>
              </w:rPr>
              <w:t>S&amp;P 500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Mid-Cap Index</w:t>
            </w:r>
          </w:p>
        </w:tc>
        <w:tc>
          <w:tcPr>
            <w:tcW w:w="4675" w:type="dxa"/>
          </w:tcPr>
          <w:p w:rsidR="0064143A" w:rsidRDefault="0064143A">
            <w:pPr>
              <w:rPr>
                <w:rStyle w:val="comp-div"/>
              </w:rPr>
            </w:pPr>
            <w:r>
              <w:rPr>
                <w:rStyle w:val="comp-tabbox"/>
              </w:rPr>
              <w:t>Spliced Mid Cap Index</w:t>
            </w:r>
            <w:r>
              <w:rPr>
                <w:rStyle w:val="comp-tabbox"/>
              </w:rPr>
              <w:t xml:space="preserve">: </w:t>
            </w:r>
            <w:r>
              <w:rPr>
                <w:rStyle w:val="comp-div"/>
              </w:rPr>
              <w:t xml:space="preserve">S&amp;P </w:t>
            </w:r>
            <w:proofErr w:type="spellStart"/>
            <w:r>
              <w:rPr>
                <w:rStyle w:val="comp-div"/>
              </w:rPr>
              <w:t>MidCap</w:t>
            </w:r>
            <w:proofErr w:type="spellEnd"/>
            <w:r>
              <w:rPr>
                <w:rStyle w:val="comp-div"/>
              </w:rPr>
              <w:t xml:space="preserve"> 400 Index through May 16, 2003; MSCI US Mid Cap 450 Index through January 30, 2013; CRSP US Mid Cap Index thereafter.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t>Small-Cap Index</w:t>
            </w:r>
          </w:p>
        </w:tc>
        <w:tc>
          <w:tcPr>
            <w:tcW w:w="4675" w:type="dxa"/>
          </w:tcPr>
          <w:p w:rsidR="0064143A" w:rsidRDefault="0064143A">
            <w:pPr>
              <w:rPr>
                <w:rStyle w:val="comp-tabbox"/>
              </w:rPr>
            </w:pPr>
            <w:r>
              <w:rPr>
                <w:rStyle w:val="comp-tabbox"/>
              </w:rPr>
              <w:t>Spliced Small Cap Index</w:t>
            </w:r>
            <w:r>
              <w:rPr>
                <w:rStyle w:val="comp-tabbox"/>
              </w:rPr>
              <w:t xml:space="preserve">: </w:t>
            </w:r>
            <w:r>
              <w:rPr>
                <w:rStyle w:val="comp-div"/>
              </w:rPr>
              <w:t>Russell 2000 Index through May 16, 2003; MSCI US Small Cap 1750 Index through January 30, 2013; CRSP US Small Cap Index thereafter.</w:t>
            </w:r>
          </w:p>
        </w:tc>
      </w:tr>
      <w:tr w:rsidR="0064143A" w:rsidTr="0064143A">
        <w:tc>
          <w:tcPr>
            <w:tcW w:w="4675" w:type="dxa"/>
          </w:tcPr>
          <w:p w:rsidR="0064143A" w:rsidRDefault="0064143A">
            <w:r>
              <w:lastRenderedPageBreak/>
              <w:t>Emerging markets stock index</w:t>
            </w:r>
          </w:p>
        </w:tc>
        <w:tc>
          <w:tcPr>
            <w:tcW w:w="4675" w:type="dxa"/>
          </w:tcPr>
          <w:p w:rsidR="0064143A" w:rsidRDefault="0064143A">
            <w:pPr>
              <w:rPr>
                <w:rStyle w:val="comp-tabbox"/>
              </w:rPr>
            </w:pPr>
            <w:r>
              <w:rPr>
                <w:rStyle w:val="comp-tabbox"/>
              </w:rPr>
              <w:t>Spliced Emerging Markets Index</w:t>
            </w:r>
            <w:r>
              <w:rPr>
                <w:rStyle w:val="comp-tabbox"/>
              </w:rPr>
              <w:t xml:space="preserve">: </w:t>
            </w:r>
            <w:r>
              <w:rPr>
                <w:rStyle w:val="comp-div"/>
              </w:rPr>
              <w:t>Select Emerging Markets Index through August 23, 2006; MSCI Emerging Markets Index through January 9, 2013; FTSE Emerging Transition Index through June 27, 2013; FTSE Emerging Index through November 1, 2015; FTSE Emerging Markets All Cap China A Transition Index through September 18, 2016; and FTSE Emerging Markets All Cap China A Inclusion Index thereafter.</w:t>
            </w:r>
            <w:bookmarkStart w:id="0" w:name="_GoBack"/>
            <w:bookmarkEnd w:id="0"/>
          </w:p>
        </w:tc>
      </w:tr>
    </w:tbl>
    <w:p w:rsidR="0064143A" w:rsidRPr="0064143A" w:rsidRDefault="0064143A"/>
    <w:sectPr w:rsidR="0064143A" w:rsidRPr="0064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43A"/>
    <w:rsid w:val="0064143A"/>
    <w:rsid w:val="006E2B13"/>
    <w:rsid w:val="00F2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2DB78-70C2-4789-BB7D-9C6EE477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p-div">
    <w:name w:val="comp-div"/>
    <w:basedOn w:val="DefaultParagraphFont"/>
    <w:rsid w:val="0064143A"/>
  </w:style>
  <w:style w:type="character" w:customStyle="1" w:styleId="comp-tabbox">
    <w:name w:val="comp-tabbox"/>
    <w:basedOn w:val="DefaultParagraphFont"/>
    <w:rsid w:val="0064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Student User</cp:lastModifiedBy>
  <cp:revision>1</cp:revision>
  <dcterms:created xsi:type="dcterms:W3CDTF">2018-04-30T02:14:00Z</dcterms:created>
  <dcterms:modified xsi:type="dcterms:W3CDTF">2018-04-30T02:28:00Z</dcterms:modified>
</cp:coreProperties>
</file>