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2545"/>
          <w:sz w:val="36"/>
        </w:rPr>
        <w:t>RIVERBEND ORTHOPEDIC CLINIC</w:t>
      </w:r>
    </w:p>
    <w:p>
      <w:r>
        <w:rPr>
          <w:rFonts w:ascii="Arial" w:hAnsi="Arial"/>
          <w:b/>
          <w:sz w:val="26"/>
        </w:rPr>
        <w:t>Treatment Summary — Attorney Copy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Arial" w:hAnsi="Arial"/>
                <w:b/>
                <w:sz w:val="22"/>
              </w:rPr>
              <w:t>Patient</w:t>
            </w:r>
          </w:p>
        </w:tc>
        <w:tc>
          <w:tcPr>
            <w:tcW w:type="dxa" w:w="6660"/>
          </w:tcPr>
          <w:p>
            <w:r>
              <w:rPr>
                <w:rFonts w:ascii="Arial" w:hAnsi="Arial"/>
                <w:b w:val="0"/>
                <w:sz w:val="22"/>
              </w:rPr>
              <w:t>Elena Rivera (fictional)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Arial" w:hAnsi="Arial"/>
                <w:b/>
                <w:sz w:val="22"/>
              </w:rPr>
              <w:t>Record number</w:t>
            </w:r>
          </w:p>
        </w:tc>
        <w:tc>
          <w:tcPr>
            <w:tcW w:type="dxa" w:w="6660"/>
          </w:tcPr>
          <w:p>
            <w:r>
              <w:rPr>
                <w:rFonts w:ascii="Arial" w:hAnsi="Arial"/>
                <w:b w:val="0"/>
                <w:sz w:val="22"/>
              </w:rPr>
              <w:t>SYN-44721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Arial" w:hAnsi="Arial"/>
                <w:b/>
                <w:sz w:val="22"/>
              </w:rPr>
              <w:t>Date of birth</w:t>
            </w:r>
          </w:p>
        </w:tc>
        <w:tc>
          <w:tcPr>
            <w:tcW w:type="dxa" w:w="6660"/>
          </w:tcPr>
          <w:p>
            <w:r>
              <w:rPr>
                <w:rFonts w:ascii="Arial" w:hAnsi="Arial"/>
                <w:b w:val="0"/>
                <w:sz w:val="22"/>
              </w:rPr>
              <w:t>September 9, 1987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Arial" w:hAnsi="Arial"/>
                <w:b/>
                <w:sz w:val="22"/>
              </w:rPr>
              <w:t>Date of service</w:t>
            </w:r>
          </w:p>
        </w:tc>
        <w:tc>
          <w:tcPr>
            <w:tcW w:type="dxa" w:w="6660"/>
          </w:tcPr>
          <w:p>
            <w:r>
              <w:rPr>
                <w:rFonts w:ascii="Arial" w:hAnsi="Arial"/>
                <w:b w:val="0"/>
                <w:sz w:val="22"/>
              </w:rPr>
              <w:t>March 12, 2025</w:t>
            </w:r>
          </w:p>
        </w:tc>
      </w:tr>
    </w:tbl>
    <w:p>
      <w:pPr>
        <w:pStyle w:val="Heading1"/>
      </w:pPr>
      <w:r>
        <w:t>History</w:t>
      </w:r>
    </w:p>
    <w:p>
      <w:r>
        <w:t>Elena Rivera reported that a Northstar Logistics delivery van struck the rear passenger side of her vehicle at approximately 8:14 a.m. on March 12, 2025.</w:t>
      </w:r>
    </w:p>
    <w:p>
      <w:r>
        <w:t>She reported immediate neck pain, right-shoulder pain, and a headache; she denied loss of consciousness.</w:t>
      </w:r>
    </w:p>
    <w:p>
      <w:pPr>
        <w:pStyle w:val="Heading1"/>
      </w:pPr>
      <w:r>
        <w:t>Assessment and plan</w:t>
      </w:r>
    </w:p>
    <w:p>
      <w:r>
        <w:t>Dr. Miriam Chen assessed an acute cervical strain and right-shoulder contusion.</w:t>
      </w:r>
    </w:p>
    <w:p>
      <w:r>
        <w:t>The plan was naproxen as tolerated, physical therapy twice weekly for six weeks, and reevaluation on April 23, 2025.</w:t>
      </w:r>
    </w:p>
    <w:p>
      <w:pPr>
        <w:pStyle w:val="Heading1"/>
      </w:pPr>
      <w:r>
        <w:t>Charges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2160"/>
        <w:gridCol w:w="2160"/>
      </w:tblGrid>
      <w:tr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  <w:sz w:val="22"/>
              </w:rPr>
              <w:t>Service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  <w:sz w:val="22"/>
              </w:rPr>
              <w:t>Charge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Initial examination and radiographs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  <w:t>03/12/2025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  <w:t>$1,840.00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Physical therapy — 12 visits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  <w:t>03/17–04/21/2025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  <w:t>$2,760.00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2"/>
              </w:rPr>
              <w:t>Follow-up examination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  <w:t>04/23/2025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2"/>
              </w:rPr>
              <w:t>$420.00</w:t>
            </w:r>
          </w:p>
        </w:tc>
      </w:tr>
    </w:tbl>
    <w:p>
      <w:pPr>
        <w:jc w:val="right"/>
      </w:pPr>
      <w:r>
        <w:rPr>
          <w:rFonts w:ascii="Arial" w:hAnsi="Arial"/>
          <w:b/>
          <w:sz w:val="22"/>
        </w:rPr>
        <w:t>Total billed: $5,020.00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sz w:val="18"/>
      </w:rPr>
      <w:t>Synthetic QA fixture | Rivera v. Northstar Logistics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8"/>
      </w:rPr>
      <w:t>SYNTHETIC TEST RECORD — NOT A REAL PATIENT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