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04F" w:rsidRPr="002231FF" w:rsidRDefault="00BC5FA2" w:rsidP="00BC5FA2">
      <w:pPr>
        <w:jc w:val="center"/>
        <w:rPr>
          <w:rFonts w:ascii="Arial" w:hAnsi="Arial" w:cs="Arial"/>
          <w:b/>
          <w:color w:val="7030A0"/>
          <w:sz w:val="24"/>
          <w:szCs w:val="24"/>
        </w:rPr>
      </w:pPr>
      <w:r w:rsidRPr="002231FF">
        <w:rPr>
          <w:rFonts w:ascii="Arial" w:hAnsi="Arial" w:cs="Arial"/>
          <w:b/>
          <w:color w:val="7030A0"/>
          <w:sz w:val="24"/>
          <w:szCs w:val="24"/>
        </w:rPr>
        <w:t xml:space="preserve">Presenting the Results of a </w:t>
      </w:r>
      <w:proofErr w:type="spellStart"/>
      <w:r w:rsidRPr="002231FF">
        <w:rPr>
          <w:rFonts w:ascii="Arial" w:hAnsi="Arial" w:cs="Arial"/>
          <w:b/>
          <w:color w:val="7030A0"/>
          <w:sz w:val="24"/>
          <w:szCs w:val="24"/>
        </w:rPr>
        <w:t>Potthoff</w:t>
      </w:r>
      <w:proofErr w:type="spellEnd"/>
      <w:r w:rsidRPr="002231FF">
        <w:rPr>
          <w:rFonts w:ascii="Arial" w:hAnsi="Arial" w:cs="Arial"/>
          <w:b/>
          <w:color w:val="7030A0"/>
          <w:sz w:val="24"/>
          <w:szCs w:val="24"/>
        </w:rPr>
        <w:t xml:space="preserve"> Analysis</w:t>
      </w:r>
    </w:p>
    <w:p w:rsidR="00031940" w:rsidRPr="002231FF" w:rsidRDefault="00031940">
      <w:pPr>
        <w:rPr>
          <w:rFonts w:ascii="Arial" w:hAnsi="Arial" w:cs="Arial"/>
          <w:sz w:val="24"/>
          <w:szCs w:val="24"/>
        </w:rPr>
      </w:pPr>
      <w:r w:rsidRPr="002231FF">
        <w:rPr>
          <w:rFonts w:ascii="Arial" w:hAnsi="Arial" w:cs="Arial"/>
          <w:sz w:val="24"/>
          <w:szCs w:val="24"/>
        </w:rPr>
        <w:tab/>
        <w:t>Subjects were undergraduate students at East Carolina University who participated in th</w:t>
      </w:r>
      <w:r w:rsidR="00BC5FA2" w:rsidRPr="002231FF">
        <w:rPr>
          <w:rFonts w:ascii="Arial" w:hAnsi="Arial" w:cs="Arial"/>
          <w:sz w:val="24"/>
          <w:szCs w:val="24"/>
        </w:rPr>
        <w:t>is</w:t>
      </w:r>
      <w:r w:rsidRPr="002231FF">
        <w:rPr>
          <w:rFonts w:ascii="Arial" w:hAnsi="Arial" w:cs="Arial"/>
          <w:sz w:val="24"/>
          <w:szCs w:val="24"/>
        </w:rPr>
        <w:t xml:space="preserve"> research to satisfy, in part, the research participation requirement for an introductory course in </w:t>
      </w:r>
      <w:r w:rsidR="00BC5FA2" w:rsidRPr="002231FF">
        <w:rPr>
          <w:rFonts w:ascii="Arial" w:hAnsi="Arial" w:cs="Arial"/>
          <w:sz w:val="24"/>
          <w:szCs w:val="24"/>
        </w:rPr>
        <w:t>p</w:t>
      </w:r>
      <w:r w:rsidRPr="002231FF">
        <w:rPr>
          <w:rFonts w:ascii="Arial" w:hAnsi="Arial" w:cs="Arial"/>
          <w:sz w:val="24"/>
          <w:szCs w:val="24"/>
        </w:rPr>
        <w:t xml:space="preserve">sychology.  Students completed </w:t>
      </w:r>
      <w:proofErr w:type="spellStart"/>
      <w:r w:rsidRPr="002231FF">
        <w:rPr>
          <w:rFonts w:ascii="Arial" w:hAnsi="Arial" w:cs="Arial"/>
          <w:sz w:val="24"/>
          <w:szCs w:val="24"/>
        </w:rPr>
        <w:t>Wuensch’s</w:t>
      </w:r>
      <w:proofErr w:type="spellEnd"/>
      <w:r w:rsidRPr="002231FF">
        <w:rPr>
          <w:rFonts w:ascii="Arial" w:hAnsi="Arial" w:cs="Arial"/>
          <w:sz w:val="24"/>
          <w:szCs w:val="24"/>
        </w:rPr>
        <w:t xml:space="preserve"> measure of attitudes about animal rights (AR), </w:t>
      </w:r>
      <w:proofErr w:type="spellStart"/>
      <w:r w:rsidRPr="002231FF">
        <w:rPr>
          <w:rFonts w:ascii="Arial" w:hAnsi="Arial" w:cs="Arial"/>
          <w:sz w:val="24"/>
          <w:szCs w:val="24"/>
        </w:rPr>
        <w:t>Wuensch’s</w:t>
      </w:r>
      <w:proofErr w:type="spellEnd"/>
      <w:r w:rsidRPr="002231FF">
        <w:rPr>
          <w:rFonts w:ascii="Arial" w:hAnsi="Arial" w:cs="Arial"/>
          <w:sz w:val="24"/>
          <w:szCs w:val="24"/>
        </w:rPr>
        <w:t xml:space="preserve"> measure of misanthropy (MIS)</w:t>
      </w:r>
      <w:r w:rsidR="00BC5FA2" w:rsidRPr="002231FF">
        <w:rPr>
          <w:rFonts w:ascii="Arial" w:hAnsi="Arial" w:cs="Arial"/>
          <w:sz w:val="24"/>
          <w:szCs w:val="24"/>
        </w:rPr>
        <w:t>,</w:t>
      </w:r>
      <w:r w:rsidRPr="002231FF">
        <w:rPr>
          <w:rFonts w:ascii="Arial" w:hAnsi="Arial" w:cs="Arial"/>
          <w:sz w:val="24"/>
          <w:szCs w:val="24"/>
        </w:rPr>
        <w:t xml:space="preserve"> and Forsyth’s Ethics Position Questionnaire</w:t>
      </w:r>
      <w:r w:rsidR="000E49A8" w:rsidRPr="002231FF">
        <w:rPr>
          <w:rFonts w:ascii="Arial" w:hAnsi="Arial" w:cs="Arial"/>
          <w:sz w:val="24"/>
          <w:szCs w:val="24"/>
        </w:rPr>
        <w:t xml:space="preserve"> (EPQ)</w:t>
      </w:r>
      <w:r w:rsidRPr="002231FF">
        <w:rPr>
          <w:rFonts w:ascii="Arial" w:hAnsi="Arial" w:cs="Arial"/>
          <w:sz w:val="24"/>
          <w:szCs w:val="24"/>
        </w:rPr>
        <w:t xml:space="preserve">.  </w:t>
      </w:r>
      <w:r w:rsidR="000E49A8" w:rsidRPr="002231FF">
        <w:rPr>
          <w:rFonts w:ascii="Arial" w:hAnsi="Arial" w:cs="Arial"/>
          <w:sz w:val="24"/>
          <w:szCs w:val="24"/>
        </w:rPr>
        <w:t>Based on their score on the Idealism subscale of the EPQ, subjects were classified as being idealistic or not idealistic.</w:t>
      </w:r>
    </w:p>
    <w:p w:rsidR="000E49A8" w:rsidRPr="002231FF" w:rsidRDefault="000E49A8">
      <w:pPr>
        <w:rPr>
          <w:rFonts w:ascii="Arial" w:hAnsi="Arial" w:cs="Arial"/>
          <w:sz w:val="24"/>
          <w:szCs w:val="24"/>
        </w:rPr>
      </w:pPr>
      <w:r w:rsidRPr="002231FF"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r w:rsidRPr="002231FF">
        <w:rPr>
          <w:rFonts w:ascii="Arial" w:hAnsi="Arial" w:cs="Arial"/>
          <w:sz w:val="24"/>
          <w:szCs w:val="24"/>
        </w:rPr>
        <w:t>Potthoff</w:t>
      </w:r>
      <w:proofErr w:type="spellEnd"/>
      <w:r w:rsidRPr="002231FF">
        <w:rPr>
          <w:rFonts w:ascii="Arial" w:hAnsi="Arial" w:cs="Arial"/>
          <w:sz w:val="24"/>
          <w:szCs w:val="24"/>
        </w:rPr>
        <w:t xml:space="preserve"> analysis (simultaneous test of slope of intercept) was conducted to determine whether the slopes and intercepts for predicting AR from </w:t>
      </w:r>
      <w:r w:rsidR="00BC5FA2" w:rsidRPr="002231FF">
        <w:rPr>
          <w:rFonts w:ascii="Arial" w:hAnsi="Arial" w:cs="Arial"/>
          <w:sz w:val="24"/>
          <w:szCs w:val="24"/>
        </w:rPr>
        <w:t>misanthropy</w:t>
      </w:r>
      <w:r w:rsidRPr="002231FF">
        <w:rPr>
          <w:rFonts w:ascii="Arial" w:hAnsi="Arial" w:cs="Arial"/>
          <w:sz w:val="24"/>
          <w:szCs w:val="24"/>
        </w:rPr>
        <w:t xml:space="preserve"> differed between the groups.  The analysis revealed that the regression lines for the two groups were not coincident, </w:t>
      </w:r>
      <w:proofErr w:type="gramStart"/>
      <w:r w:rsidRPr="002231FF">
        <w:rPr>
          <w:rFonts w:ascii="Arial" w:hAnsi="Arial" w:cs="Arial"/>
          <w:i/>
          <w:sz w:val="24"/>
          <w:szCs w:val="24"/>
        </w:rPr>
        <w:t>F</w:t>
      </w:r>
      <w:r w:rsidRPr="002231FF">
        <w:rPr>
          <w:rFonts w:ascii="Arial" w:hAnsi="Arial" w:cs="Arial"/>
          <w:sz w:val="24"/>
          <w:szCs w:val="24"/>
        </w:rPr>
        <w:t>(</w:t>
      </w:r>
      <w:proofErr w:type="gramEnd"/>
      <w:r w:rsidRPr="002231FF">
        <w:rPr>
          <w:rFonts w:ascii="Arial" w:hAnsi="Arial" w:cs="Arial"/>
          <w:sz w:val="24"/>
          <w:szCs w:val="24"/>
        </w:rPr>
        <w:t xml:space="preserve">2, 150) = 3.623, </w:t>
      </w:r>
      <w:r w:rsidRPr="002231FF">
        <w:rPr>
          <w:rFonts w:ascii="Arial" w:hAnsi="Arial" w:cs="Arial"/>
          <w:i/>
          <w:sz w:val="24"/>
          <w:szCs w:val="24"/>
        </w:rPr>
        <w:t>p</w:t>
      </w:r>
      <w:r w:rsidRPr="002231FF">
        <w:rPr>
          <w:rFonts w:ascii="Arial" w:hAnsi="Arial" w:cs="Arial"/>
          <w:sz w:val="24"/>
          <w:szCs w:val="24"/>
        </w:rPr>
        <w:t xml:space="preserve"> = .029.  Follow-up analyses revealed that the two groups did differ significantly in slopes, </w:t>
      </w:r>
      <w:proofErr w:type="gramStart"/>
      <w:r w:rsidRPr="002231FF">
        <w:rPr>
          <w:rFonts w:ascii="Arial" w:hAnsi="Arial" w:cs="Arial"/>
          <w:i/>
          <w:sz w:val="24"/>
          <w:szCs w:val="24"/>
        </w:rPr>
        <w:t>t</w:t>
      </w:r>
      <w:r w:rsidRPr="002231FF">
        <w:rPr>
          <w:rFonts w:ascii="Arial" w:hAnsi="Arial" w:cs="Arial"/>
          <w:sz w:val="24"/>
          <w:szCs w:val="24"/>
        </w:rPr>
        <w:t>(</w:t>
      </w:r>
      <w:proofErr w:type="gramEnd"/>
      <w:r w:rsidRPr="002231FF">
        <w:rPr>
          <w:rFonts w:ascii="Arial" w:hAnsi="Arial" w:cs="Arial"/>
          <w:sz w:val="24"/>
          <w:szCs w:val="24"/>
        </w:rPr>
        <w:t xml:space="preserve">150) = 2.25, </w:t>
      </w:r>
      <w:r w:rsidRPr="002231FF">
        <w:rPr>
          <w:rFonts w:ascii="Arial" w:hAnsi="Arial" w:cs="Arial"/>
          <w:i/>
          <w:sz w:val="24"/>
          <w:szCs w:val="24"/>
        </w:rPr>
        <w:t>p</w:t>
      </w:r>
      <w:r w:rsidRPr="002231FF">
        <w:rPr>
          <w:rFonts w:ascii="Arial" w:hAnsi="Arial" w:cs="Arial"/>
          <w:sz w:val="24"/>
          <w:szCs w:val="24"/>
        </w:rPr>
        <w:t xml:space="preserve"> = .026, as well as in intercepts, </w:t>
      </w:r>
      <w:r w:rsidRPr="002231FF">
        <w:rPr>
          <w:rFonts w:ascii="Arial" w:hAnsi="Arial" w:cs="Arial"/>
          <w:i/>
          <w:sz w:val="24"/>
          <w:szCs w:val="24"/>
        </w:rPr>
        <w:t>t</w:t>
      </w:r>
      <w:r w:rsidRPr="002231FF">
        <w:rPr>
          <w:rFonts w:ascii="Arial" w:hAnsi="Arial" w:cs="Arial"/>
          <w:sz w:val="24"/>
          <w:szCs w:val="24"/>
        </w:rPr>
        <w:t xml:space="preserve">(150) = 2.58, </w:t>
      </w:r>
      <w:r w:rsidRPr="002231FF">
        <w:rPr>
          <w:rFonts w:ascii="Arial" w:hAnsi="Arial" w:cs="Arial"/>
          <w:i/>
          <w:sz w:val="24"/>
          <w:szCs w:val="24"/>
        </w:rPr>
        <w:t>p</w:t>
      </w:r>
      <w:r w:rsidRPr="002231FF">
        <w:rPr>
          <w:rFonts w:ascii="Arial" w:hAnsi="Arial" w:cs="Arial"/>
          <w:sz w:val="24"/>
          <w:szCs w:val="24"/>
        </w:rPr>
        <w:t xml:space="preserve"> = .011.</w:t>
      </w:r>
      <w:r w:rsidR="00BC5FA2" w:rsidRPr="002231FF">
        <w:rPr>
          <w:rFonts w:ascii="Arial" w:hAnsi="Arial" w:cs="Arial"/>
          <w:sz w:val="24"/>
          <w:szCs w:val="24"/>
        </w:rPr>
        <w:t xml:space="preserve">  As shown in Figure 1, the slope was significantly higher in the group of </w:t>
      </w:r>
      <w:proofErr w:type="spellStart"/>
      <w:r w:rsidR="00BC5FA2" w:rsidRPr="002231FF">
        <w:rPr>
          <w:rFonts w:ascii="Arial" w:hAnsi="Arial" w:cs="Arial"/>
          <w:sz w:val="24"/>
          <w:szCs w:val="24"/>
        </w:rPr>
        <w:t>nonidealists</w:t>
      </w:r>
      <w:proofErr w:type="spellEnd"/>
      <w:r w:rsidR="00BC5FA2" w:rsidRPr="002231FF">
        <w:rPr>
          <w:rFonts w:ascii="Arial" w:hAnsi="Arial" w:cs="Arial"/>
          <w:sz w:val="24"/>
          <w:szCs w:val="24"/>
        </w:rPr>
        <w:t>, and the intercept was significantly higher in the group of idealists.</w:t>
      </w:r>
    </w:p>
    <w:p w:rsidR="004763AD" w:rsidRPr="002231FF" w:rsidRDefault="00D80260">
      <w:pPr>
        <w:rPr>
          <w:rFonts w:ascii="Arial" w:hAnsi="Arial" w:cs="Arial"/>
          <w:sz w:val="24"/>
          <w:szCs w:val="24"/>
        </w:rPr>
      </w:pPr>
      <w:r w:rsidRPr="002231FF">
        <w:rPr>
          <w:rFonts w:ascii="Arial" w:hAnsi="Arial" w:cs="Arial"/>
          <w:sz w:val="24"/>
          <w:szCs w:val="24"/>
        </w:rPr>
        <w:tab/>
        <w:t xml:space="preserve">Within the </w:t>
      </w:r>
      <w:proofErr w:type="spellStart"/>
      <w:r w:rsidR="004763AD" w:rsidRPr="002231FF">
        <w:rPr>
          <w:rFonts w:ascii="Arial" w:hAnsi="Arial" w:cs="Arial"/>
          <w:sz w:val="24"/>
          <w:szCs w:val="24"/>
        </w:rPr>
        <w:t>non</w:t>
      </w:r>
      <w:r w:rsidRPr="002231FF">
        <w:rPr>
          <w:rFonts w:ascii="Arial" w:hAnsi="Arial" w:cs="Arial"/>
          <w:sz w:val="24"/>
          <w:szCs w:val="24"/>
        </w:rPr>
        <w:t>idealistic</w:t>
      </w:r>
      <w:proofErr w:type="spellEnd"/>
      <w:r w:rsidRPr="002231FF">
        <w:rPr>
          <w:rFonts w:ascii="Arial" w:hAnsi="Arial" w:cs="Arial"/>
          <w:sz w:val="24"/>
          <w:szCs w:val="24"/>
        </w:rPr>
        <w:t xml:space="preserve"> group</w:t>
      </w:r>
      <w:r w:rsidR="004763AD" w:rsidRPr="002231FF">
        <w:rPr>
          <w:rFonts w:ascii="Arial" w:hAnsi="Arial" w:cs="Arial"/>
          <w:sz w:val="24"/>
          <w:szCs w:val="24"/>
        </w:rPr>
        <w:t xml:space="preserve">, AR was </w:t>
      </w:r>
      <w:r w:rsidRPr="002231FF">
        <w:rPr>
          <w:rFonts w:ascii="Arial" w:hAnsi="Arial" w:cs="Arial"/>
          <w:sz w:val="24"/>
          <w:szCs w:val="24"/>
        </w:rPr>
        <w:t>significantly related to misanthropy,</w:t>
      </w:r>
      <w:r w:rsidR="004763AD" w:rsidRPr="002231FF">
        <w:rPr>
          <w:rFonts w:ascii="Arial" w:hAnsi="Arial" w:cs="Arial"/>
          <w:sz w:val="24"/>
          <w:szCs w:val="24"/>
        </w:rPr>
        <w:t xml:space="preserve"> </w:t>
      </w:r>
      <w:r w:rsidR="004763AD" w:rsidRPr="002231FF">
        <w:rPr>
          <w:rFonts w:ascii="Arial" w:hAnsi="Arial" w:cs="Arial"/>
          <w:position w:val="-6"/>
        </w:rPr>
        <w:object w:dxaOrig="2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7pt;height:14.1pt" o:ole="">
            <v:imagedata r:id="rId5" o:title=""/>
          </v:shape>
          <o:OLEObject Type="Embed" ProgID="Equation.3" ShapeID="_x0000_i1025" DrawAspect="Content" ObjectID="_1632506427" r:id="rId6"/>
        </w:object>
      </w:r>
      <w:r w:rsidR="004763AD" w:rsidRPr="002231FF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4763AD" w:rsidRPr="002231FF">
        <w:rPr>
          <w:rFonts w:ascii="Arial" w:hAnsi="Arial" w:cs="Arial"/>
          <w:i/>
          <w:sz w:val="24"/>
          <w:szCs w:val="24"/>
        </w:rPr>
        <w:t>t</w:t>
      </w:r>
      <w:r w:rsidR="004763AD" w:rsidRPr="002231FF">
        <w:rPr>
          <w:rFonts w:ascii="Arial" w:hAnsi="Arial" w:cs="Arial"/>
          <w:sz w:val="24"/>
          <w:szCs w:val="24"/>
        </w:rPr>
        <w:t>(</w:t>
      </w:r>
      <w:proofErr w:type="gramEnd"/>
      <w:r w:rsidR="004763AD" w:rsidRPr="002231FF">
        <w:rPr>
          <w:rFonts w:ascii="Arial" w:hAnsi="Arial" w:cs="Arial"/>
          <w:sz w:val="24"/>
          <w:szCs w:val="24"/>
        </w:rPr>
        <w:t xml:space="preserve">89) = 3.69, </w:t>
      </w:r>
      <w:r w:rsidR="004763AD" w:rsidRPr="002231FF">
        <w:rPr>
          <w:rFonts w:ascii="Arial" w:hAnsi="Arial" w:cs="Arial"/>
          <w:i/>
          <w:sz w:val="24"/>
          <w:szCs w:val="24"/>
        </w:rPr>
        <w:t>p</w:t>
      </w:r>
      <w:r w:rsidR="004763AD" w:rsidRPr="002231FF">
        <w:rPr>
          <w:rFonts w:ascii="Arial" w:hAnsi="Arial" w:cs="Arial"/>
          <w:sz w:val="24"/>
          <w:szCs w:val="24"/>
        </w:rPr>
        <w:t xml:space="preserve"> &lt;.001, </w:t>
      </w:r>
      <w:r w:rsidR="004763AD" w:rsidRPr="002231FF">
        <w:rPr>
          <w:rFonts w:ascii="Arial" w:hAnsi="Arial" w:cs="Arial"/>
          <w:i/>
          <w:sz w:val="24"/>
          <w:szCs w:val="24"/>
        </w:rPr>
        <w:t>r</w:t>
      </w:r>
      <w:r w:rsidR="004763AD" w:rsidRPr="002231FF">
        <w:rPr>
          <w:rFonts w:ascii="Arial" w:hAnsi="Arial" w:cs="Arial"/>
          <w:sz w:val="24"/>
          <w:szCs w:val="24"/>
        </w:rPr>
        <w:t xml:space="preserve"> = </w:t>
      </w:r>
      <w:r w:rsidR="003128CD" w:rsidRPr="002231FF">
        <w:rPr>
          <w:rFonts w:ascii="Arial" w:hAnsi="Arial" w:cs="Arial"/>
          <w:sz w:val="24"/>
          <w:szCs w:val="24"/>
        </w:rPr>
        <w:t>.364, 95%CI [.171, .530].  Within the idealistic group</w:t>
      </w:r>
      <w:r w:rsidR="000522E2" w:rsidRPr="002231FF">
        <w:rPr>
          <w:rFonts w:ascii="Arial" w:hAnsi="Arial" w:cs="Arial"/>
          <w:sz w:val="24"/>
          <w:szCs w:val="24"/>
        </w:rPr>
        <w:t>,</w:t>
      </w:r>
      <w:r w:rsidR="003128CD" w:rsidRPr="002231FF">
        <w:rPr>
          <w:rFonts w:ascii="Arial" w:hAnsi="Arial" w:cs="Arial"/>
          <w:sz w:val="24"/>
          <w:szCs w:val="24"/>
        </w:rPr>
        <w:t xml:space="preserve"> AR was not significantly related to misanthropy,</w:t>
      </w:r>
      <w:r w:rsidR="003258C5" w:rsidRPr="002231FF">
        <w:rPr>
          <w:rFonts w:ascii="Arial" w:hAnsi="Arial" w:cs="Arial"/>
          <w:sz w:val="24"/>
          <w:szCs w:val="24"/>
        </w:rPr>
        <w:t xml:space="preserve"> </w:t>
      </w:r>
      <w:r w:rsidR="003258C5" w:rsidRPr="002231FF">
        <w:rPr>
          <w:rFonts w:ascii="Arial" w:hAnsi="Arial" w:cs="Arial"/>
          <w:position w:val="-6"/>
        </w:rPr>
        <w:object w:dxaOrig="2720" w:dyaOrig="279">
          <v:shape id="_x0000_i1026" type="#_x0000_t75" style="width:136.1pt;height:14.1pt" o:ole="">
            <v:imagedata r:id="rId7" o:title=""/>
          </v:shape>
          <o:OLEObject Type="Embed" ProgID="Equation.3" ShapeID="_x0000_i1026" DrawAspect="Content" ObjectID="_1632506428" r:id="rId8"/>
        </w:object>
      </w:r>
      <w:r w:rsidR="003258C5" w:rsidRPr="002231FF">
        <w:rPr>
          <w:rFonts w:ascii="Arial" w:hAnsi="Arial" w:cs="Arial"/>
          <w:sz w:val="24"/>
          <w:szCs w:val="24"/>
        </w:rPr>
        <w:t>,</w:t>
      </w:r>
      <w:r w:rsidR="003128CD" w:rsidRPr="002231F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128CD" w:rsidRPr="002231FF">
        <w:rPr>
          <w:rFonts w:ascii="Arial" w:hAnsi="Arial" w:cs="Arial"/>
          <w:i/>
          <w:sz w:val="24"/>
          <w:szCs w:val="24"/>
        </w:rPr>
        <w:t>t</w:t>
      </w:r>
      <w:r w:rsidR="003128CD" w:rsidRPr="002231FF">
        <w:rPr>
          <w:rFonts w:ascii="Arial" w:hAnsi="Arial" w:cs="Arial"/>
          <w:sz w:val="24"/>
          <w:szCs w:val="24"/>
        </w:rPr>
        <w:t>(</w:t>
      </w:r>
      <w:proofErr w:type="gramEnd"/>
      <w:r w:rsidR="003128CD" w:rsidRPr="002231FF">
        <w:rPr>
          <w:rFonts w:ascii="Arial" w:hAnsi="Arial" w:cs="Arial"/>
          <w:sz w:val="24"/>
          <w:szCs w:val="24"/>
        </w:rPr>
        <w:t xml:space="preserve">61) = </w:t>
      </w:r>
      <w:r w:rsidR="003258C5" w:rsidRPr="002231FF">
        <w:rPr>
          <w:rFonts w:ascii="Arial" w:hAnsi="Arial" w:cs="Arial"/>
          <w:sz w:val="24"/>
          <w:szCs w:val="24"/>
        </w:rPr>
        <w:t xml:space="preserve">0.16, </w:t>
      </w:r>
      <w:r w:rsidR="003258C5" w:rsidRPr="002231FF">
        <w:rPr>
          <w:rFonts w:ascii="Arial" w:hAnsi="Arial" w:cs="Arial"/>
          <w:i/>
          <w:sz w:val="24"/>
          <w:szCs w:val="24"/>
        </w:rPr>
        <w:t>p</w:t>
      </w:r>
      <w:r w:rsidR="003258C5" w:rsidRPr="002231FF">
        <w:rPr>
          <w:rFonts w:ascii="Arial" w:hAnsi="Arial" w:cs="Arial"/>
          <w:sz w:val="24"/>
          <w:szCs w:val="24"/>
        </w:rPr>
        <w:t xml:space="preserve"> = .87, </w:t>
      </w:r>
      <w:r w:rsidR="003258C5" w:rsidRPr="002231FF">
        <w:rPr>
          <w:rFonts w:ascii="Arial" w:hAnsi="Arial" w:cs="Arial"/>
          <w:i/>
          <w:sz w:val="24"/>
          <w:szCs w:val="24"/>
        </w:rPr>
        <w:t>r</w:t>
      </w:r>
      <w:r w:rsidR="003258C5" w:rsidRPr="002231FF">
        <w:rPr>
          <w:rFonts w:ascii="Arial" w:hAnsi="Arial" w:cs="Arial"/>
          <w:sz w:val="24"/>
          <w:szCs w:val="24"/>
        </w:rPr>
        <w:t xml:space="preserve"> = .02, 95% CI [-.228, .338].</w:t>
      </w:r>
    </w:p>
    <w:p w:rsidR="004763AD" w:rsidRPr="002231FF" w:rsidRDefault="00BC5FA2">
      <w:pPr>
        <w:rPr>
          <w:rFonts w:ascii="Arial" w:hAnsi="Arial" w:cs="Arial"/>
          <w:sz w:val="24"/>
          <w:szCs w:val="24"/>
        </w:rPr>
      </w:pPr>
      <w:r w:rsidRPr="002231FF">
        <w:rPr>
          <w:rFonts w:ascii="Arial" w:hAnsi="Arial" w:cs="Arial"/>
          <w:sz w:val="24"/>
          <w:szCs w:val="24"/>
        </w:rPr>
        <w:t xml:space="preserve">Figure 1.  Predicting AR from Misanthropy in Idealists and </w:t>
      </w:r>
      <w:proofErr w:type="spellStart"/>
      <w:r w:rsidRPr="002231FF">
        <w:rPr>
          <w:rFonts w:ascii="Arial" w:hAnsi="Arial" w:cs="Arial"/>
          <w:sz w:val="24"/>
          <w:szCs w:val="24"/>
        </w:rPr>
        <w:t>Nonidealists</w:t>
      </w:r>
      <w:proofErr w:type="spellEnd"/>
      <w:r w:rsidRPr="002231FF">
        <w:rPr>
          <w:rFonts w:ascii="Arial" w:hAnsi="Arial" w:cs="Arial"/>
          <w:sz w:val="24"/>
          <w:szCs w:val="24"/>
        </w:rPr>
        <w:t>.</w:t>
      </w:r>
    </w:p>
    <w:p w:rsidR="00D80260" w:rsidRPr="002231FF" w:rsidRDefault="00014587">
      <w:pPr>
        <w:rPr>
          <w:rFonts w:ascii="Arial" w:hAnsi="Arial" w:cs="Arial"/>
          <w:sz w:val="24"/>
          <w:szCs w:val="24"/>
        </w:rPr>
      </w:pPr>
      <w:r w:rsidRPr="002231FF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4473701" cy="3356324"/>
            <wp:effectExtent l="0" t="0" r="3175" b="0"/>
            <wp:docPr id="2" name="Picture 2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42" cy="33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4A5" w:rsidRPr="002231FF" w:rsidRDefault="00B954A5">
      <w:pPr>
        <w:rPr>
          <w:rFonts w:ascii="Arial" w:hAnsi="Arial" w:cs="Arial"/>
          <w:sz w:val="24"/>
          <w:szCs w:val="24"/>
        </w:rPr>
      </w:pPr>
    </w:p>
    <w:p w:rsidR="00B954A5" w:rsidRPr="002231FF" w:rsidRDefault="00B954A5">
      <w:pPr>
        <w:rPr>
          <w:rFonts w:ascii="Arial" w:hAnsi="Arial" w:cs="Arial"/>
          <w:sz w:val="24"/>
          <w:szCs w:val="24"/>
        </w:rPr>
      </w:pPr>
      <w:r w:rsidRPr="002231FF">
        <w:rPr>
          <w:rFonts w:ascii="Arial" w:hAnsi="Arial" w:cs="Arial"/>
          <w:sz w:val="24"/>
          <w:szCs w:val="24"/>
        </w:rPr>
        <w:tab/>
        <w:t xml:space="preserve">Notice that I probed the interaction by </w:t>
      </w:r>
      <w:r w:rsidR="00FA1E9B" w:rsidRPr="002231FF">
        <w:rPr>
          <w:rFonts w:ascii="Arial" w:hAnsi="Arial" w:cs="Arial"/>
          <w:sz w:val="24"/>
          <w:szCs w:val="24"/>
        </w:rPr>
        <w:t xml:space="preserve">finding the within-groups regressions.  An alternative procedure is to use Hayes’ Process to </w:t>
      </w:r>
      <w:r w:rsidR="008937A8">
        <w:rPr>
          <w:rFonts w:ascii="Arial" w:hAnsi="Arial" w:cs="Arial"/>
          <w:sz w:val="24"/>
          <w:szCs w:val="24"/>
        </w:rPr>
        <w:t>test</w:t>
      </w:r>
      <w:r w:rsidR="0052602B">
        <w:rPr>
          <w:rFonts w:ascii="Arial" w:hAnsi="Arial" w:cs="Arial"/>
          <w:sz w:val="24"/>
          <w:szCs w:val="24"/>
        </w:rPr>
        <w:t xml:space="preserve"> the </w:t>
      </w:r>
      <w:r w:rsidR="00FA1E9B" w:rsidRPr="002231FF">
        <w:rPr>
          <w:rFonts w:ascii="Arial" w:hAnsi="Arial" w:cs="Arial"/>
          <w:sz w:val="24"/>
          <w:szCs w:val="24"/>
        </w:rPr>
        <w:t>simple effects of misanthropy on support of animal rights.</w:t>
      </w:r>
    </w:p>
    <w:p w:rsidR="002231FF" w:rsidRPr="002231FF" w:rsidRDefault="002231FF" w:rsidP="002231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%</w:t>
      </w:r>
      <w:r w:rsidRPr="002231FF"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process</w:t>
      </w:r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r w:rsidRPr="002231FF"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data</w:t>
      </w:r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Potthoff,y</w:t>
      </w:r>
      <w:proofErr w:type="spellEnd"/>
      <w:proofErr w:type="gramEnd"/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proofErr w:type="spellStart"/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ar,x</w:t>
      </w:r>
      <w:proofErr w:type="spellEnd"/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proofErr w:type="spellStart"/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Misanth,w</w:t>
      </w:r>
      <w:proofErr w:type="spellEnd"/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proofErr w:type="spellStart"/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Idealism,model</w:t>
      </w:r>
      <w:proofErr w:type="spellEnd"/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2231FF">
        <w:rPr>
          <w:rFonts w:ascii="Arial" w:hAnsi="Arial" w:cs="Arial"/>
          <w:b/>
          <w:bCs/>
          <w:color w:val="008080"/>
          <w:sz w:val="20"/>
          <w:szCs w:val="20"/>
          <w:shd w:val="clear" w:color="auto" w:fill="FFFFFF"/>
        </w:rPr>
        <w:t>1</w:t>
      </w:r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,jn=</w:t>
      </w:r>
      <w:r w:rsidRPr="002231FF">
        <w:rPr>
          <w:rFonts w:ascii="Arial" w:hAnsi="Arial" w:cs="Arial"/>
          <w:b/>
          <w:bCs/>
          <w:color w:val="008080"/>
          <w:sz w:val="20"/>
          <w:szCs w:val="20"/>
          <w:shd w:val="clear" w:color="auto" w:fill="FFFFFF"/>
        </w:rPr>
        <w:t>1</w:t>
      </w:r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,plot=</w:t>
      </w:r>
      <w:r w:rsidRPr="002231FF">
        <w:rPr>
          <w:rFonts w:ascii="Arial" w:hAnsi="Arial" w:cs="Arial"/>
          <w:b/>
          <w:bCs/>
          <w:color w:val="008080"/>
          <w:sz w:val="20"/>
          <w:szCs w:val="20"/>
          <w:shd w:val="clear" w:color="auto" w:fill="FFFFFF"/>
        </w:rPr>
        <w:t>1</w:t>
      </w:r>
      <w:r w:rsidRPr="002231FF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Iml: --------------------------"/>
      </w:tblPr>
      <w:tblGrid>
        <w:gridCol w:w="7538"/>
      </w:tblGrid>
      <w:tr w:rsidR="002231FF" w:rsidRPr="002231FF" w:rsidTr="002231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Conditional effects of the focal predictor at values of the moderator(s):</w:t>
            </w:r>
          </w:p>
        </w:tc>
      </w:tr>
    </w:tbl>
    <w:p w:rsidR="002231FF" w:rsidRPr="002231FF" w:rsidRDefault="002231FF" w:rsidP="002231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23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Iml:  "/>
      </w:tblPr>
      <w:tblGrid>
        <w:gridCol w:w="1267"/>
        <w:gridCol w:w="855"/>
        <w:gridCol w:w="855"/>
        <w:gridCol w:w="855"/>
        <w:gridCol w:w="855"/>
        <w:gridCol w:w="934"/>
        <w:gridCol w:w="855"/>
      </w:tblGrid>
      <w:tr w:rsidR="002231FF" w:rsidRPr="002231FF" w:rsidTr="002231F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IDEALISM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LLCI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ULCI</w:t>
            </w:r>
          </w:p>
        </w:tc>
      </w:tr>
      <w:tr w:rsidR="002231FF" w:rsidRPr="002231FF" w:rsidTr="002231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0.3001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0.0806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3.7230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0.1408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0.4593</w:t>
            </w:r>
          </w:p>
        </w:tc>
      </w:tr>
      <w:tr w:rsidR="002231FF" w:rsidRPr="002231FF" w:rsidTr="002231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0.0974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0.1575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0.8751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-0.1771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0.2078</w:t>
            </w:r>
          </w:p>
        </w:tc>
      </w:tr>
    </w:tbl>
    <w:p w:rsidR="002231FF" w:rsidRPr="002231FF" w:rsidRDefault="002231FF" w:rsidP="002231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24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Iml:  "/>
      </w:tblPr>
      <w:tblGrid>
        <w:gridCol w:w="6724"/>
      </w:tblGrid>
      <w:tr w:rsidR="002231FF" w:rsidRPr="002231FF" w:rsidTr="002231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Data for visualizing the conditional effect of the focal predictor:</w:t>
            </w:r>
          </w:p>
        </w:tc>
      </w:tr>
    </w:tbl>
    <w:p w:rsidR="002231FF" w:rsidRPr="002231FF" w:rsidRDefault="002231FF" w:rsidP="002231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5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Iml:  "/>
      </w:tblPr>
      <w:tblGrid>
        <w:gridCol w:w="1214"/>
        <w:gridCol w:w="1267"/>
        <w:gridCol w:w="855"/>
      </w:tblGrid>
      <w:tr w:rsidR="002231FF" w:rsidRPr="002231FF" w:rsidTr="002231F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2231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</w:tr>
      <w:tr w:rsidR="002231FF" w:rsidRPr="002231FF" w:rsidTr="002231F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MISANTH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IDEALISM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AR</w:t>
            </w:r>
          </w:p>
        </w:tc>
      </w:tr>
      <w:tr w:rsidR="002231FF" w:rsidRPr="002231FF" w:rsidTr="002231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_Hlk21892255"/>
            <w:r w:rsidRPr="002231FF">
              <w:rPr>
                <w:rFonts w:ascii="Arial" w:eastAsia="Times New Roman" w:hAnsi="Arial" w:cs="Arial"/>
                <w:sz w:val="24"/>
                <w:szCs w:val="24"/>
              </w:rPr>
              <w:t>1.6000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2.1059</w:t>
            </w:r>
          </w:p>
        </w:tc>
      </w:tr>
      <w:tr w:rsidR="002231FF" w:rsidRPr="002231FF" w:rsidTr="002231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2.2000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2.2859</w:t>
            </w:r>
          </w:p>
        </w:tc>
      </w:tr>
      <w:tr w:rsidR="002231FF" w:rsidRPr="002231FF" w:rsidTr="002231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2.5260</w:t>
            </w:r>
          </w:p>
        </w:tc>
      </w:tr>
      <w:tr w:rsidR="002231FF" w:rsidRPr="002231FF" w:rsidTr="002231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1.6000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2.4290</w:t>
            </w:r>
          </w:p>
        </w:tc>
      </w:tr>
      <w:tr w:rsidR="002231FF" w:rsidRPr="002231FF" w:rsidTr="002231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2.2000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2.4382</w:t>
            </w:r>
          </w:p>
        </w:tc>
      </w:tr>
      <w:tr w:rsidR="002231FF" w:rsidRPr="002231FF" w:rsidTr="002231F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231FF" w:rsidRPr="002231FF" w:rsidRDefault="002231FF" w:rsidP="0052602B">
            <w:pPr>
              <w:spacing w:after="0" w:line="240" w:lineRule="auto"/>
              <w:contextualSpacing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231FF">
              <w:rPr>
                <w:rFonts w:ascii="Arial" w:eastAsia="Times New Roman" w:hAnsi="Arial" w:cs="Arial"/>
                <w:sz w:val="24"/>
                <w:szCs w:val="24"/>
              </w:rPr>
              <w:t>2.4505</w:t>
            </w:r>
          </w:p>
        </w:tc>
      </w:tr>
      <w:bookmarkEnd w:id="3"/>
    </w:tbl>
    <w:p w:rsidR="00B954A5" w:rsidRDefault="00B954A5">
      <w:pPr>
        <w:rPr>
          <w:rFonts w:ascii="Arial" w:hAnsi="Arial" w:cs="Arial"/>
          <w:sz w:val="24"/>
          <w:szCs w:val="24"/>
        </w:rPr>
      </w:pPr>
    </w:p>
    <w:p w:rsidR="00A9562A" w:rsidRPr="00287E88" w:rsidRDefault="00A9562A" w:rsidP="00A95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87E88"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data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plot; </w:t>
      </w:r>
      <w:r w:rsidRPr="00287E88">
        <w:rPr>
          <w:rFonts w:ascii="Arial" w:hAnsi="Arial" w:cs="Arial"/>
          <w:color w:val="0000FF"/>
          <w:sz w:val="20"/>
          <w:szCs w:val="20"/>
          <w:shd w:val="clear" w:color="auto" w:fill="FFFFFF"/>
        </w:rPr>
        <w:t>input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Misanthropy Idealism </w:t>
      </w:r>
      <w:proofErr w:type="spellStart"/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Animal_Rights</w:t>
      </w:r>
      <w:proofErr w:type="spellEnd"/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A9562A" w:rsidRPr="00287E88" w:rsidRDefault="00A9562A" w:rsidP="00A95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87E88">
        <w:rPr>
          <w:rFonts w:ascii="Arial" w:hAnsi="Arial" w:cs="Arial"/>
          <w:color w:val="0000FF"/>
          <w:sz w:val="20"/>
          <w:szCs w:val="20"/>
          <w:shd w:val="clear" w:color="auto" w:fill="FFFFFF"/>
        </w:rPr>
        <w:t>cards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A9562A" w:rsidRPr="00A9562A" w:rsidRDefault="00A9562A" w:rsidP="00A95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C0"/>
        </w:rPr>
      </w:pP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>1.6000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0.0000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2.1059</w:t>
      </w:r>
    </w:p>
    <w:p w:rsidR="00A9562A" w:rsidRPr="00A9562A" w:rsidRDefault="00A9562A" w:rsidP="00A95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C0"/>
        </w:rPr>
      </w:pP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>2.2000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0.0000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2.2859</w:t>
      </w:r>
    </w:p>
    <w:p w:rsidR="00A9562A" w:rsidRPr="00A9562A" w:rsidRDefault="00A9562A" w:rsidP="00A95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C0"/>
        </w:rPr>
      </w:pP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>3.0000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0.0000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2.5260</w:t>
      </w:r>
    </w:p>
    <w:p w:rsidR="00A9562A" w:rsidRPr="00A9562A" w:rsidRDefault="00A9562A" w:rsidP="00A95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C0"/>
        </w:rPr>
      </w:pP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>1.6000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1.0000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2.4290</w:t>
      </w:r>
    </w:p>
    <w:p w:rsidR="00A9562A" w:rsidRPr="00A9562A" w:rsidRDefault="00A9562A" w:rsidP="00A95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C0"/>
        </w:rPr>
      </w:pP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>2.2000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1.0000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2.4382</w:t>
      </w:r>
    </w:p>
    <w:p w:rsidR="00A9562A" w:rsidRDefault="00A9562A" w:rsidP="00A95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C0"/>
        </w:rPr>
      </w:pP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>3.0000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1.0000</w:t>
      </w:r>
      <w:r w:rsidRPr="00A9562A">
        <w:rPr>
          <w:rFonts w:ascii="Arial" w:hAnsi="Arial" w:cs="Arial"/>
          <w:color w:val="000000"/>
          <w:sz w:val="20"/>
          <w:szCs w:val="20"/>
          <w:shd w:val="clear" w:color="auto" w:fill="FFFFC0"/>
        </w:rPr>
        <w:tab/>
        <w:t>2.4505</w:t>
      </w:r>
    </w:p>
    <w:p w:rsidR="00A9562A" w:rsidRPr="00287E88" w:rsidRDefault="00A9562A" w:rsidP="00A95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87E88"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proc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87E88"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sgplot</w:t>
      </w:r>
      <w:proofErr w:type="spellEnd"/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Pr="00287E88">
        <w:rPr>
          <w:rFonts w:ascii="Arial" w:hAnsi="Arial" w:cs="Arial"/>
          <w:color w:val="0000FF"/>
          <w:sz w:val="20"/>
          <w:szCs w:val="20"/>
          <w:shd w:val="clear" w:color="auto" w:fill="FFFFFF"/>
        </w:rPr>
        <w:t>reg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87E88">
        <w:rPr>
          <w:rFonts w:ascii="Arial" w:hAnsi="Arial" w:cs="Arial"/>
          <w:color w:val="0000FF"/>
          <w:sz w:val="20"/>
          <w:szCs w:val="20"/>
          <w:shd w:val="clear" w:color="auto" w:fill="FFFFFF"/>
        </w:rPr>
        <w:t>x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misanthropy </w:t>
      </w:r>
      <w:r w:rsidRPr="00287E88">
        <w:rPr>
          <w:rFonts w:ascii="Arial" w:hAnsi="Arial" w:cs="Arial"/>
          <w:color w:val="0000FF"/>
          <w:sz w:val="20"/>
          <w:szCs w:val="20"/>
          <w:shd w:val="clear" w:color="auto" w:fill="FFFFFF"/>
        </w:rPr>
        <w:t>y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Animal_Rights</w:t>
      </w:r>
      <w:proofErr w:type="spellEnd"/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 </w:t>
      </w:r>
      <w:r w:rsidRPr="00287E88">
        <w:rPr>
          <w:rFonts w:ascii="Arial" w:hAnsi="Arial" w:cs="Arial"/>
          <w:color w:val="0000FF"/>
          <w:sz w:val="20"/>
          <w:szCs w:val="20"/>
          <w:shd w:val="clear" w:color="auto" w:fill="FFFFFF"/>
        </w:rPr>
        <w:t>group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Idealism </w:t>
      </w:r>
      <w:proofErr w:type="spellStart"/>
      <w:r w:rsidRPr="00287E88">
        <w:rPr>
          <w:rFonts w:ascii="Arial" w:hAnsi="Arial" w:cs="Arial"/>
          <w:color w:val="0000FF"/>
          <w:sz w:val="20"/>
          <w:szCs w:val="20"/>
          <w:shd w:val="clear" w:color="auto" w:fill="FFFFFF"/>
        </w:rPr>
        <w:t>nomarkers</w:t>
      </w:r>
      <w:proofErr w:type="spellEnd"/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A9562A" w:rsidRPr="00287E88" w:rsidRDefault="00A9562A" w:rsidP="00A95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287E88">
        <w:rPr>
          <w:rFonts w:ascii="Arial" w:hAnsi="Arial" w:cs="Arial"/>
          <w:color w:val="0000FF"/>
          <w:sz w:val="20"/>
          <w:szCs w:val="20"/>
          <w:shd w:val="clear" w:color="auto" w:fill="FFFFFF"/>
        </w:rPr>
        <w:t>yaxis</w:t>
      </w:r>
      <w:proofErr w:type="spellEnd"/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87E88">
        <w:rPr>
          <w:rFonts w:ascii="Arial" w:hAnsi="Arial" w:cs="Arial"/>
          <w:color w:val="0000FF"/>
          <w:sz w:val="20"/>
          <w:szCs w:val="20"/>
          <w:shd w:val="clear" w:color="auto" w:fill="FFFFFF"/>
        </w:rPr>
        <w:t>label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287E88">
        <w:rPr>
          <w:rFonts w:ascii="Arial" w:hAnsi="Arial" w:cs="Arial"/>
          <w:color w:val="800080"/>
          <w:sz w:val="20"/>
          <w:szCs w:val="20"/>
          <w:shd w:val="clear" w:color="auto" w:fill="FFFFFF"/>
        </w:rPr>
        <w:t>'Support of Animal Rights'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A9562A" w:rsidRPr="00287E88" w:rsidRDefault="00A9562A" w:rsidP="00A956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Pr="00287E88">
        <w:rPr>
          <w:rFonts w:ascii="Arial" w:hAnsi="Arial" w:cs="Arial"/>
          <w:color w:val="0000FF"/>
          <w:sz w:val="20"/>
          <w:szCs w:val="20"/>
          <w:shd w:val="clear" w:color="auto" w:fill="FFFFFF"/>
        </w:rPr>
        <w:t>xaxis</w:t>
      </w:r>
      <w:proofErr w:type="spellEnd"/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287E88">
        <w:rPr>
          <w:rFonts w:ascii="Arial" w:hAnsi="Arial" w:cs="Arial"/>
          <w:color w:val="0000FF"/>
          <w:sz w:val="20"/>
          <w:szCs w:val="20"/>
          <w:shd w:val="clear" w:color="auto" w:fill="FFFFFF"/>
        </w:rPr>
        <w:t>label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287E88">
        <w:rPr>
          <w:rFonts w:ascii="Arial" w:hAnsi="Arial" w:cs="Arial"/>
          <w:color w:val="800080"/>
          <w:sz w:val="20"/>
          <w:szCs w:val="20"/>
          <w:shd w:val="clear" w:color="auto" w:fill="FFFFFF"/>
        </w:rPr>
        <w:t>'Misanthropy'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Pr="00287E88"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run</w:t>
      </w:r>
      <w:r w:rsidRPr="00287E88"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</w:p>
    <w:p w:rsidR="002231FF" w:rsidRDefault="002231FF">
      <w:pPr>
        <w:rPr>
          <w:rFonts w:ascii="Arial" w:hAnsi="Arial" w:cs="Arial"/>
          <w:sz w:val="24"/>
          <w:szCs w:val="24"/>
        </w:rPr>
      </w:pPr>
    </w:p>
    <w:p w:rsidR="009473CD" w:rsidRDefault="009473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If you take the approach Hayes prefers, replace the description of the within-group regressions with something like this:  As shown in Figure 1, the slope (.30) for predicting attitude from misanthropy was significant in the </w:t>
      </w:r>
      <w:proofErr w:type="spellStart"/>
      <w:r>
        <w:rPr>
          <w:rFonts w:ascii="Arial" w:hAnsi="Arial" w:cs="Arial"/>
          <w:sz w:val="24"/>
          <w:szCs w:val="24"/>
        </w:rPr>
        <w:t>nonidealistic</w:t>
      </w:r>
      <w:proofErr w:type="spellEnd"/>
      <w:r>
        <w:rPr>
          <w:rFonts w:ascii="Arial" w:hAnsi="Arial" w:cs="Arial"/>
          <w:sz w:val="24"/>
          <w:szCs w:val="24"/>
        </w:rPr>
        <w:t xml:space="preserve"> group, 95% CI [.14, .46], but not in the idealistic group (.02), 95% CI [-.18, .21].</w:t>
      </w:r>
    </w:p>
    <w:p w:rsidR="009473CD" w:rsidRDefault="009473CD">
      <w:pPr>
        <w:rPr>
          <w:rFonts w:ascii="Arial" w:hAnsi="Arial" w:cs="Arial"/>
          <w:sz w:val="24"/>
          <w:szCs w:val="24"/>
        </w:rPr>
      </w:pPr>
    </w:p>
    <w:p w:rsidR="009473CD" w:rsidRDefault="009473CD">
      <w:pPr>
        <w:rPr>
          <w:rFonts w:ascii="Arial" w:hAnsi="Arial" w:cs="Arial"/>
          <w:sz w:val="24"/>
          <w:szCs w:val="24"/>
        </w:rPr>
      </w:pPr>
    </w:p>
    <w:p w:rsidR="009473CD" w:rsidRDefault="009473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493535" cy="2620697"/>
            <wp:effectExtent l="0" t="0" r="0" b="8255"/>
            <wp:docPr id="3" name="Picture 3" descr="The SGPlot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SGPlot Proced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64" cy="264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FF" w:rsidRPr="002231FF" w:rsidRDefault="002231FF">
      <w:pPr>
        <w:rPr>
          <w:rFonts w:ascii="Arial" w:hAnsi="Arial" w:cs="Arial"/>
          <w:sz w:val="24"/>
          <w:szCs w:val="24"/>
        </w:rPr>
      </w:pPr>
    </w:p>
    <w:p w:rsidR="00D80260" w:rsidRPr="002231FF" w:rsidRDefault="002527AE">
      <w:pPr>
        <w:rPr>
          <w:rFonts w:ascii="Arial" w:hAnsi="Arial" w:cs="Arial"/>
          <w:sz w:val="24"/>
          <w:szCs w:val="24"/>
        </w:rPr>
      </w:pPr>
      <w:hyperlink r:id="rId11" w:history="1">
        <w:r w:rsidR="00AA3949" w:rsidRPr="002231FF">
          <w:rPr>
            <w:rStyle w:val="Hyperlink"/>
            <w:rFonts w:ascii="Arial" w:hAnsi="Arial" w:cs="Arial"/>
            <w:sz w:val="24"/>
            <w:szCs w:val="24"/>
          </w:rPr>
          <w:t>Karl L. Wuensch</w:t>
        </w:r>
      </w:hyperlink>
      <w:r w:rsidR="00AA3949" w:rsidRPr="002231FF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692842">
        <w:rPr>
          <w:rFonts w:ascii="Arial" w:hAnsi="Arial" w:cs="Arial"/>
          <w:sz w:val="24"/>
          <w:szCs w:val="24"/>
        </w:rPr>
        <w:t>October</w:t>
      </w:r>
      <w:r w:rsidR="00AA3949" w:rsidRPr="002231FF">
        <w:rPr>
          <w:rFonts w:ascii="Arial" w:hAnsi="Arial" w:cs="Arial"/>
          <w:sz w:val="24"/>
          <w:szCs w:val="24"/>
        </w:rPr>
        <w:t>,</w:t>
      </w:r>
      <w:proofErr w:type="gramEnd"/>
      <w:r w:rsidR="00AA3949" w:rsidRPr="002231FF">
        <w:rPr>
          <w:rFonts w:ascii="Arial" w:hAnsi="Arial" w:cs="Arial"/>
          <w:sz w:val="24"/>
          <w:szCs w:val="24"/>
        </w:rPr>
        <w:t xml:space="preserve"> 201</w:t>
      </w:r>
      <w:r w:rsidR="00692842">
        <w:rPr>
          <w:rFonts w:ascii="Arial" w:hAnsi="Arial" w:cs="Arial"/>
          <w:sz w:val="24"/>
          <w:szCs w:val="24"/>
        </w:rPr>
        <w:t>9</w:t>
      </w:r>
      <w:r w:rsidR="00AA3949" w:rsidRPr="002231FF">
        <w:rPr>
          <w:rFonts w:ascii="Arial" w:hAnsi="Arial" w:cs="Arial"/>
          <w:sz w:val="24"/>
          <w:szCs w:val="24"/>
        </w:rPr>
        <w:t>.</w:t>
      </w:r>
      <w:bookmarkStart w:id="4" w:name="_GoBack"/>
      <w:bookmarkEnd w:id="4"/>
    </w:p>
    <w:sectPr w:rsidR="00D80260" w:rsidRPr="002231FF" w:rsidSect="00BC7B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40"/>
    <w:rsid w:val="00014587"/>
    <w:rsid w:val="00025F20"/>
    <w:rsid w:val="00031940"/>
    <w:rsid w:val="000522E2"/>
    <w:rsid w:val="000E49A8"/>
    <w:rsid w:val="002231FF"/>
    <w:rsid w:val="002527AE"/>
    <w:rsid w:val="003128CD"/>
    <w:rsid w:val="003258C5"/>
    <w:rsid w:val="004763AD"/>
    <w:rsid w:val="0052602B"/>
    <w:rsid w:val="00692842"/>
    <w:rsid w:val="007F004F"/>
    <w:rsid w:val="008937A8"/>
    <w:rsid w:val="009473CD"/>
    <w:rsid w:val="00A9562A"/>
    <w:rsid w:val="00AA3949"/>
    <w:rsid w:val="00B954A5"/>
    <w:rsid w:val="00BC5FA2"/>
    <w:rsid w:val="00BC7BB4"/>
    <w:rsid w:val="00D80260"/>
    <w:rsid w:val="00FA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8A95"/>
  <w15:docId w15:val="{00962D33-11B0-4074-84C0-ECEBF3DB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9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5699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hyperlink" Target="http://core.ecu.edu/psyc/WuenschK/KLW.htm" TargetMode="Externa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19EAC-A3DD-4FCE-BC39-BC3C6317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L. Wuensch</dc:creator>
  <cp:lastModifiedBy>Karl Wuensch</cp:lastModifiedBy>
  <cp:revision>10</cp:revision>
  <dcterms:created xsi:type="dcterms:W3CDTF">2016-09-26T18:08:00Z</dcterms:created>
  <dcterms:modified xsi:type="dcterms:W3CDTF">2019-10-14T01:13:00Z</dcterms:modified>
</cp:coreProperties>
</file>