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CE" w:rsidRPr="00326C68" w:rsidRDefault="005A4F91" w:rsidP="00694E6C">
      <w:pPr>
        <w:spacing w:line="360" w:lineRule="auto"/>
        <w:ind w:firstLine="720"/>
        <w:rPr>
          <w:rFonts w:ascii="Times New Roman" w:hAnsi="Times New Roman" w:cs="Times New Roman"/>
        </w:rPr>
      </w:pPr>
      <w:r w:rsidRPr="00326C68">
        <w:rPr>
          <w:rFonts w:ascii="Times New Roman" w:hAnsi="Times New Roman" w:cs="Times New Roman"/>
        </w:rPr>
        <w:t>The simulated data</w:t>
      </w:r>
      <w:r w:rsidR="00D01CB5">
        <w:rPr>
          <w:rFonts w:ascii="Times New Roman" w:hAnsi="Times New Roman" w:cs="Times New Roman"/>
        </w:rPr>
        <w:t>set</w:t>
      </w:r>
      <w:r w:rsidRPr="00326C68">
        <w:rPr>
          <w:rFonts w:ascii="Times New Roman" w:hAnsi="Times New Roman" w:cs="Times New Roman"/>
        </w:rPr>
        <w:t xml:space="preserve"> analy</w:t>
      </w:r>
      <w:r w:rsidR="00C71247">
        <w:rPr>
          <w:rFonts w:ascii="Times New Roman" w:hAnsi="Times New Roman" w:cs="Times New Roman"/>
        </w:rPr>
        <w:t>zed</w:t>
      </w:r>
      <w:r w:rsidRPr="00326C68">
        <w:rPr>
          <w:rFonts w:ascii="Times New Roman" w:hAnsi="Times New Roman" w:cs="Times New Roman"/>
        </w:rPr>
        <w:t xml:space="preserve"> was based on a 1985 dataset consisting of schoolchildren who had exhibited symptoms of attention deficit disorder.</w:t>
      </w:r>
      <w:r w:rsidR="00F822FB" w:rsidRPr="00326C68">
        <w:rPr>
          <w:rFonts w:ascii="Times New Roman" w:hAnsi="Times New Roman" w:cs="Times New Roman"/>
        </w:rPr>
        <w:t xml:space="preserve">  The number of s</w:t>
      </w:r>
      <w:r w:rsidR="004D0EFB" w:rsidRPr="00326C68">
        <w:rPr>
          <w:rFonts w:ascii="Times New Roman" w:hAnsi="Times New Roman" w:cs="Times New Roman"/>
        </w:rPr>
        <w:t>ubjects</w:t>
      </w:r>
      <w:r w:rsidR="00F822FB" w:rsidRPr="00326C68">
        <w:rPr>
          <w:rFonts w:ascii="Times New Roman" w:hAnsi="Times New Roman" w:cs="Times New Roman"/>
        </w:rPr>
        <w:t xml:space="preserve"> (2</w:t>
      </w:r>
      <w:r w:rsidR="004D0EFB" w:rsidRPr="00326C68">
        <w:rPr>
          <w:rFonts w:ascii="Times New Roman" w:hAnsi="Times New Roman" w:cs="Times New Roman"/>
        </w:rPr>
        <w:t>50</w:t>
      </w:r>
      <w:r w:rsidR="00F822FB" w:rsidRPr="00326C68">
        <w:rPr>
          <w:rFonts w:ascii="Times New Roman" w:hAnsi="Times New Roman" w:cs="Times New Roman"/>
        </w:rPr>
        <w:t xml:space="preserve">) was </w:t>
      </w:r>
      <w:proofErr w:type="gramStart"/>
      <w:r w:rsidR="00F822FB" w:rsidRPr="00326C68">
        <w:rPr>
          <w:rFonts w:ascii="Times New Roman" w:hAnsi="Times New Roman" w:cs="Times New Roman"/>
        </w:rPr>
        <w:t>sufficient</w:t>
      </w:r>
      <w:proofErr w:type="gramEnd"/>
      <w:r w:rsidR="00F822FB" w:rsidRPr="00326C68">
        <w:rPr>
          <w:rFonts w:ascii="Times New Roman" w:hAnsi="Times New Roman" w:cs="Times New Roman"/>
        </w:rPr>
        <w:t xml:space="preserve"> to provide over 99% power for detecting effects of </w:t>
      </w:r>
      <w:r w:rsidR="004D0EFB" w:rsidRPr="00326C68">
        <w:rPr>
          <w:rFonts w:ascii="Times New Roman" w:hAnsi="Times New Roman" w:cs="Times New Roman"/>
        </w:rPr>
        <w:t xml:space="preserve">small to </w:t>
      </w:r>
      <w:r w:rsidR="00F822FB" w:rsidRPr="00326C68">
        <w:rPr>
          <w:rFonts w:ascii="Times New Roman" w:hAnsi="Times New Roman" w:cs="Times New Roman"/>
        </w:rPr>
        <w:t>medium size (</w:t>
      </w:r>
      <w:r w:rsidR="004D0EFB" w:rsidRPr="00326C68">
        <w:rPr>
          <w:rFonts w:ascii="Times New Roman" w:hAnsi="Times New Roman" w:cs="Times New Roman"/>
          <w:i/>
        </w:rPr>
        <w:t xml:space="preserve">f </w:t>
      </w:r>
      <w:r w:rsidR="004D0EFB" w:rsidRPr="00326C68">
        <w:rPr>
          <w:rFonts w:ascii="Times New Roman" w:hAnsi="Times New Roman" w:cs="Times New Roman"/>
          <w:i/>
          <w:vertAlign w:val="superscript"/>
        </w:rPr>
        <w:t>2</w:t>
      </w:r>
      <w:r w:rsidR="00F822FB" w:rsidRPr="00326C68">
        <w:rPr>
          <w:rFonts w:ascii="Times New Roman" w:hAnsi="Times New Roman" w:cs="Times New Roman"/>
        </w:rPr>
        <w:t xml:space="preserve"> = .</w:t>
      </w:r>
      <w:r w:rsidR="004D0EFB" w:rsidRPr="00326C68">
        <w:rPr>
          <w:rFonts w:ascii="Times New Roman" w:hAnsi="Times New Roman" w:cs="Times New Roman"/>
        </w:rPr>
        <w:t>08</w:t>
      </w:r>
      <w:r w:rsidR="00F822FB" w:rsidRPr="00326C68">
        <w:rPr>
          <w:rFonts w:ascii="Times New Roman" w:hAnsi="Times New Roman" w:cs="Times New Roman"/>
        </w:rPr>
        <w:t>) in the multivariate analys</w:t>
      </w:r>
      <w:r w:rsidR="004D0EFB" w:rsidRPr="00326C68">
        <w:rPr>
          <w:rFonts w:ascii="Times New Roman" w:hAnsi="Times New Roman" w:cs="Times New Roman"/>
        </w:rPr>
        <w:t>i</w:t>
      </w:r>
      <w:r w:rsidR="00F822FB" w:rsidRPr="00326C68">
        <w:rPr>
          <w:rFonts w:ascii="Times New Roman" w:hAnsi="Times New Roman" w:cs="Times New Roman"/>
        </w:rPr>
        <w:t>s.</w:t>
      </w:r>
      <w:r w:rsidR="00265ECE" w:rsidRPr="00326C68">
        <w:rPr>
          <w:rFonts w:ascii="Times New Roman" w:hAnsi="Times New Roman" w:cs="Times New Roman"/>
        </w:rPr>
        <w:t xml:space="preserve">  Power analysis for the t-test indicated sample size (250) was </w:t>
      </w:r>
      <w:proofErr w:type="gramStart"/>
      <w:r w:rsidR="00265ECE" w:rsidRPr="00326C68">
        <w:rPr>
          <w:rFonts w:ascii="Times New Roman" w:hAnsi="Times New Roman" w:cs="Times New Roman"/>
        </w:rPr>
        <w:t>sufficient</w:t>
      </w:r>
      <w:proofErr w:type="gramEnd"/>
      <w:r w:rsidR="00265ECE" w:rsidRPr="00326C68">
        <w:rPr>
          <w:rFonts w:ascii="Times New Roman" w:hAnsi="Times New Roman" w:cs="Times New Roman"/>
        </w:rPr>
        <w:t xml:space="preserve"> for detecting effects of medium size (</w:t>
      </w:r>
      <w:r w:rsidR="00265ECE" w:rsidRPr="00326C68">
        <w:rPr>
          <w:rFonts w:ascii="Times New Roman" w:hAnsi="Times New Roman" w:cs="Times New Roman"/>
          <w:i/>
        </w:rPr>
        <w:t>d</w:t>
      </w:r>
      <w:r w:rsidR="00265ECE" w:rsidRPr="00326C68">
        <w:rPr>
          <w:rFonts w:ascii="Times New Roman" w:hAnsi="Times New Roman" w:cs="Times New Roman"/>
        </w:rPr>
        <w:t xml:space="preserve"> = .045, </w:t>
      </w:r>
      <w:r w:rsidR="00265ECE" w:rsidRPr="00326C68">
        <w:rPr>
          <w:rFonts w:ascii="Times New Roman" w:hAnsi="Times New Roman" w:cs="Times New Roman"/>
          <w:i/>
        </w:rPr>
        <w:t>p</w:t>
      </w:r>
      <w:r w:rsidR="00265ECE" w:rsidRPr="00326C68">
        <w:rPr>
          <w:rFonts w:ascii="Times New Roman" w:hAnsi="Times New Roman" w:cs="Times New Roman"/>
        </w:rPr>
        <w:t xml:space="preserve"> = .08, </w:t>
      </w:r>
      <w:r w:rsidR="00265ECE" w:rsidRPr="00326C68">
        <w:rPr>
          <w:rFonts w:ascii="Times New Roman" w:hAnsi="Times New Roman" w:cs="Times New Roman"/>
          <w:i/>
        </w:rPr>
        <w:t>sig</w:t>
      </w:r>
      <w:r w:rsidR="00265ECE" w:rsidRPr="00326C68">
        <w:rPr>
          <w:rFonts w:ascii="Times New Roman" w:hAnsi="Times New Roman" w:cs="Times New Roman"/>
        </w:rPr>
        <w:t xml:space="preserve"> = .05).  Power analysis for </w:t>
      </w:r>
      <w:r w:rsidR="003955B1" w:rsidRPr="00326C68">
        <w:rPr>
          <w:rFonts w:ascii="Times New Roman" w:hAnsi="Times New Roman" w:cs="Times New Roman"/>
        </w:rPr>
        <w:t xml:space="preserve">the </w:t>
      </w:r>
      <w:r w:rsidR="00265ECE" w:rsidRPr="00326C68">
        <w:rPr>
          <w:rFonts w:ascii="Times New Roman" w:hAnsi="Times New Roman" w:cs="Times New Roman"/>
        </w:rPr>
        <w:t xml:space="preserve">chi-square </w:t>
      </w:r>
      <w:r w:rsidR="003955B1" w:rsidRPr="00326C68">
        <w:rPr>
          <w:rFonts w:ascii="Times New Roman" w:hAnsi="Times New Roman" w:cs="Times New Roman"/>
        </w:rPr>
        <w:t xml:space="preserve">tests </w:t>
      </w:r>
      <w:r w:rsidR="00265ECE" w:rsidRPr="00326C68">
        <w:rPr>
          <w:rFonts w:ascii="Times New Roman" w:hAnsi="Times New Roman" w:cs="Times New Roman"/>
        </w:rPr>
        <w:t xml:space="preserve">indicated sample size (250) was </w:t>
      </w:r>
      <w:proofErr w:type="gramStart"/>
      <w:r w:rsidR="00265ECE" w:rsidRPr="00326C68">
        <w:rPr>
          <w:rFonts w:ascii="Times New Roman" w:hAnsi="Times New Roman" w:cs="Times New Roman"/>
        </w:rPr>
        <w:t>sufficient</w:t>
      </w:r>
      <w:proofErr w:type="gramEnd"/>
      <w:r w:rsidR="00265ECE" w:rsidRPr="00326C68">
        <w:rPr>
          <w:rFonts w:ascii="Times New Roman" w:hAnsi="Times New Roman" w:cs="Times New Roman"/>
        </w:rPr>
        <w:t xml:space="preserve"> for detecting effects of medium size (</w:t>
      </w:r>
      <w:r w:rsidR="00DC3A14" w:rsidRPr="00326C68">
        <w:rPr>
          <w:rFonts w:ascii="Times New Roman" w:hAnsi="Times New Roman" w:cs="Times New Roman"/>
          <w:i/>
        </w:rPr>
        <w:t>w</w:t>
      </w:r>
      <w:r w:rsidR="00265ECE" w:rsidRPr="00326C68">
        <w:rPr>
          <w:rFonts w:ascii="Times New Roman" w:hAnsi="Times New Roman" w:cs="Times New Roman"/>
        </w:rPr>
        <w:t xml:space="preserve"> = .0</w:t>
      </w:r>
      <w:r w:rsidR="00D246F5" w:rsidRPr="00326C68">
        <w:rPr>
          <w:rFonts w:ascii="Times New Roman" w:hAnsi="Times New Roman" w:cs="Times New Roman"/>
        </w:rPr>
        <w:t>32</w:t>
      </w:r>
      <w:r w:rsidR="00265ECE" w:rsidRPr="00326C68">
        <w:rPr>
          <w:rFonts w:ascii="Times New Roman" w:hAnsi="Times New Roman" w:cs="Times New Roman"/>
        </w:rPr>
        <w:t xml:space="preserve">, </w:t>
      </w:r>
      <w:r w:rsidR="00265ECE" w:rsidRPr="00326C68">
        <w:rPr>
          <w:rFonts w:ascii="Times New Roman" w:hAnsi="Times New Roman" w:cs="Times New Roman"/>
          <w:i/>
        </w:rPr>
        <w:t>p</w:t>
      </w:r>
      <w:r w:rsidR="00265ECE" w:rsidRPr="00326C68">
        <w:rPr>
          <w:rFonts w:ascii="Times New Roman" w:hAnsi="Times New Roman" w:cs="Times New Roman"/>
        </w:rPr>
        <w:t xml:space="preserve"> = .08, </w:t>
      </w:r>
      <w:r w:rsidR="00265ECE" w:rsidRPr="00326C68">
        <w:rPr>
          <w:rFonts w:ascii="Times New Roman" w:hAnsi="Times New Roman" w:cs="Times New Roman"/>
          <w:i/>
        </w:rPr>
        <w:t>sig</w:t>
      </w:r>
      <w:r w:rsidR="00265ECE" w:rsidRPr="00326C68">
        <w:rPr>
          <w:rFonts w:ascii="Times New Roman" w:hAnsi="Times New Roman" w:cs="Times New Roman"/>
        </w:rPr>
        <w:t xml:space="preserve"> = .05). </w:t>
      </w:r>
    </w:p>
    <w:p w:rsidR="00821CCB" w:rsidRPr="00326C68" w:rsidRDefault="00233FE8" w:rsidP="00326C68">
      <w:pPr>
        <w:spacing w:after="0" w:line="480" w:lineRule="auto"/>
        <w:rPr>
          <w:rFonts w:ascii="Times New Roman" w:hAnsi="Times New Roman" w:cs="Times New Roman"/>
          <w:i/>
        </w:rPr>
      </w:pPr>
      <w:r w:rsidRPr="00326C68">
        <w:rPr>
          <w:rFonts w:ascii="Times New Roman" w:hAnsi="Times New Roman" w:cs="Times New Roman"/>
          <w:i/>
        </w:rPr>
        <w:t xml:space="preserve">Table 1 – </w:t>
      </w:r>
      <w:r w:rsidR="00261045" w:rsidRPr="00326C68">
        <w:rPr>
          <w:rFonts w:ascii="Times New Roman" w:hAnsi="Times New Roman" w:cs="Times New Roman"/>
          <w:i/>
        </w:rPr>
        <w:t>Descriptive statistics by DROPOUT</w:t>
      </w:r>
    </w:p>
    <w:tbl>
      <w:tblPr>
        <w:tblW w:w="9630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2700"/>
        <w:gridCol w:w="2970"/>
      </w:tblGrid>
      <w:tr w:rsidR="008E67C6" w:rsidRPr="00326C68" w:rsidTr="00326C68">
        <w:trPr>
          <w:trHeight w:val="311"/>
          <w:jc w:val="center"/>
        </w:trPr>
        <w:tc>
          <w:tcPr>
            <w:tcW w:w="39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0 - Completed high school</w:t>
            </w:r>
          </w:p>
        </w:tc>
        <w:tc>
          <w:tcPr>
            <w:tcW w:w="297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1 - Dropped out of high school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N=226</w:t>
            </w:r>
            <w:r w:rsidRPr="00326C68">
              <w:rPr>
                <w:rFonts w:ascii="Times New Roman" w:eastAsia="Times New Roman" w:hAnsi="Times New Roman" w:cs="Times New Roman"/>
                <w:color w:val="000000"/>
              </w:rPr>
              <w:t xml:space="preserve"> (90.4</w:t>
            </w:r>
            <w:proofErr w:type="gramStart"/>
            <w:r w:rsidRPr="00326C68">
              <w:rPr>
                <w:rFonts w:ascii="Times New Roman" w:eastAsia="Times New Roman" w:hAnsi="Times New Roman" w:cs="Times New Roman"/>
                <w:color w:val="000000"/>
              </w:rPr>
              <w:t>%)</w:t>
            </w: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gramEnd"/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29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N=24 </w:t>
            </w:r>
            <w:r w:rsidRPr="00326C68">
              <w:rPr>
                <w:rFonts w:ascii="Times New Roman" w:eastAsia="Times New Roman" w:hAnsi="Times New Roman" w:cs="Times New Roman"/>
                <w:color w:val="000000"/>
              </w:rPr>
              <w:t>(9.6</w:t>
            </w:r>
            <w:proofErr w:type="gramStart"/>
            <w:r w:rsidRPr="00326C68">
              <w:rPr>
                <w:rFonts w:ascii="Times New Roman" w:eastAsia="Times New Roman" w:hAnsi="Times New Roman" w:cs="Times New Roman"/>
                <w:color w:val="000000"/>
              </w:rPr>
              <w:t>%)</w:t>
            </w: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gramEnd"/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SOCPROB: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0 - Yes 9th grade social problems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210 (92.9%)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19 (79.2</w:t>
            </w:r>
            <w:proofErr w:type="gramStart"/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%)   </w:t>
            </w:r>
            <w:proofErr w:type="gramEnd"/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1 - No 9th grade social problems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16 (7.08%)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5 (20.8%)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REPEAT: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0 - Didn't repeat a grade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199 (88.1%)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14 (58.3%)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 xml:space="preserve">    1 - Repeated a grade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27 (11.9%)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10 (41.7%)</w:t>
            </w:r>
          </w:p>
        </w:tc>
      </w:tr>
      <w:tr w:rsidR="008E67C6" w:rsidRPr="00326C68" w:rsidTr="00326C68">
        <w:trPr>
          <w:trHeight w:val="311"/>
          <w:jc w:val="center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233F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ADDSC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51.0 (11.7)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:rsidR="008E67C6" w:rsidRPr="00233FE8" w:rsidRDefault="008E67C6" w:rsidP="007409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3FE8">
              <w:rPr>
                <w:rFonts w:ascii="Times New Roman" w:eastAsia="Times New Roman" w:hAnsi="Times New Roman" w:cs="Times New Roman"/>
                <w:color w:val="000000"/>
              </w:rPr>
              <w:t>59.2 (9.60)</w:t>
            </w:r>
          </w:p>
        </w:tc>
      </w:tr>
    </w:tbl>
    <w:p w:rsidR="00233FE8" w:rsidRPr="00326C68" w:rsidRDefault="00233FE8" w:rsidP="00A5718F">
      <w:pPr>
        <w:rPr>
          <w:rFonts w:ascii="Times New Roman" w:hAnsi="Times New Roman" w:cs="Times New Roman"/>
        </w:rPr>
      </w:pPr>
    </w:p>
    <w:p w:rsidR="00A5588B" w:rsidRPr="00326C68" w:rsidRDefault="00A5588B" w:rsidP="00326C68">
      <w:pPr>
        <w:spacing w:after="0"/>
        <w:rPr>
          <w:rFonts w:ascii="Times New Roman" w:hAnsi="Times New Roman" w:cs="Times New Roman"/>
          <w:i/>
        </w:rPr>
      </w:pPr>
      <w:r w:rsidRPr="00326C68">
        <w:rPr>
          <w:rFonts w:ascii="Times New Roman" w:hAnsi="Times New Roman" w:cs="Times New Roman"/>
          <w:i/>
        </w:rPr>
        <w:t>Table 2 – Descriptive statistics</w:t>
      </w:r>
      <w:r w:rsidR="00261045" w:rsidRPr="00326C68">
        <w:rPr>
          <w:rFonts w:ascii="Times New Roman" w:hAnsi="Times New Roman" w:cs="Times New Roman"/>
          <w:i/>
        </w:rPr>
        <w:t xml:space="preserve"> – mean and standard deviation</w:t>
      </w:r>
      <w:r w:rsidR="00326C68">
        <w:rPr>
          <w:rFonts w:ascii="Times New Roman" w:hAnsi="Times New Roman" w:cs="Times New Roman"/>
          <w:i/>
        </w:rPr>
        <w:br/>
      </w:r>
    </w:p>
    <w:tbl>
      <w:tblPr>
        <w:tblW w:w="3600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10"/>
        <w:gridCol w:w="1170"/>
      </w:tblGrid>
      <w:tr w:rsidR="00A5588B" w:rsidRPr="00326C68" w:rsidTr="00424886">
        <w:trPr>
          <w:trHeight w:val="290"/>
          <w:jc w:val="center"/>
        </w:trPr>
        <w:tc>
          <w:tcPr>
            <w:tcW w:w="162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</w:tcPr>
          <w:p w:rsidR="00A5588B" w:rsidRPr="00326C68" w:rsidRDefault="00795C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 w:rsidR="00A5588B" w:rsidRPr="00326C68">
              <w:rPr>
                <w:rFonts w:ascii="Times New Roman" w:hAnsi="Times New Roman" w:cs="Times New Roman"/>
                <w:color w:val="000000"/>
              </w:rPr>
              <w:t>ean</w:t>
            </w:r>
          </w:p>
        </w:tc>
        <w:tc>
          <w:tcPr>
            <w:tcW w:w="1170" w:type="dxa"/>
          </w:tcPr>
          <w:p w:rsidR="00A5588B" w:rsidRPr="00795CBC" w:rsidRDefault="00A55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795CBC">
              <w:rPr>
                <w:rFonts w:ascii="Times New Roman" w:hAnsi="Times New Roman" w:cs="Times New Roman"/>
                <w:i/>
                <w:color w:val="000000"/>
              </w:rPr>
              <w:t>sd</w:t>
            </w:r>
            <w:proofErr w:type="spellEnd"/>
          </w:p>
        </w:tc>
      </w:tr>
      <w:tr w:rsidR="00A5588B" w:rsidRPr="00326C68" w:rsidTr="00424886">
        <w:trPr>
          <w:trHeight w:val="290"/>
          <w:jc w:val="center"/>
        </w:trPr>
        <w:tc>
          <w:tcPr>
            <w:tcW w:w="162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SOCPROB</w:t>
            </w:r>
          </w:p>
        </w:tc>
        <w:tc>
          <w:tcPr>
            <w:tcW w:w="81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1.084</w:t>
            </w:r>
          </w:p>
        </w:tc>
        <w:tc>
          <w:tcPr>
            <w:tcW w:w="117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0.27</w:t>
            </w:r>
            <w:r w:rsidR="00424886" w:rsidRPr="00326C68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A5588B" w:rsidRPr="00326C68" w:rsidTr="00424886">
        <w:trPr>
          <w:trHeight w:val="290"/>
          <w:jc w:val="center"/>
        </w:trPr>
        <w:tc>
          <w:tcPr>
            <w:tcW w:w="162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REPEAT</w:t>
            </w:r>
          </w:p>
        </w:tc>
        <w:tc>
          <w:tcPr>
            <w:tcW w:w="81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1.148</w:t>
            </w:r>
          </w:p>
        </w:tc>
        <w:tc>
          <w:tcPr>
            <w:tcW w:w="117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0.35</w:t>
            </w:r>
            <w:r w:rsidR="00424886" w:rsidRPr="00326C68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A5588B" w:rsidRPr="00326C68" w:rsidTr="00424886">
        <w:trPr>
          <w:trHeight w:val="290"/>
          <w:jc w:val="center"/>
        </w:trPr>
        <w:tc>
          <w:tcPr>
            <w:tcW w:w="162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ADDSC</w:t>
            </w:r>
          </w:p>
        </w:tc>
        <w:tc>
          <w:tcPr>
            <w:tcW w:w="81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51.78</w:t>
            </w:r>
          </w:p>
        </w:tc>
        <w:tc>
          <w:tcPr>
            <w:tcW w:w="117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11.71</w:t>
            </w:r>
            <w:r w:rsidR="00424886" w:rsidRPr="00326C68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A5588B" w:rsidRPr="00326C68" w:rsidTr="00424886">
        <w:trPr>
          <w:trHeight w:val="290"/>
          <w:jc w:val="center"/>
        </w:trPr>
        <w:tc>
          <w:tcPr>
            <w:tcW w:w="162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DROPOUT</w:t>
            </w:r>
          </w:p>
        </w:tc>
        <w:tc>
          <w:tcPr>
            <w:tcW w:w="81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1.096</w:t>
            </w:r>
          </w:p>
        </w:tc>
        <w:tc>
          <w:tcPr>
            <w:tcW w:w="1170" w:type="dxa"/>
          </w:tcPr>
          <w:p w:rsidR="00A5588B" w:rsidRPr="00326C68" w:rsidRDefault="00A55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326C68">
              <w:rPr>
                <w:rFonts w:ascii="Times New Roman" w:hAnsi="Times New Roman" w:cs="Times New Roman"/>
                <w:color w:val="000000"/>
              </w:rPr>
              <w:t>0.295</w:t>
            </w:r>
          </w:p>
        </w:tc>
      </w:tr>
    </w:tbl>
    <w:p w:rsidR="00A5588B" w:rsidRPr="00326C68" w:rsidRDefault="00A5588B" w:rsidP="008B2BF3">
      <w:pPr>
        <w:rPr>
          <w:rFonts w:ascii="Times New Roman" w:hAnsi="Times New Roman" w:cs="Times New Roman"/>
        </w:rPr>
      </w:pPr>
    </w:p>
    <w:p w:rsidR="00F8030D" w:rsidRPr="00326C68" w:rsidRDefault="00914749" w:rsidP="00694E6C">
      <w:pPr>
        <w:spacing w:line="360" w:lineRule="auto"/>
        <w:ind w:firstLine="720"/>
        <w:rPr>
          <w:rFonts w:ascii="Times New Roman" w:hAnsi="Times New Roman" w:cs="Times New Roman"/>
        </w:rPr>
      </w:pPr>
      <w:r w:rsidRPr="00326C68">
        <w:rPr>
          <w:rFonts w:ascii="Times New Roman" w:hAnsi="Times New Roman" w:cs="Times New Roman"/>
        </w:rPr>
        <w:t>As shown in Table 1, an overall minority of subjects dropped out of high school (9.6%).</w:t>
      </w:r>
      <w:r w:rsidR="00485BAE">
        <w:rPr>
          <w:rFonts w:ascii="Times New Roman" w:hAnsi="Times New Roman" w:cs="Times New Roman"/>
        </w:rPr>
        <w:t xml:space="preserve">  </w:t>
      </w:r>
      <w:r w:rsidR="008B2BF3" w:rsidRPr="00326C68">
        <w:rPr>
          <w:rFonts w:ascii="Times New Roman" w:hAnsi="Times New Roman" w:cs="Times New Roman"/>
        </w:rPr>
        <w:t>Logistic regression was employed to predict the probability that a given subject will drop out of high school.</w:t>
      </w:r>
      <w:r w:rsidR="00D01CB5">
        <w:rPr>
          <w:rFonts w:ascii="Times New Roman" w:hAnsi="Times New Roman" w:cs="Times New Roman"/>
        </w:rPr>
        <w:t xml:space="preserve">  </w:t>
      </w:r>
      <w:r w:rsidR="008B2BF3" w:rsidRPr="00326C68">
        <w:rPr>
          <w:rFonts w:ascii="Times New Roman" w:hAnsi="Times New Roman" w:cs="Times New Roman"/>
        </w:rPr>
        <w:t>The dichotomous predictor variables were SOCPROB - a subject’s record of social problems in 9</w:t>
      </w:r>
      <w:r w:rsidR="008B2BF3" w:rsidRPr="00326C68">
        <w:rPr>
          <w:rFonts w:ascii="Times New Roman" w:hAnsi="Times New Roman" w:cs="Times New Roman"/>
          <w:vertAlign w:val="superscript"/>
        </w:rPr>
        <w:t>th</w:t>
      </w:r>
      <w:r w:rsidR="008B2BF3" w:rsidRPr="00326C68">
        <w:rPr>
          <w:rFonts w:ascii="Times New Roman" w:hAnsi="Times New Roman" w:cs="Times New Roman"/>
        </w:rPr>
        <w:t xml:space="preserve"> grade and REPEAT – </w:t>
      </w:r>
      <w:r w:rsidR="00AD6A97">
        <w:rPr>
          <w:rFonts w:ascii="Times New Roman" w:hAnsi="Times New Roman" w:cs="Times New Roman"/>
        </w:rPr>
        <w:t xml:space="preserve">indicating </w:t>
      </w:r>
      <w:r w:rsidR="008B2BF3" w:rsidRPr="00326C68">
        <w:rPr>
          <w:rFonts w:ascii="Times New Roman" w:hAnsi="Times New Roman" w:cs="Times New Roman"/>
        </w:rPr>
        <w:t>a subject</w:t>
      </w:r>
      <w:r w:rsidR="00AD6A97">
        <w:rPr>
          <w:rFonts w:ascii="Times New Roman" w:hAnsi="Times New Roman" w:cs="Times New Roman"/>
        </w:rPr>
        <w:t xml:space="preserve"> had repeated at least one</w:t>
      </w:r>
      <w:r w:rsidR="008B2BF3" w:rsidRPr="00326C68">
        <w:rPr>
          <w:rFonts w:ascii="Times New Roman" w:hAnsi="Times New Roman" w:cs="Times New Roman"/>
        </w:rPr>
        <w:t xml:space="preserve"> grade. </w:t>
      </w:r>
      <w:r w:rsidR="00AD6A97">
        <w:rPr>
          <w:rFonts w:ascii="Times New Roman" w:hAnsi="Times New Roman" w:cs="Times New Roman"/>
        </w:rPr>
        <w:t xml:space="preserve"> </w:t>
      </w:r>
      <w:r w:rsidR="00F8030D" w:rsidRPr="00326C68">
        <w:rPr>
          <w:rFonts w:ascii="Times New Roman" w:hAnsi="Times New Roman" w:cs="Times New Roman"/>
        </w:rPr>
        <w:t>The</w:t>
      </w:r>
      <w:r w:rsidR="008B2BF3" w:rsidRPr="00326C68">
        <w:rPr>
          <w:rFonts w:ascii="Times New Roman" w:hAnsi="Times New Roman" w:cs="Times New Roman"/>
        </w:rPr>
        <w:t xml:space="preserve"> continuous predictor variable was ADDSC – the subject’s mean score </w:t>
      </w:r>
      <w:r w:rsidR="00C513FF">
        <w:rPr>
          <w:rFonts w:ascii="Times New Roman" w:hAnsi="Times New Roman" w:cs="Times New Roman"/>
        </w:rPr>
        <w:t>for</w:t>
      </w:r>
      <w:r w:rsidR="008B2BF3" w:rsidRPr="00326C68">
        <w:rPr>
          <w:rFonts w:ascii="Times New Roman" w:hAnsi="Times New Roman" w:cs="Times New Roman"/>
        </w:rPr>
        <w:t xml:space="preserve"> attention deficit disorder </w:t>
      </w:r>
      <w:r w:rsidR="00C513FF">
        <w:rPr>
          <w:rFonts w:ascii="Times New Roman" w:hAnsi="Times New Roman" w:cs="Times New Roman"/>
        </w:rPr>
        <w:t>behaviors in elementary school</w:t>
      </w:r>
      <w:r w:rsidR="008B2BF3" w:rsidRPr="00326C68">
        <w:rPr>
          <w:rFonts w:ascii="Times New Roman" w:hAnsi="Times New Roman" w:cs="Times New Roman"/>
        </w:rPr>
        <w:t>.</w:t>
      </w:r>
      <w:r w:rsidR="00B07947" w:rsidRPr="00326C68">
        <w:rPr>
          <w:rFonts w:ascii="Times New Roman" w:hAnsi="Times New Roman" w:cs="Times New Roman"/>
        </w:rPr>
        <w:t xml:space="preserve">  </w:t>
      </w:r>
      <w:r w:rsidR="007844B7" w:rsidRPr="00326C68">
        <w:rPr>
          <w:rFonts w:ascii="Times New Roman" w:hAnsi="Times New Roman" w:cs="Times New Roman"/>
        </w:rPr>
        <w:t>A Box-Tidwell test of linearity of the logit indicated no significant problems with the assumptions of the analysis (</w:t>
      </w:r>
      <w:r w:rsidR="007844B7" w:rsidRPr="00326C68">
        <w:rPr>
          <w:rFonts w:ascii="Times New Roman" w:hAnsi="Times New Roman" w:cs="Times New Roman"/>
          <w:i/>
        </w:rPr>
        <w:t>z</w:t>
      </w:r>
      <w:r w:rsidR="007844B7" w:rsidRPr="00326C68">
        <w:rPr>
          <w:rFonts w:ascii="Times New Roman" w:hAnsi="Times New Roman" w:cs="Times New Roman"/>
        </w:rPr>
        <w:t xml:space="preserve"> = .322, </w:t>
      </w:r>
      <w:r w:rsidR="007844B7" w:rsidRPr="00326C68">
        <w:rPr>
          <w:rFonts w:ascii="Times New Roman" w:hAnsi="Times New Roman" w:cs="Times New Roman"/>
          <w:i/>
        </w:rPr>
        <w:t>p</w:t>
      </w:r>
      <w:r w:rsidR="007844B7" w:rsidRPr="00326C68">
        <w:rPr>
          <w:rFonts w:ascii="Times New Roman" w:hAnsi="Times New Roman" w:cs="Times New Roman"/>
        </w:rPr>
        <w:t xml:space="preserve"> = .747).</w:t>
      </w:r>
    </w:p>
    <w:p w:rsidR="00D84EC4" w:rsidRPr="00326C68" w:rsidRDefault="00FF3C8E" w:rsidP="00694E6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visualized in Plot 1, </w:t>
      </w:r>
      <w:r w:rsidR="005B5CCD">
        <w:rPr>
          <w:rFonts w:ascii="Times New Roman" w:hAnsi="Times New Roman" w:cs="Times New Roman"/>
        </w:rPr>
        <w:t xml:space="preserve">with a </w:t>
      </w:r>
      <w:r w:rsidR="00322E54">
        <w:rPr>
          <w:rFonts w:ascii="Times New Roman" w:hAnsi="Times New Roman" w:cs="Times New Roman"/>
        </w:rPr>
        <w:t>threshold</w:t>
      </w:r>
      <w:r w:rsidR="005B5CCD">
        <w:rPr>
          <w:rFonts w:ascii="Times New Roman" w:hAnsi="Times New Roman" w:cs="Times New Roman"/>
        </w:rPr>
        <w:t xml:space="preserve"> of .</w:t>
      </w:r>
      <w:r w:rsidR="00404E35">
        <w:rPr>
          <w:rFonts w:ascii="Times New Roman" w:hAnsi="Times New Roman" w:cs="Times New Roman"/>
        </w:rPr>
        <w:t>1</w:t>
      </w:r>
      <w:r w:rsidR="004B55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1B661B" w:rsidRPr="00326C68">
        <w:rPr>
          <w:rFonts w:ascii="Times New Roman" w:hAnsi="Times New Roman" w:cs="Times New Roman"/>
        </w:rPr>
        <w:t xml:space="preserve">he full model </w:t>
      </w:r>
      <w:r w:rsidR="00451149" w:rsidRPr="00326C68">
        <w:rPr>
          <w:rFonts w:ascii="Times New Roman" w:hAnsi="Times New Roman" w:cs="Times New Roman"/>
        </w:rPr>
        <w:t xml:space="preserve">correctly </w:t>
      </w:r>
      <w:r w:rsidR="001B661B" w:rsidRPr="00326C68">
        <w:rPr>
          <w:rFonts w:ascii="Times New Roman" w:hAnsi="Times New Roman" w:cs="Times New Roman"/>
        </w:rPr>
        <w:t xml:space="preserve">predicted a student would drop out of high school </w:t>
      </w:r>
      <w:r w:rsidR="00322E54">
        <w:rPr>
          <w:rFonts w:ascii="Times New Roman" w:hAnsi="Times New Roman" w:cs="Times New Roman"/>
        </w:rPr>
        <w:t>54</w:t>
      </w:r>
      <w:r w:rsidR="001B661B" w:rsidRPr="00326C68">
        <w:rPr>
          <w:rFonts w:ascii="Times New Roman" w:hAnsi="Times New Roman" w:cs="Times New Roman"/>
        </w:rPr>
        <w:t xml:space="preserve">% of the time, and correctly predicted that a student would graduate from high school </w:t>
      </w:r>
      <w:r w:rsidR="00322E54">
        <w:rPr>
          <w:rFonts w:ascii="Times New Roman" w:hAnsi="Times New Roman" w:cs="Times New Roman"/>
        </w:rPr>
        <w:t>7</w:t>
      </w:r>
      <w:r w:rsidR="004B55AD">
        <w:rPr>
          <w:rFonts w:ascii="Times New Roman" w:hAnsi="Times New Roman" w:cs="Times New Roman"/>
        </w:rPr>
        <w:t>6</w:t>
      </w:r>
      <w:r w:rsidR="001B661B" w:rsidRPr="00326C68">
        <w:rPr>
          <w:rFonts w:ascii="Times New Roman" w:hAnsi="Times New Roman" w:cs="Times New Roman"/>
        </w:rPr>
        <w:t>% of the time (</w:t>
      </w:r>
      <w:r w:rsidR="001B661B" w:rsidRPr="00326C68">
        <w:rPr>
          <w:rFonts w:ascii="Times New Roman" w:hAnsi="Times New Roman" w:cs="Times New Roman"/>
          <w:i/>
        </w:rPr>
        <w:t>AIC</w:t>
      </w:r>
      <w:r w:rsidR="001B661B" w:rsidRPr="00326C68">
        <w:rPr>
          <w:rFonts w:ascii="Times New Roman" w:hAnsi="Times New Roman" w:cs="Times New Roman"/>
        </w:rPr>
        <w:t xml:space="preserve"> = </w:t>
      </w:r>
      <w:r w:rsidR="00F832E8" w:rsidRPr="00326C68">
        <w:rPr>
          <w:rFonts w:ascii="Times New Roman" w:hAnsi="Times New Roman" w:cs="Times New Roman"/>
        </w:rPr>
        <w:t>144.19</w:t>
      </w:r>
      <w:r w:rsidR="001B661B" w:rsidRPr="00326C68">
        <w:rPr>
          <w:rFonts w:ascii="Times New Roman" w:hAnsi="Times New Roman" w:cs="Times New Roman"/>
        </w:rPr>
        <w:t>)</w:t>
      </w:r>
      <w:r w:rsidR="00F832E8" w:rsidRPr="001724E1">
        <w:rPr>
          <w:rFonts w:ascii="Times New Roman" w:hAnsi="Times New Roman" w:cs="Times New Roman"/>
          <w:b/>
        </w:rPr>
        <w:t>.</w:t>
      </w:r>
      <w:r w:rsidR="00F832E8" w:rsidRPr="00326C68">
        <w:rPr>
          <w:rFonts w:ascii="Times New Roman" w:hAnsi="Times New Roman" w:cs="Times New Roman"/>
        </w:rPr>
        <w:t xml:space="preserve">  </w:t>
      </w:r>
      <w:r w:rsidR="003B4CD8">
        <w:rPr>
          <w:rFonts w:ascii="Times New Roman" w:hAnsi="Times New Roman" w:cs="Times New Roman"/>
        </w:rPr>
        <w:t xml:space="preserve">Difference between -2(log likelihood) in the full model versus the intercept-only model are an appropriate measure of partial </w:t>
      </w:r>
      <w:r w:rsidR="009F7DB0">
        <w:rPr>
          <w:rFonts w:ascii="Times New Roman" w:hAnsi="Times New Roman" w:cs="Times New Roman"/>
        </w:rPr>
        <w:t>effects and</w:t>
      </w:r>
      <w:r w:rsidR="003B4CD8">
        <w:rPr>
          <w:rFonts w:ascii="Times New Roman" w:hAnsi="Times New Roman" w:cs="Times New Roman"/>
        </w:rPr>
        <w:t xml:space="preserve"> are included in Table 3.  </w:t>
      </w:r>
      <w:r w:rsidR="009F7DB0">
        <w:rPr>
          <w:rFonts w:ascii="Times New Roman" w:hAnsi="Times New Roman" w:cs="Times New Roman"/>
        </w:rPr>
        <w:t xml:space="preserve">A test </w:t>
      </w:r>
      <w:r w:rsidR="009F7DB0">
        <w:rPr>
          <w:rFonts w:ascii="Times New Roman" w:hAnsi="Times New Roman" w:cs="Times New Roman"/>
        </w:rPr>
        <w:lastRenderedPageBreak/>
        <w:t>of partial effects indicated significance for REPEAT (</w:t>
      </w:r>
      <w:r w:rsidR="009F7DB0" w:rsidRPr="009F7DB0">
        <w:rPr>
          <w:rFonts w:ascii="Times New Roman" w:hAnsi="Times New Roman" w:cs="Times New Roman"/>
          <w:i/>
        </w:rPr>
        <w:t>p</w:t>
      </w:r>
      <w:r w:rsidR="009F7DB0">
        <w:rPr>
          <w:rFonts w:ascii="Times New Roman" w:hAnsi="Times New Roman" w:cs="Times New Roman"/>
        </w:rPr>
        <w:t xml:space="preserve"> = .003) and ADDSC (</w:t>
      </w:r>
      <w:r w:rsidR="009F7DB0" w:rsidRPr="009F7DB0">
        <w:rPr>
          <w:rFonts w:ascii="Times New Roman" w:hAnsi="Times New Roman" w:cs="Times New Roman"/>
          <w:i/>
        </w:rPr>
        <w:t>p</w:t>
      </w:r>
      <w:r w:rsidR="009F7DB0">
        <w:rPr>
          <w:rFonts w:ascii="Times New Roman" w:hAnsi="Times New Roman" w:cs="Times New Roman"/>
        </w:rPr>
        <w:t xml:space="preserve"> = .014), while SOCPROB fell short of significance (</w:t>
      </w:r>
      <w:r w:rsidR="009F7DB0" w:rsidRPr="009F7DB0">
        <w:rPr>
          <w:rFonts w:ascii="Times New Roman" w:hAnsi="Times New Roman" w:cs="Times New Roman"/>
          <w:i/>
        </w:rPr>
        <w:t>p</w:t>
      </w:r>
      <w:r w:rsidR="009F7DB0">
        <w:rPr>
          <w:rFonts w:ascii="Times New Roman" w:hAnsi="Times New Roman" w:cs="Times New Roman"/>
        </w:rPr>
        <w:t xml:space="preserve"> = .083). </w:t>
      </w:r>
      <w:r w:rsidR="003F4904">
        <w:rPr>
          <w:rFonts w:ascii="Times New Roman" w:hAnsi="Times New Roman" w:cs="Times New Roman"/>
        </w:rPr>
        <w:t xml:space="preserve"> </w:t>
      </w:r>
      <w:r w:rsidR="00F8030D" w:rsidRPr="00326C68">
        <w:rPr>
          <w:rFonts w:ascii="Times New Roman" w:hAnsi="Times New Roman" w:cs="Times New Roman"/>
        </w:rPr>
        <w:t>A likelihood ratio test of the full model compared with the intercept only model was statistically significant,</w:t>
      </w:r>
      <w:r w:rsidR="00F8030D" w:rsidRPr="00326C68">
        <w:rPr>
          <w:rFonts w:ascii="Times New Roman" w:hAnsi="Times New Roman" w:cs="Times New Roman"/>
          <w:i/>
        </w:rPr>
        <w:t xml:space="preserve"> X</w:t>
      </w:r>
      <w:r w:rsidR="00F8030D" w:rsidRPr="00326C68">
        <w:rPr>
          <w:rFonts w:ascii="Times New Roman" w:hAnsi="Times New Roman" w:cs="Times New Roman"/>
          <w:i/>
          <w:vertAlign w:val="superscript"/>
        </w:rPr>
        <w:t>2</w:t>
      </w:r>
      <w:r w:rsidR="00F8030D" w:rsidRPr="00326C68">
        <w:rPr>
          <w:rFonts w:ascii="Times New Roman" w:hAnsi="Times New Roman" w:cs="Times New Roman"/>
        </w:rPr>
        <w:t xml:space="preserve"> (4, N = 250) = 21.908, p &lt; .001.</w:t>
      </w:r>
      <w:r w:rsidR="00F832E8" w:rsidRPr="00326C68">
        <w:rPr>
          <w:rFonts w:ascii="Times New Roman" w:hAnsi="Times New Roman" w:cs="Times New Roman"/>
        </w:rPr>
        <w:t xml:space="preserve">  </w:t>
      </w:r>
      <w:r w:rsidR="008A1A45" w:rsidRPr="00326C68">
        <w:rPr>
          <w:rFonts w:ascii="Times New Roman" w:hAnsi="Times New Roman" w:cs="Times New Roman"/>
        </w:rPr>
        <w:t xml:space="preserve">McFadden’s pseudo </w:t>
      </w:r>
      <w:r w:rsidR="008A1A45" w:rsidRPr="00326C68">
        <w:rPr>
          <w:rFonts w:ascii="Times New Roman" w:hAnsi="Times New Roman" w:cs="Times New Roman"/>
          <w:i/>
        </w:rPr>
        <w:t>R</w:t>
      </w:r>
      <w:r w:rsidR="008A1A45" w:rsidRPr="00326C68">
        <w:rPr>
          <w:rFonts w:ascii="Times New Roman" w:hAnsi="Times New Roman" w:cs="Times New Roman"/>
          <w:i/>
          <w:vertAlign w:val="superscript"/>
        </w:rPr>
        <w:t>2</w:t>
      </w:r>
      <w:r w:rsidR="008A1A45" w:rsidRPr="00326C68">
        <w:rPr>
          <w:rFonts w:ascii="Times New Roman" w:hAnsi="Times New Roman" w:cs="Times New Roman"/>
        </w:rPr>
        <w:t xml:space="preserve"> indicated moderate fit with the data (</w:t>
      </w:r>
      <w:r w:rsidR="008A1A45" w:rsidRPr="00326C68">
        <w:rPr>
          <w:rFonts w:ascii="Times New Roman" w:hAnsi="Times New Roman" w:cs="Times New Roman"/>
          <w:i/>
        </w:rPr>
        <w:t>R</w:t>
      </w:r>
      <w:r w:rsidR="008A1A45" w:rsidRPr="00326C68">
        <w:rPr>
          <w:rFonts w:ascii="Times New Roman" w:hAnsi="Times New Roman" w:cs="Times New Roman"/>
          <w:i/>
          <w:vertAlign w:val="superscript"/>
        </w:rPr>
        <w:t>2</w:t>
      </w:r>
      <w:r w:rsidR="008A1A45" w:rsidRPr="00326C68">
        <w:rPr>
          <w:rFonts w:ascii="Times New Roman" w:hAnsi="Times New Roman" w:cs="Times New Roman"/>
        </w:rPr>
        <w:t xml:space="preserve"> = .14</w:t>
      </w:r>
      <w:r w:rsidR="00267C51" w:rsidRPr="00326C68">
        <w:rPr>
          <w:rFonts w:ascii="Times New Roman" w:hAnsi="Times New Roman" w:cs="Times New Roman"/>
        </w:rPr>
        <w:t xml:space="preserve">, </w:t>
      </w:r>
      <w:r w:rsidR="00267C51" w:rsidRPr="00326C68">
        <w:rPr>
          <w:rFonts w:ascii="Times New Roman" w:hAnsi="Times New Roman" w:cs="Times New Roman"/>
          <w:i/>
        </w:rPr>
        <w:t>p</w:t>
      </w:r>
      <w:r w:rsidR="00267C51" w:rsidRPr="00326C68">
        <w:rPr>
          <w:rFonts w:ascii="Times New Roman" w:hAnsi="Times New Roman" w:cs="Times New Roman"/>
        </w:rPr>
        <w:t xml:space="preserve"> &lt; .001</w:t>
      </w:r>
      <w:r w:rsidR="008A1A45" w:rsidRPr="00326C68">
        <w:rPr>
          <w:rFonts w:ascii="Times New Roman" w:hAnsi="Times New Roman" w:cs="Times New Roman"/>
        </w:rPr>
        <w:t>)</w:t>
      </w:r>
      <w:r w:rsidR="003F0AB8" w:rsidRPr="00326C68">
        <w:rPr>
          <w:rFonts w:ascii="Times New Roman" w:hAnsi="Times New Roman" w:cs="Times New Roman"/>
        </w:rPr>
        <w:t>.</w:t>
      </w:r>
    </w:p>
    <w:p w:rsidR="00A16BA3" w:rsidRPr="00326C68" w:rsidRDefault="00A16BA3" w:rsidP="00326C68">
      <w:pPr>
        <w:spacing w:after="0" w:line="360" w:lineRule="auto"/>
        <w:rPr>
          <w:rFonts w:ascii="Times New Roman" w:hAnsi="Times New Roman" w:cs="Times New Roman"/>
          <w:i/>
        </w:rPr>
      </w:pPr>
      <w:r w:rsidRPr="00326C68">
        <w:rPr>
          <w:rFonts w:ascii="Times New Roman" w:hAnsi="Times New Roman" w:cs="Times New Roman"/>
          <w:i/>
        </w:rPr>
        <w:t xml:space="preserve">Table </w:t>
      </w:r>
      <w:r w:rsidR="00B03752" w:rsidRPr="00326C68">
        <w:rPr>
          <w:rFonts w:ascii="Times New Roman" w:hAnsi="Times New Roman" w:cs="Times New Roman"/>
          <w:i/>
        </w:rPr>
        <w:t>3</w:t>
      </w:r>
      <w:r w:rsidRPr="00326C68">
        <w:rPr>
          <w:rFonts w:ascii="Times New Roman" w:hAnsi="Times New Roman" w:cs="Times New Roman"/>
          <w:i/>
        </w:rPr>
        <w:t xml:space="preserve"> – Full model with odds ratios</w:t>
      </w:r>
    </w:p>
    <w:tbl>
      <w:tblPr>
        <w:tblW w:w="4860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711"/>
        <w:gridCol w:w="990"/>
        <w:gridCol w:w="601"/>
        <w:gridCol w:w="1339"/>
      </w:tblGrid>
      <w:tr w:rsidR="00FB58B1" w:rsidRPr="00FB58B1" w:rsidTr="00FB58B1">
        <w:trPr>
          <w:trHeight w:val="300"/>
          <w:jc w:val="center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B58B1">
              <w:rPr>
                <w:rFonts w:ascii="Times New Roman" w:eastAsia="Times New Roman" w:hAnsi="Times New Roman" w:cs="Times New Roman"/>
              </w:rPr>
              <w:t>Predictor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56B66" w:rsidRPr="00A16BA3" w:rsidRDefault="00FF3C8E" w:rsidP="00FF3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t>Δ (-2LL)</w:t>
            </w:r>
          </w:p>
        </w:tc>
        <w:tc>
          <w:tcPr>
            <w:tcW w:w="601" w:type="dxa"/>
            <w:vAlign w:val="bottom"/>
          </w:tcPr>
          <w:p w:rsidR="00956B66" w:rsidRPr="00A16BA3" w:rsidRDefault="00956B66" w:rsidP="00956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Odds Ratio</w:t>
            </w:r>
          </w:p>
        </w:tc>
      </w:tr>
      <w:tr w:rsidR="00FB58B1" w:rsidRPr="00FB58B1" w:rsidTr="00FB58B1">
        <w:trPr>
          <w:trHeight w:val="300"/>
          <w:jc w:val="center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SOCPROB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1.061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56B66" w:rsidRPr="00A16BA3" w:rsidRDefault="009B22A7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2.70</w:t>
            </w:r>
          </w:p>
        </w:tc>
        <w:tc>
          <w:tcPr>
            <w:tcW w:w="601" w:type="dxa"/>
            <w:vAlign w:val="bottom"/>
          </w:tcPr>
          <w:p w:rsidR="00956B66" w:rsidRPr="00A16BA3" w:rsidRDefault="00956B6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.08</w:t>
            </w: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956B66" w:rsidRPr="00A16BA3" w:rsidRDefault="008E67C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2.89</w:t>
            </w:r>
          </w:p>
        </w:tc>
      </w:tr>
      <w:tr w:rsidR="00FB58B1" w:rsidRPr="00FB58B1" w:rsidTr="00FB58B1">
        <w:trPr>
          <w:trHeight w:val="300"/>
          <w:jc w:val="center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REPEAT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1.417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56B66" w:rsidRPr="00A16BA3" w:rsidRDefault="009B22A7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7.96</w:t>
            </w:r>
          </w:p>
        </w:tc>
        <w:tc>
          <w:tcPr>
            <w:tcW w:w="601" w:type="dxa"/>
            <w:vAlign w:val="bottom"/>
          </w:tcPr>
          <w:p w:rsidR="00956B66" w:rsidRPr="00A16BA3" w:rsidRDefault="00956B6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956B66" w:rsidRPr="00A16BA3" w:rsidRDefault="008E67C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4.13</w:t>
            </w:r>
          </w:p>
        </w:tc>
      </w:tr>
      <w:tr w:rsidR="00FB58B1" w:rsidRPr="00FB58B1" w:rsidTr="00FB58B1">
        <w:trPr>
          <w:trHeight w:val="300"/>
          <w:jc w:val="center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ADDSC</w:t>
            </w:r>
          </w:p>
        </w:tc>
        <w:tc>
          <w:tcPr>
            <w:tcW w:w="711" w:type="dxa"/>
            <w:shd w:val="clear" w:color="auto" w:fill="auto"/>
            <w:noWrap/>
            <w:vAlign w:val="bottom"/>
            <w:hideMark/>
          </w:tcPr>
          <w:p w:rsidR="00956B66" w:rsidRPr="00A16BA3" w:rsidRDefault="00956B6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.052</w:t>
            </w: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56B66" w:rsidRPr="00A16BA3" w:rsidRDefault="009B22A7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6.50</w:t>
            </w:r>
          </w:p>
        </w:tc>
        <w:tc>
          <w:tcPr>
            <w:tcW w:w="601" w:type="dxa"/>
            <w:vAlign w:val="bottom"/>
          </w:tcPr>
          <w:p w:rsidR="00956B66" w:rsidRPr="00A16BA3" w:rsidRDefault="00956B6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16BA3">
              <w:rPr>
                <w:rFonts w:ascii="Times New Roman" w:eastAsia="Times New Roman" w:hAnsi="Times New Roman" w:cs="Times New Roman"/>
                <w:color w:val="000000"/>
              </w:rPr>
              <w:t>.01</w:t>
            </w: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956B66" w:rsidRPr="00A16BA3" w:rsidRDefault="008E67C6" w:rsidP="00956B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58B1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</w:tr>
    </w:tbl>
    <w:p w:rsidR="00B03752" w:rsidRDefault="00B03752" w:rsidP="00B03752">
      <w:pPr>
        <w:spacing w:line="360" w:lineRule="auto"/>
        <w:rPr>
          <w:rFonts w:ascii="Times New Roman" w:hAnsi="Times New Roman" w:cs="Times New Roman"/>
          <w:i/>
        </w:rPr>
      </w:pPr>
    </w:p>
    <w:p w:rsidR="003F4904" w:rsidRDefault="00FB58B1" w:rsidP="00694E6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not statistically significant</w:t>
      </w:r>
      <w:r w:rsidR="00694E6C">
        <w:rPr>
          <w:rFonts w:ascii="Times New Roman" w:hAnsi="Times New Roman" w:cs="Times New Roman"/>
        </w:rPr>
        <w:t xml:space="preserve"> in the full model</w:t>
      </w:r>
      <w:r>
        <w:rPr>
          <w:rFonts w:ascii="Times New Roman" w:hAnsi="Times New Roman" w:cs="Times New Roman"/>
        </w:rPr>
        <w:t>, t</w:t>
      </w:r>
      <w:r w:rsidR="003F4904" w:rsidRPr="003F4904">
        <w:rPr>
          <w:rFonts w:ascii="Times New Roman" w:hAnsi="Times New Roman" w:cs="Times New Roman"/>
        </w:rPr>
        <w:t xml:space="preserve">he odds ratio for </w:t>
      </w:r>
      <w:r w:rsidR="003F4904">
        <w:rPr>
          <w:rFonts w:ascii="Times New Roman" w:hAnsi="Times New Roman" w:cs="Times New Roman"/>
        </w:rPr>
        <w:t>SOCPROB</w:t>
      </w:r>
      <w:r w:rsidR="003F4904" w:rsidRPr="003F4904">
        <w:rPr>
          <w:rFonts w:ascii="Times New Roman" w:hAnsi="Times New Roman" w:cs="Times New Roman"/>
        </w:rPr>
        <w:t xml:space="preserve"> indicates</w:t>
      </w:r>
      <w:r w:rsidR="003F4904">
        <w:rPr>
          <w:rFonts w:ascii="Times New Roman" w:hAnsi="Times New Roman" w:cs="Times New Roman"/>
        </w:rPr>
        <w:t xml:space="preserve"> </w:t>
      </w:r>
      <w:r w:rsidR="003F4904" w:rsidRPr="003F4904">
        <w:rPr>
          <w:rFonts w:ascii="Times New Roman" w:hAnsi="Times New Roman" w:cs="Times New Roman"/>
        </w:rPr>
        <w:t xml:space="preserve">that when holding all other variables constant, a </w:t>
      </w:r>
      <w:r>
        <w:rPr>
          <w:rFonts w:ascii="Times New Roman" w:hAnsi="Times New Roman" w:cs="Times New Roman"/>
        </w:rPr>
        <w:t>subject with record of social problems</w:t>
      </w:r>
      <w:r w:rsidR="003F4904" w:rsidRPr="003F4904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2</w:t>
      </w:r>
      <w:r w:rsidR="003F4904" w:rsidRPr="003F49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89 </w:t>
      </w:r>
      <w:r w:rsidR="003F4904" w:rsidRPr="003F4904">
        <w:rPr>
          <w:rFonts w:ascii="Times New Roman" w:hAnsi="Times New Roman" w:cs="Times New Roman"/>
        </w:rPr>
        <w:t xml:space="preserve">times more likely to </w:t>
      </w:r>
      <w:r>
        <w:rPr>
          <w:rFonts w:ascii="Times New Roman" w:hAnsi="Times New Roman" w:cs="Times New Roman"/>
        </w:rPr>
        <w:t>drop out of high school than a subject without record of social problems</w:t>
      </w:r>
      <w:r w:rsidR="003F4904" w:rsidRPr="003F49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694E6C">
        <w:rPr>
          <w:rFonts w:ascii="Times New Roman" w:hAnsi="Times New Roman" w:cs="Times New Roman"/>
        </w:rPr>
        <w:t xml:space="preserve">Lack of significance in the full model is likely due to suppression or redundancy effects, and further tests would be warranted.  </w:t>
      </w:r>
      <w:r>
        <w:rPr>
          <w:rFonts w:ascii="Times New Roman" w:hAnsi="Times New Roman" w:cs="Times New Roman"/>
        </w:rPr>
        <w:t>T</w:t>
      </w:r>
      <w:r w:rsidRPr="003F4904">
        <w:rPr>
          <w:rFonts w:ascii="Times New Roman" w:hAnsi="Times New Roman" w:cs="Times New Roman"/>
        </w:rPr>
        <w:t xml:space="preserve">he odds ratio for </w:t>
      </w:r>
      <w:r>
        <w:rPr>
          <w:rFonts w:ascii="Times New Roman" w:hAnsi="Times New Roman" w:cs="Times New Roman"/>
        </w:rPr>
        <w:t>REPEAT</w:t>
      </w:r>
      <w:r w:rsidRPr="003F4904">
        <w:rPr>
          <w:rFonts w:ascii="Times New Roman" w:hAnsi="Times New Roman" w:cs="Times New Roman"/>
        </w:rPr>
        <w:t xml:space="preserve"> indicates</w:t>
      </w:r>
      <w:r>
        <w:rPr>
          <w:rFonts w:ascii="Times New Roman" w:hAnsi="Times New Roman" w:cs="Times New Roman"/>
        </w:rPr>
        <w:t xml:space="preserve"> </w:t>
      </w:r>
      <w:r w:rsidRPr="003F4904">
        <w:rPr>
          <w:rFonts w:ascii="Times New Roman" w:hAnsi="Times New Roman" w:cs="Times New Roman"/>
        </w:rPr>
        <w:t xml:space="preserve">that when holding all other variables constant, a </w:t>
      </w:r>
      <w:r>
        <w:rPr>
          <w:rFonts w:ascii="Times New Roman" w:hAnsi="Times New Roman" w:cs="Times New Roman"/>
        </w:rPr>
        <w:t>subject who has repeated at least one grade</w:t>
      </w:r>
      <w:r w:rsidRPr="003F4904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4.13 </w:t>
      </w:r>
      <w:r w:rsidRPr="003F4904">
        <w:rPr>
          <w:rFonts w:ascii="Times New Roman" w:hAnsi="Times New Roman" w:cs="Times New Roman"/>
        </w:rPr>
        <w:t xml:space="preserve">times more likely to </w:t>
      </w:r>
      <w:r>
        <w:rPr>
          <w:rFonts w:ascii="Times New Roman" w:hAnsi="Times New Roman" w:cs="Times New Roman"/>
        </w:rPr>
        <w:t>drop out of high school than a subject who has not repeated a grade</w:t>
      </w:r>
      <w:r w:rsidRPr="003F49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T</w:t>
      </w:r>
      <w:r w:rsidRPr="003F4904">
        <w:rPr>
          <w:rFonts w:ascii="Times New Roman" w:hAnsi="Times New Roman" w:cs="Times New Roman"/>
        </w:rPr>
        <w:t xml:space="preserve">he odds ratio for </w:t>
      </w:r>
      <w:r>
        <w:rPr>
          <w:rFonts w:ascii="Times New Roman" w:hAnsi="Times New Roman" w:cs="Times New Roman"/>
        </w:rPr>
        <w:t>ADDSC</w:t>
      </w:r>
      <w:r w:rsidRPr="003F4904">
        <w:rPr>
          <w:rFonts w:ascii="Times New Roman" w:hAnsi="Times New Roman" w:cs="Times New Roman"/>
        </w:rPr>
        <w:t xml:space="preserve"> indicates</w:t>
      </w:r>
      <w:r>
        <w:rPr>
          <w:rFonts w:ascii="Times New Roman" w:hAnsi="Times New Roman" w:cs="Times New Roman"/>
        </w:rPr>
        <w:t xml:space="preserve"> </w:t>
      </w:r>
      <w:r w:rsidRPr="003F4904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a single point increase on the ADDSC scale increases is associated with </w:t>
      </w:r>
      <w:r w:rsidR="00694E6C">
        <w:rPr>
          <w:rFonts w:ascii="Times New Roman" w:hAnsi="Times New Roman" w:cs="Times New Roman"/>
        </w:rPr>
        <w:t xml:space="preserve">an increase in </w:t>
      </w:r>
      <w:r>
        <w:rPr>
          <w:rFonts w:ascii="Times New Roman" w:hAnsi="Times New Roman" w:cs="Times New Roman"/>
        </w:rPr>
        <w:t>the odds of dropping out of high school by a multiplicative factor of 1.05</w:t>
      </w:r>
      <w:r w:rsidRPr="003F4904">
        <w:rPr>
          <w:rFonts w:ascii="Times New Roman" w:hAnsi="Times New Roman" w:cs="Times New Roman"/>
        </w:rPr>
        <w:t>.</w:t>
      </w:r>
    </w:p>
    <w:p w:rsidR="00B03752" w:rsidRDefault="00FB58B1" w:rsidP="004B55AD">
      <w:pPr>
        <w:spacing w:line="360" w:lineRule="auto"/>
        <w:ind w:firstLine="720"/>
        <w:rPr>
          <w:rFonts w:ascii="Times New Roman" w:hAnsi="Times New Roman" w:cs="Times New Roman"/>
        </w:rPr>
      </w:pPr>
      <w:r w:rsidRPr="00326C68">
        <w:rPr>
          <w:rFonts w:ascii="Times New Roman" w:hAnsi="Times New Roman" w:cs="Times New Roman"/>
        </w:rPr>
        <w:t>Univariate analysis showed that of subjects who dropped out of high school, a statistically significant majority had record of social problems in the 9</w:t>
      </w:r>
      <w:r w:rsidRPr="00326C68">
        <w:rPr>
          <w:rFonts w:ascii="Times New Roman" w:hAnsi="Times New Roman" w:cs="Times New Roman"/>
          <w:vertAlign w:val="superscript"/>
        </w:rPr>
        <w:t>th</w:t>
      </w:r>
      <w:r w:rsidRPr="00326C68">
        <w:rPr>
          <w:rFonts w:ascii="Times New Roman" w:hAnsi="Times New Roman" w:cs="Times New Roman"/>
        </w:rPr>
        <w:t xml:space="preserve"> grade (79%), </w:t>
      </w:r>
      <w:r w:rsidRPr="00326C68">
        <w:rPr>
          <w:rFonts w:ascii="Times New Roman" w:hAnsi="Times New Roman" w:cs="Times New Roman"/>
          <w:i/>
        </w:rPr>
        <w:t>X</w:t>
      </w:r>
      <w:r w:rsidRPr="00326C68">
        <w:rPr>
          <w:rFonts w:ascii="Times New Roman" w:hAnsi="Times New Roman" w:cs="Times New Roman"/>
          <w:i/>
          <w:vertAlign w:val="superscript"/>
        </w:rPr>
        <w:t>2</w:t>
      </w:r>
      <w:r w:rsidRPr="00326C68">
        <w:rPr>
          <w:rFonts w:ascii="Times New Roman" w:hAnsi="Times New Roman" w:cs="Times New Roman"/>
        </w:rPr>
        <w:t xml:space="preserve"> (1, </w:t>
      </w:r>
      <w:r w:rsidR="00795CBC" w:rsidRPr="00795CBC">
        <w:rPr>
          <w:rFonts w:ascii="Times New Roman" w:hAnsi="Times New Roman" w:cs="Times New Roman"/>
          <w:i/>
        </w:rPr>
        <w:t>N</w:t>
      </w:r>
      <w:r w:rsidRPr="00326C68">
        <w:rPr>
          <w:rFonts w:ascii="Times New Roman" w:hAnsi="Times New Roman" w:cs="Times New Roman"/>
        </w:rPr>
        <w:t xml:space="preserve"> = 250) = 5.334, </w:t>
      </w:r>
      <w:r w:rsidR="00795CBC" w:rsidRPr="00795CBC">
        <w:rPr>
          <w:rFonts w:ascii="Times New Roman" w:hAnsi="Times New Roman" w:cs="Times New Roman"/>
          <w:i/>
        </w:rPr>
        <w:t>p</w:t>
      </w:r>
      <w:r w:rsidRPr="00326C68">
        <w:rPr>
          <w:rFonts w:ascii="Times New Roman" w:hAnsi="Times New Roman" w:cs="Times New Roman"/>
        </w:rPr>
        <w:t xml:space="preserve"> = .021.  Of subjects who dropped out of high school, a significant majority had repeated at least one grade (58.3%), </w:t>
      </w:r>
      <w:r w:rsidRPr="00326C68">
        <w:rPr>
          <w:rFonts w:ascii="Times New Roman" w:hAnsi="Times New Roman" w:cs="Times New Roman"/>
          <w:i/>
        </w:rPr>
        <w:t>X</w:t>
      </w:r>
      <w:r w:rsidRPr="00326C68">
        <w:rPr>
          <w:rFonts w:ascii="Times New Roman" w:hAnsi="Times New Roman" w:cs="Times New Roman"/>
          <w:i/>
          <w:vertAlign w:val="superscript"/>
        </w:rPr>
        <w:t>2</w:t>
      </w:r>
      <w:r w:rsidRPr="00326C68">
        <w:rPr>
          <w:rFonts w:ascii="Times New Roman" w:hAnsi="Times New Roman" w:cs="Times New Roman"/>
        </w:rPr>
        <w:t xml:space="preserve"> (1, N = 250) = 15.197, </w:t>
      </w:r>
      <w:r w:rsidRPr="00795CBC">
        <w:rPr>
          <w:rFonts w:ascii="Times New Roman" w:hAnsi="Times New Roman" w:cs="Times New Roman"/>
          <w:i/>
        </w:rPr>
        <w:t>p</w:t>
      </w:r>
      <w:r w:rsidRPr="00326C68">
        <w:rPr>
          <w:rFonts w:ascii="Times New Roman" w:hAnsi="Times New Roman" w:cs="Times New Roman"/>
        </w:rPr>
        <w:t xml:space="preserve"> = .001.  Analysis showed that subjects who dropped out of high school had in their record significantly higher mean elementary school scores for ADD-like behavior</w:t>
      </w:r>
      <w:r w:rsidR="00795CBC">
        <w:rPr>
          <w:rFonts w:ascii="Times New Roman" w:hAnsi="Times New Roman" w:cs="Times New Roman"/>
        </w:rPr>
        <w:t xml:space="preserve">    </w:t>
      </w:r>
      <w:r w:rsidRPr="00326C68">
        <w:rPr>
          <w:rFonts w:ascii="Times New Roman" w:hAnsi="Times New Roman" w:cs="Times New Roman"/>
        </w:rPr>
        <w:t>(</w:t>
      </w:r>
      <w:r w:rsidRPr="00795CBC">
        <w:rPr>
          <w:rFonts w:ascii="Times New Roman" w:hAnsi="Times New Roman" w:cs="Times New Roman"/>
          <w:i/>
        </w:rPr>
        <w:t>M</w:t>
      </w:r>
      <w:r w:rsidRPr="00326C68">
        <w:rPr>
          <w:rFonts w:ascii="Times New Roman" w:hAnsi="Times New Roman" w:cs="Times New Roman"/>
        </w:rPr>
        <w:t xml:space="preserve"> = 59.2, </w:t>
      </w:r>
      <w:proofErr w:type="spellStart"/>
      <w:r w:rsidR="00795CBC" w:rsidRPr="00795CBC">
        <w:rPr>
          <w:rFonts w:ascii="Times New Roman" w:hAnsi="Times New Roman" w:cs="Times New Roman"/>
          <w:i/>
        </w:rPr>
        <w:t>sd</w:t>
      </w:r>
      <w:proofErr w:type="spellEnd"/>
      <w:r w:rsidRPr="00326C68">
        <w:rPr>
          <w:rFonts w:ascii="Times New Roman" w:hAnsi="Times New Roman" w:cs="Times New Roman"/>
        </w:rPr>
        <w:t xml:space="preserve"> = 9.6) than did subjects who graduated high school (</w:t>
      </w:r>
      <w:r w:rsidRPr="00795CBC">
        <w:rPr>
          <w:rFonts w:ascii="Times New Roman" w:hAnsi="Times New Roman" w:cs="Times New Roman"/>
          <w:i/>
        </w:rPr>
        <w:t>M</w:t>
      </w:r>
      <w:r w:rsidRPr="00326C68">
        <w:rPr>
          <w:rFonts w:ascii="Times New Roman" w:hAnsi="Times New Roman" w:cs="Times New Roman"/>
        </w:rPr>
        <w:t xml:space="preserve"> = 51.0, </w:t>
      </w:r>
      <w:proofErr w:type="spellStart"/>
      <w:r w:rsidR="00795CBC" w:rsidRPr="00795CBC">
        <w:rPr>
          <w:rFonts w:ascii="Times New Roman" w:hAnsi="Times New Roman" w:cs="Times New Roman"/>
          <w:i/>
        </w:rPr>
        <w:t>sd</w:t>
      </w:r>
      <w:proofErr w:type="spellEnd"/>
      <w:r w:rsidRPr="00326C68">
        <w:rPr>
          <w:rFonts w:ascii="Times New Roman" w:hAnsi="Times New Roman" w:cs="Times New Roman"/>
        </w:rPr>
        <w:t xml:space="preserve"> = 11.6), t(30.705) = 3.90, </w:t>
      </w:r>
      <w:r w:rsidRPr="00795CBC">
        <w:rPr>
          <w:rFonts w:ascii="Times New Roman" w:hAnsi="Times New Roman" w:cs="Times New Roman"/>
          <w:i/>
        </w:rPr>
        <w:t>p</w:t>
      </w:r>
      <w:r w:rsidRPr="00326C68">
        <w:rPr>
          <w:rFonts w:ascii="Times New Roman" w:hAnsi="Times New Roman" w:cs="Times New Roman"/>
        </w:rPr>
        <w:t xml:space="preserve"> &gt; .001</w:t>
      </w:r>
      <w:bookmarkStart w:id="0" w:name="_GoBack"/>
      <w:bookmarkEnd w:id="0"/>
      <w:r w:rsidRPr="00326C68">
        <w:rPr>
          <w:rFonts w:ascii="Times New Roman" w:hAnsi="Times New Roman" w:cs="Times New Roman"/>
        </w:rPr>
        <w:t>, 95% CI[3.35, 13.07].</w:t>
      </w: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B55AD" w:rsidRDefault="004B55AD" w:rsidP="004B55A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Table 1 – Full model classification plot</w:t>
      </w:r>
    </w:p>
    <w:p w:rsidR="004B55AD" w:rsidRPr="00326C68" w:rsidRDefault="004B55AD" w:rsidP="004B55AD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38829" cy="750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10" cy="751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5AD" w:rsidRPr="00326C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86" w:rsidRDefault="00493686" w:rsidP="00673A1B">
      <w:pPr>
        <w:spacing w:after="0" w:line="240" w:lineRule="auto"/>
      </w:pPr>
      <w:r>
        <w:separator/>
      </w:r>
    </w:p>
  </w:endnote>
  <w:endnote w:type="continuationSeparator" w:id="0">
    <w:p w:rsidR="00493686" w:rsidRDefault="00493686" w:rsidP="0067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86" w:rsidRDefault="00493686" w:rsidP="00673A1B">
      <w:pPr>
        <w:spacing w:after="0" w:line="240" w:lineRule="auto"/>
      </w:pPr>
      <w:r>
        <w:separator/>
      </w:r>
    </w:p>
  </w:footnote>
  <w:footnote w:type="continuationSeparator" w:id="0">
    <w:p w:rsidR="00493686" w:rsidRDefault="00493686" w:rsidP="0067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A1B" w:rsidRPr="00EC2A04" w:rsidRDefault="00673A1B">
    <w:pPr>
      <w:pStyle w:val="Header"/>
      <w:rPr>
        <w:rFonts w:ascii="Times New Roman" w:hAnsi="Times New Roman" w:cs="Times New Roman"/>
      </w:rPr>
    </w:pPr>
    <w:r w:rsidRPr="00EC2A04">
      <w:rPr>
        <w:rFonts w:ascii="Times New Roman" w:hAnsi="Times New Roman" w:cs="Times New Roman"/>
      </w:rPr>
      <w:t>William Eddy</w:t>
    </w:r>
    <w:r w:rsidRPr="00EC2A04">
      <w:rPr>
        <w:rFonts w:ascii="Times New Roman" w:hAnsi="Times New Roman" w:cs="Times New Roman"/>
      </w:rPr>
      <w:tab/>
    </w:r>
    <w:r w:rsidRPr="00EC2A04">
      <w:rPr>
        <w:rFonts w:ascii="Times New Roman" w:hAnsi="Times New Roman" w:cs="Times New Roman"/>
      </w:rPr>
      <w:tab/>
      <w:t>Midterm Examination – Take-home portion</w:t>
    </w:r>
  </w:p>
  <w:p w:rsidR="00673A1B" w:rsidRPr="00EC2A04" w:rsidRDefault="00673A1B">
    <w:pPr>
      <w:pStyle w:val="Header"/>
      <w:rPr>
        <w:rFonts w:ascii="Times New Roman" w:hAnsi="Times New Roman" w:cs="Times New Roman"/>
      </w:rPr>
    </w:pPr>
    <w:r w:rsidRPr="00EC2A04">
      <w:rPr>
        <w:rFonts w:ascii="Times New Roman" w:hAnsi="Times New Roman" w:cs="Times New Roman"/>
      </w:rPr>
      <w:t>PSYC 7433 – Multivariate Statistics</w:t>
    </w:r>
    <w:r w:rsidRPr="00EC2A04">
      <w:rPr>
        <w:rFonts w:ascii="Times New Roman" w:hAnsi="Times New Roman" w:cs="Times New Roman"/>
      </w:rPr>
      <w:tab/>
    </w:r>
    <w:r w:rsidRPr="00EC2A04">
      <w:rPr>
        <w:rFonts w:ascii="Times New Roman" w:hAnsi="Times New Roman" w:cs="Times New Roman"/>
      </w:rPr>
      <w:tab/>
      <w:t>Binary Logistic Regression – Due 10/2/2019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1B"/>
    <w:rsid w:val="00003DEF"/>
    <w:rsid w:val="00024A87"/>
    <w:rsid w:val="00041B16"/>
    <w:rsid w:val="00061721"/>
    <w:rsid w:val="000B2DFF"/>
    <w:rsid w:val="00166F8C"/>
    <w:rsid w:val="001724E1"/>
    <w:rsid w:val="001A53E0"/>
    <w:rsid w:val="001B661B"/>
    <w:rsid w:val="001C4760"/>
    <w:rsid w:val="00233FE8"/>
    <w:rsid w:val="00261045"/>
    <w:rsid w:val="00265ECE"/>
    <w:rsid w:val="00267C51"/>
    <w:rsid w:val="002A3D61"/>
    <w:rsid w:val="002A5E19"/>
    <w:rsid w:val="00322E54"/>
    <w:rsid w:val="00326C68"/>
    <w:rsid w:val="00376040"/>
    <w:rsid w:val="00376AAF"/>
    <w:rsid w:val="003955B1"/>
    <w:rsid w:val="003A2066"/>
    <w:rsid w:val="003B4CD8"/>
    <w:rsid w:val="003C2FE5"/>
    <w:rsid w:val="003D188E"/>
    <w:rsid w:val="003F0AB8"/>
    <w:rsid w:val="003F4904"/>
    <w:rsid w:val="00404E35"/>
    <w:rsid w:val="00420F52"/>
    <w:rsid w:val="00424886"/>
    <w:rsid w:val="00451149"/>
    <w:rsid w:val="00485BAE"/>
    <w:rsid w:val="00493686"/>
    <w:rsid w:val="004B55AD"/>
    <w:rsid w:val="004D0EFB"/>
    <w:rsid w:val="0058425D"/>
    <w:rsid w:val="005A4F91"/>
    <w:rsid w:val="005B5CCD"/>
    <w:rsid w:val="005E6751"/>
    <w:rsid w:val="0061485F"/>
    <w:rsid w:val="00635312"/>
    <w:rsid w:val="00673A1B"/>
    <w:rsid w:val="006759FF"/>
    <w:rsid w:val="00690214"/>
    <w:rsid w:val="00694E6C"/>
    <w:rsid w:val="007409B7"/>
    <w:rsid w:val="007844B7"/>
    <w:rsid w:val="00795CBC"/>
    <w:rsid w:val="007D5A8F"/>
    <w:rsid w:val="008152D0"/>
    <w:rsid w:val="00821CCB"/>
    <w:rsid w:val="008A1A45"/>
    <w:rsid w:val="008B2BF3"/>
    <w:rsid w:val="008E67C6"/>
    <w:rsid w:val="008F2FF8"/>
    <w:rsid w:val="00914749"/>
    <w:rsid w:val="00956B66"/>
    <w:rsid w:val="009B22A7"/>
    <w:rsid w:val="009E747F"/>
    <w:rsid w:val="009F1C46"/>
    <w:rsid w:val="009F7DB0"/>
    <w:rsid w:val="00A16BA3"/>
    <w:rsid w:val="00A17584"/>
    <w:rsid w:val="00A20440"/>
    <w:rsid w:val="00A37041"/>
    <w:rsid w:val="00A5588B"/>
    <w:rsid w:val="00A5718F"/>
    <w:rsid w:val="00A84C84"/>
    <w:rsid w:val="00AD6A97"/>
    <w:rsid w:val="00B03752"/>
    <w:rsid w:val="00B07947"/>
    <w:rsid w:val="00B24D92"/>
    <w:rsid w:val="00B258DF"/>
    <w:rsid w:val="00B81404"/>
    <w:rsid w:val="00C513FF"/>
    <w:rsid w:val="00C71247"/>
    <w:rsid w:val="00D01CB5"/>
    <w:rsid w:val="00D246F5"/>
    <w:rsid w:val="00D32456"/>
    <w:rsid w:val="00D84EC4"/>
    <w:rsid w:val="00DC1505"/>
    <w:rsid w:val="00DC3A14"/>
    <w:rsid w:val="00E43969"/>
    <w:rsid w:val="00E901E0"/>
    <w:rsid w:val="00E917AD"/>
    <w:rsid w:val="00E97EEB"/>
    <w:rsid w:val="00EC2A04"/>
    <w:rsid w:val="00ED1745"/>
    <w:rsid w:val="00EF4DAB"/>
    <w:rsid w:val="00F002FD"/>
    <w:rsid w:val="00F05C01"/>
    <w:rsid w:val="00F31D08"/>
    <w:rsid w:val="00F431A6"/>
    <w:rsid w:val="00F47572"/>
    <w:rsid w:val="00F8030D"/>
    <w:rsid w:val="00F822FB"/>
    <w:rsid w:val="00F832E8"/>
    <w:rsid w:val="00FB58B1"/>
    <w:rsid w:val="00FF251E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9FEB"/>
  <w15:chartTrackingRefBased/>
  <w15:docId w15:val="{6A62B95F-2F40-414C-B0BF-78DDE70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1B"/>
  </w:style>
  <w:style w:type="paragraph" w:styleId="Footer">
    <w:name w:val="footer"/>
    <w:basedOn w:val="Normal"/>
    <w:link w:val="FooterChar"/>
    <w:uiPriority w:val="99"/>
    <w:unhideWhenUsed/>
    <w:rsid w:val="00673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1B"/>
  </w:style>
  <w:style w:type="paragraph" w:styleId="BalloonText">
    <w:name w:val="Balloon Text"/>
    <w:basedOn w:val="Normal"/>
    <w:link w:val="BalloonTextChar"/>
    <w:uiPriority w:val="99"/>
    <w:semiHidden/>
    <w:unhideWhenUsed/>
    <w:rsid w:val="0082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60</cp:revision>
  <dcterms:created xsi:type="dcterms:W3CDTF">2019-09-29T22:24:00Z</dcterms:created>
  <dcterms:modified xsi:type="dcterms:W3CDTF">2019-10-02T19:17:00Z</dcterms:modified>
</cp:coreProperties>
</file>