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eorgia" w:cs="Georgia" w:eastAsia="Georgia" w:hAnsi="Georgia"/>
          <w:b/>
          <w:bCs/>
          <w:color w:val="111111"/>
          <w:sz w:val="52"/>
          <w:szCs w:val="52"/>
        </w:rPr>
        <w:t xml:space="preserve">Izabela Hamilton</w:t>
      </w:r>
    </w:p>
    <w:p>
      <w:pPr>
        <w:spacing w:after="60"/>
      </w:pPr>
      <w:r>
        <w:rPr>
          <w:rFonts w:ascii="Georgia" w:cs="Georgia" w:eastAsia="Georgia" w:hAnsi="Georgia"/>
          <w:color w:val="555555"/>
          <w:sz w:val="24"/>
          <w:szCs w:val="24"/>
        </w:rPr>
        <w:t xml:space="preserve">Communications specialist and executive coach</w:t>
      </w:r>
    </w:p>
    <w:p>
      <w:pPr>
        <w:pBdr>
          <w:bottom w:val="single" w:color="C4C4C4" w:sz="4" w:space="6"/>
        </w:pBdr>
        <w:spacing w:after="40"/>
      </w:pPr>
      <w:r>
        <w:rPr>
          <w:rFonts w:ascii="Georgia" w:cs="Georgia" w:eastAsia="Georgia" w:hAnsi="Georgia"/>
          <w:color w:val="777777"/>
          <w:sz w:val="19"/>
          <w:szCs w:val="19"/>
        </w:rPr>
        <w:t xml:space="preserve">Mauritius  ·  English, Polish, Italian  ·  20+ years’ experience</w:t>
      </w:r>
    </w:p>
    <w:p>
      <w:pPr>
        <w:pBdr>
          <w:bottom w:val="single" w:color="C4C4C4" w:sz="4" w:space="2"/>
        </w:pBdr>
        <w:spacing w:after="100" w:before="260"/>
      </w:pPr>
      <w:r>
        <w:rPr>
          <w:rFonts w:ascii="Georgia" w:cs="Georgia" w:eastAsia="Georgia" w:hAnsi="Georgia"/>
          <w:b/>
          <w:bCs/>
          <w:color w:val="1A1A1A"/>
          <w:sz w:val="21"/>
          <w:szCs w:val="21"/>
        </w:rPr>
        <w:t xml:space="preserve">Profile</w:t>
      </w:r>
    </w:p>
    <w:p>
      <w:pPr>
        <w:spacing w:after="120" w:line="276"/>
      </w:pPr>
      <w:r>
        <w:rPr>
          <w:rFonts w:ascii="Georgia" w:cs="Georgia" w:eastAsia="Georgia" w:hAnsi="Georgia"/>
          <w:color w:val="1A1A1A"/>
          <w:sz w:val="21"/>
          <w:szCs w:val="21"/>
        </w:rPr>
        <w:t xml:space="preserve">Izabela is a communications specialist and ICF certified executive coach with more than 20 years' international experience across Europe, the Middle East and Africa. She led public relations for Jumeirah Group's flagship Burj Al Arab hotel and has trained and coached professionals for central banks, UN organisations and Fortune 500 companies across EMEA. She has taught at Middlesex University and coaches in English and Polish.</w:t>
      </w:r>
    </w:p>
    <w:p>
      <w:pPr>
        <w:pBdr>
          <w:bottom w:val="single" w:color="C4C4C4" w:sz="4" w:space="2"/>
        </w:pBdr>
        <w:spacing w:after="100" w:before="260"/>
      </w:pPr>
      <w:r>
        <w:rPr>
          <w:rFonts w:ascii="Georgia" w:cs="Georgia" w:eastAsia="Georgia" w:hAnsi="Georgia"/>
          <w:b/>
          <w:bCs/>
          <w:color w:val="1A1A1A"/>
          <w:sz w:val="21"/>
          <w:szCs w:val="21"/>
        </w:rPr>
        <w:t xml:space="preserve">Areas of expertise</w:t>
      </w:r>
    </w:p>
    <w:tbl>
      <w:tblPr>
        <w:tblW w:type="dxa" w:w="9026"/>
        <w:tblBorders>
          <w:top w:val="none"/>
          <w:left w:val="none"/>
          <w:bottom w:val="none"/>
          <w:right w:val="none"/>
          <w:insideH w:val="none"/>
          <w:insideV w:val="none"/>
        </w:tblBorders>
      </w:tblPr>
      <w:tblGrid>
        <w:gridCol w:w="4513"/>
        <w:gridCol w:w="4513"/>
      </w:tblGrid>
      <w:tr>
        <w:tc>
          <w:tcPr>
            <w:tcW w:type="dxa" w:w="4513"/>
            <w:tcBorders>
              <w:top w:val="none"/>
              <w:left w:val="none"/>
              <w:bottom w:val="none"/>
              <w:right w:val="none"/>
            </w:tcBorders>
          </w:tcPr>
          <w:p>
            <w:pPr>
              <w:pStyle w:val="ListParagraph"/>
              <w:numPr>
                <w:ilvl w:val="0"/>
                <w:numId w:val="2"/>
              </w:numPr>
              <w:spacing w:after="60" w:line="264"/>
            </w:pPr>
            <w:r>
              <w:rPr>
                <w:rFonts w:ascii="Georgia" w:cs="Georgia" w:eastAsia="Georgia" w:hAnsi="Georgia"/>
                <w:color w:val="1A1A1A"/>
                <w:sz w:val="21"/>
                <w:szCs w:val="21"/>
              </w:rPr>
              <w:t xml:space="preserve">Executive communication coaching</w:t>
            </w:r>
          </w:p>
          <w:p>
            <w:pPr>
              <w:pStyle w:val="ListParagraph"/>
              <w:numPr>
                <w:ilvl w:val="0"/>
                <w:numId w:val="2"/>
              </w:numPr>
              <w:spacing w:after="60" w:line="264"/>
            </w:pPr>
            <w:r>
              <w:rPr>
                <w:rFonts w:ascii="Georgia" w:cs="Georgia" w:eastAsia="Georgia" w:hAnsi="Georgia"/>
                <w:color w:val="1A1A1A"/>
                <w:sz w:val="21"/>
                <w:szCs w:val="21"/>
              </w:rPr>
              <w:t xml:space="preserve">Leadership development</w:t>
            </w:r>
          </w:p>
          <w:p>
            <w:pPr>
              <w:pStyle w:val="ListParagraph"/>
              <w:numPr>
                <w:ilvl w:val="0"/>
                <w:numId w:val="2"/>
              </w:numPr>
              <w:spacing w:after="60" w:line="264"/>
            </w:pPr>
            <w:r>
              <w:rPr>
                <w:rFonts w:ascii="Georgia" w:cs="Georgia" w:eastAsia="Georgia" w:hAnsi="Georgia"/>
                <w:color w:val="1A1A1A"/>
                <w:sz w:val="21"/>
                <w:szCs w:val="21"/>
              </w:rPr>
              <w:t xml:space="preserve">Strategic communications</w:t>
            </w:r>
          </w:p>
          <w:p>
            <w:pPr>
              <w:pStyle w:val="ListParagraph"/>
              <w:numPr>
                <w:ilvl w:val="0"/>
                <w:numId w:val="2"/>
              </w:numPr>
              <w:spacing w:after="60" w:line="264"/>
            </w:pPr>
            <w:r>
              <w:rPr>
                <w:rFonts w:ascii="Georgia" w:cs="Georgia" w:eastAsia="Georgia" w:hAnsi="Georgia"/>
                <w:color w:val="1A1A1A"/>
                <w:sz w:val="21"/>
                <w:szCs w:val="21"/>
              </w:rPr>
              <w:t xml:space="preserve">Crisis and reputation management</w:t>
            </w:r>
          </w:p>
        </w:tc>
        <w:tc>
          <w:tcPr>
            <w:tcW w:type="dxa" w:w="4513"/>
            <w:tcBorders>
              <w:top w:val="none"/>
              <w:left w:val="none"/>
              <w:bottom w:val="none"/>
              <w:right w:val="none"/>
            </w:tcBorders>
          </w:tcPr>
          <w:p>
            <w:pPr>
              <w:pStyle w:val="ListParagraph"/>
              <w:numPr>
                <w:ilvl w:val="0"/>
                <w:numId w:val="2"/>
              </w:numPr>
              <w:spacing w:after="60" w:line="264"/>
            </w:pPr>
            <w:r>
              <w:rPr>
                <w:rFonts w:ascii="Georgia" w:cs="Georgia" w:eastAsia="Georgia" w:hAnsi="Georgia"/>
                <w:color w:val="1A1A1A"/>
                <w:sz w:val="21"/>
                <w:szCs w:val="21"/>
              </w:rPr>
              <w:t xml:space="preserve">Media relations and PR management</w:t>
            </w:r>
          </w:p>
          <w:p>
            <w:pPr>
              <w:pStyle w:val="ListParagraph"/>
              <w:numPr>
                <w:ilvl w:val="0"/>
                <w:numId w:val="2"/>
              </w:numPr>
              <w:spacing w:after="60" w:line="264"/>
            </w:pPr>
            <w:r>
              <w:rPr>
                <w:rFonts w:ascii="Georgia" w:cs="Georgia" w:eastAsia="Georgia" w:hAnsi="Georgia"/>
                <w:color w:val="1A1A1A"/>
                <w:sz w:val="21"/>
                <w:szCs w:val="21"/>
              </w:rPr>
              <w:t xml:space="preserve">Executive presence</w:t>
            </w:r>
          </w:p>
          <w:p>
            <w:pPr>
              <w:pStyle w:val="ListParagraph"/>
              <w:numPr>
                <w:ilvl w:val="0"/>
                <w:numId w:val="2"/>
              </w:numPr>
              <w:spacing w:after="60" w:line="264"/>
            </w:pPr>
            <w:r>
              <w:rPr>
                <w:rFonts w:ascii="Georgia" w:cs="Georgia" w:eastAsia="Georgia" w:hAnsi="Georgia"/>
                <w:color w:val="1A1A1A"/>
                <w:sz w:val="21"/>
                <w:szCs w:val="21"/>
              </w:rPr>
              <w:t xml:space="preserve">Internal communications</w:t>
            </w:r>
          </w:p>
          <w:p>
            <w:pPr>
              <w:pStyle w:val="ListParagraph"/>
              <w:numPr>
                <w:ilvl w:val="0"/>
                <w:numId w:val="2"/>
              </w:numPr>
              <w:spacing w:after="60" w:line="264"/>
            </w:pPr>
            <w:r>
              <w:rPr>
                <w:rFonts w:ascii="Georgia" w:cs="Georgia" w:eastAsia="Georgia" w:hAnsi="Georgia"/>
                <w:color w:val="1A1A1A"/>
                <w:sz w:val="21"/>
                <w:szCs w:val="21"/>
              </w:rPr>
              <w:t xml:space="preserve">Cross-cultural team development</w:t>
            </w:r>
          </w:p>
        </w:tc>
      </w:tr>
    </w:tbl>
    <w:p>
      <w:pPr>
        <w:pBdr>
          <w:bottom w:val="single" w:color="C4C4C4" w:sz="4" w:space="2"/>
        </w:pBdr>
        <w:spacing w:after="100" w:before="260"/>
      </w:pPr>
      <w:r>
        <w:rPr>
          <w:rFonts w:ascii="Georgia" w:cs="Georgia" w:eastAsia="Georgia" w:hAnsi="Georgia"/>
          <w:b/>
          <w:bCs/>
          <w:color w:val="1A1A1A"/>
          <w:sz w:val="21"/>
          <w:szCs w:val="21"/>
        </w:rPr>
        <w:t xml:space="preserve">Selected client experience</w:t>
      </w:r>
    </w:p>
    <w:p>
      <w:pPr>
        <w:spacing w:after="120" w:line="276"/>
      </w:pPr>
      <w:r>
        <w:rPr>
          <w:rFonts w:ascii="Georgia" w:cs="Georgia" w:eastAsia="Georgia" w:hAnsi="Georgia"/>
          <w:color w:val="1A1A1A"/>
          <w:sz w:val="21"/>
          <w:szCs w:val="21"/>
        </w:rPr>
        <w:t xml:space="preserve">Central banks and finance: Central Bank of UAE, Saudi Arabian Monetary Authority, Central Bank of Seychelles, Gulf International Bank, Islamic Development Bank, Bank al Etihad, Oman Arab Bank</w:t>
      </w:r>
    </w:p>
    <w:p>
      <w:pPr>
        <w:spacing w:after="120" w:line="276"/>
      </w:pPr>
      <w:r>
        <w:rPr>
          <w:rFonts w:ascii="Georgia" w:cs="Georgia" w:eastAsia="Georgia" w:hAnsi="Georgia"/>
          <w:color w:val="1A1A1A"/>
          <w:sz w:val="21"/>
          <w:szCs w:val="21"/>
        </w:rPr>
        <w:t xml:space="preserve">Government and international organisations: United Nations, UNICEF, International Committee of the Red Cross, Dubai Customs</w:t>
      </w:r>
    </w:p>
    <w:p>
      <w:pPr>
        <w:spacing w:after="120" w:line="276"/>
      </w:pPr>
      <w:r>
        <w:rPr>
          <w:rFonts w:ascii="Georgia" w:cs="Georgia" w:eastAsia="Georgia" w:hAnsi="Georgia"/>
          <w:color w:val="1A1A1A"/>
          <w:sz w:val="21"/>
          <w:szCs w:val="21"/>
        </w:rPr>
        <w:t xml:space="preserve">Energy and corporate: Saudi Aramco, Exxon, Emirates National Oil Company, Ghana National Petroleum Corporation, DP World, GE Health, Accor, Hilton</w:t>
      </w:r>
    </w:p>
    <w:p>
      <w:pPr>
        <w:pBdr>
          <w:bottom w:val="single" w:color="C4C4C4" w:sz="4" w:space="2"/>
        </w:pBdr>
        <w:spacing w:after="100" w:before="260"/>
      </w:pPr>
      <w:r>
        <w:rPr>
          <w:rFonts w:ascii="Georgia" w:cs="Georgia" w:eastAsia="Georgia" w:hAnsi="Georgia"/>
          <w:b/>
          <w:bCs/>
          <w:color w:val="1A1A1A"/>
          <w:sz w:val="21"/>
          <w:szCs w:val="21"/>
        </w:rPr>
        <w:t xml:space="preserve">Career history</w:t>
      </w:r>
    </w:p>
    <w:p>
      <w:pPr>
        <w:tabs>
          <w:tab w:val="right" w:pos="9026"/>
        </w:tabs>
        <w:spacing w:after="40" w:before="120"/>
      </w:pPr>
      <w:r>
        <w:rPr>
          <w:rFonts w:ascii="Georgia" w:cs="Georgia" w:eastAsia="Georgia" w:hAnsi="Georgia"/>
          <w:b/>
          <w:bCs/>
          <w:color w:val="1A1A1A"/>
          <w:sz w:val="21"/>
          <w:szCs w:val="21"/>
        </w:rPr>
        <w:t xml:space="preserve">Communication trainer and executive coach</w:t>
      </w:r>
      <w:r>
        <w:rPr>
          <w:rFonts w:ascii="Georgia" w:cs="Georgia" w:eastAsia="Georgia" w:hAnsi="Georgia"/>
          <w:color w:val="1A1A1A"/>
          <w:sz w:val="21"/>
          <w:szCs w:val="21"/>
        </w:rPr>
        <w:t xml:space="preserve">, ISOC</w:t>
      </w:r>
      <w:r>
        <w:rPr>
          <w:rFonts w:ascii="Georgia" w:cs="Georgia" w:eastAsia="Georgia" w:hAnsi="Georgia"/>
          <w:color w:val="777777"/>
          <w:sz w:val="19"/>
          <w:szCs w:val="19"/>
        </w:rPr>
        <w:t xml:space="preserve">	2018–present</w:t>
      </w:r>
    </w:p>
    <w:p>
      <w:pPr>
        <w:pStyle w:val="ListParagraph"/>
        <w:numPr>
          <w:ilvl w:val="0"/>
          <w:numId w:val="2"/>
        </w:numPr>
        <w:spacing w:after="60" w:line="264"/>
      </w:pPr>
      <w:r>
        <w:rPr>
          <w:rFonts w:ascii="Georgia" w:cs="Georgia" w:eastAsia="Georgia" w:hAnsi="Georgia"/>
          <w:color w:val="1A1A1A"/>
          <w:sz w:val="21"/>
          <w:szCs w:val="21"/>
        </w:rPr>
        <w:t xml:space="preserve">Delivers communication training and coaching for clients across the Middle East, Africa and Asia, from advanced communication strategy to media relations and speechwriting</w:t>
      </w:r>
    </w:p>
    <w:p>
      <w:pPr>
        <w:pStyle w:val="ListParagraph"/>
        <w:numPr>
          <w:ilvl w:val="0"/>
          <w:numId w:val="2"/>
        </w:numPr>
        <w:spacing w:after="60" w:line="264"/>
      </w:pPr>
      <w:r>
        <w:rPr>
          <w:rFonts w:ascii="Georgia" w:cs="Georgia" w:eastAsia="Georgia" w:hAnsi="Georgia"/>
          <w:color w:val="1A1A1A"/>
          <w:sz w:val="21"/>
          <w:szCs w:val="21"/>
        </w:rPr>
        <w:t xml:space="preserve">Client engagements include central banks, UN organisations, Saudi Aramco and DP World</w:t>
      </w:r>
    </w:p>
    <w:p>
      <w:pPr>
        <w:tabs>
          <w:tab w:val="right" w:pos="9026"/>
        </w:tabs>
        <w:spacing w:after="40" w:before="120"/>
      </w:pPr>
      <w:r>
        <w:rPr>
          <w:rFonts w:ascii="Georgia" w:cs="Georgia" w:eastAsia="Georgia" w:hAnsi="Georgia"/>
          <w:b/>
          <w:bCs/>
          <w:color w:val="1A1A1A"/>
          <w:sz w:val="21"/>
          <w:szCs w:val="21"/>
        </w:rPr>
        <w:t xml:space="preserve">Business coach</w:t>
      </w:r>
      <w:r>
        <w:rPr>
          <w:rFonts w:ascii="Georgia" w:cs="Georgia" w:eastAsia="Georgia" w:hAnsi="Georgia"/>
          <w:color w:val="1A1A1A"/>
          <w:sz w:val="21"/>
          <w:szCs w:val="21"/>
        </w:rPr>
        <w:t xml:space="preserve">, Speexx</w:t>
      </w:r>
      <w:r>
        <w:rPr>
          <w:rFonts w:ascii="Georgia" w:cs="Georgia" w:eastAsia="Georgia" w:hAnsi="Georgia"/>
          <w:color w:val="777777"/>
          <w:sz w:val="19"/>
          <w:szCs w:val="19"/>
        </w:rPr>
        <w:t xml:space="preserve">	2025–present</w:t>
      </w:r>
    </w:p>
    <w:p>
      <w:pPr>
        <w:pStyle w:val="ListParagraph"/>
        <w:numPr>
          <w:ilvl w:val="0"/>
          <w:numId w:val="2"/>
        </w:numPr>
        <w:spacing w:after="60" w:line="264"/>
      </w:pPr>
      <w:r>
        <w:rPr>
          <w:rFonts w:ascii="Georgia" w:cs="Georgia" w:eastAsia="Georgia" w:hAnsi="Georgia"/>
          <w:color w:val="1A1A1A"/>
          <w:sz w:val="21"/>
          <w:szCs w:val="21"/>
        </w:rPr>
        <w:t xml:space="preserve">Coaches leaders in English and Polish on leadership and communication skills</w:t>
      </w:r>
    </w:p>
    <w:p>
      <w:pPr>
        <w:tabs>
          <w:tab w:val="right" w:pos="9026"/>
        </w:tabs>
        <w:spacing w:after="40" w:before="120"/>
      </w:pPr>
      <w:r>
        <w:rPr>
          <w:rFonts w:ascii="Georgia" w:cs="Georgia" w:eastAsia="Georgia" w:hAnsi="Georgia"/>
          <w:b/>
          <w:bCs/>
          <w:color w:val="1A1A1A"/>
          <w:sz w:val="21"/>
          <w:szCs w:val="21"/>
        </w:rPr>
        <w:t xml:space="preserve">Founder</w:t>
      </w:r>
      <w:r>
        <w:rPr>
          <w:rFonts w:ascii="Georgia" w:cs="Georgia" w:eastAsia="Georgia" w:hAnsi="Georgia"/>
          <w:color w:val="1A1A1A"/>
          <w:sz w:val="21"/>
          <w:szCs w:val="21"/>
        </w:rPr>
        <w:t xml:space="preserve">, Initiative Hub, coaching and communication consultancy</w:t>
      </w:r>
      <w:r>
        <w:rPr>
          <w:rFonts w:ascii="Georgia" w:cs="Georgia" w:eastAsia="Georgia" w:hAnsi="Georgia"/>
          <w:color w:val="777777"/>
          <w:sz w:val="19"/>
          <w:szCs w:val="19"/>
        </w:rPr>
        <w:t xml:space="preserve">	2016–present</w:t>
      </w:r>
    </w:p>
    <w:p>
      <w:pPr>
        <w:tabs>
          <w:tab w:val="right" w:pos="9026"/>
        </w:tabs>
        <w:spacing w:after="40" w:before="120"/>
      </w:pPr>
      <w:r>
        <w:rPr>
          <w:rFonts w:ascii="Georgia" w:cs="Georgia" w:eastAsia="Georgia" w:hAnsi="Georgia"/>
          <w:b/>
          <w:bCs/>
          <w:color w:val="1A1A1A"/>
          <w:sz w:val="21"/>
          <w:szCs w:val="21"/>
        </w:rPr>
        <w:t xml:space="preserve">Programme director, Women in Leadership</w:t>
      </w:r>
      <w:r>
        <w:rPr>
          <w:rFonts w:ascii="Georgia" w:cs="Georgia" w:eastAsia="Georgia" w:hAnsi="Georgia"/>
          <w:color w:val="1A1A1A"/>
          <w:sz w:val="21"/>
          <w:szCs w:val="21"/>
        </w:rPr>
        <w:t xml:space="preserve">, Middlesex University Mauritius</w:t>
      </w:r>
      <w:r>
        <w:rPr>
          <w:rFonts w:ascii="Georgia" w:cs="Georgia" w:eastAsia="Georgia" w:hAnsi="Georgia"/>
          <w:color w:val="777777"/>
          <w:sz w:val="19"/>
          <w:szCs w:val="19"/>
        </w:rPr>
        <w:t xml:space="preserve">	2024–2025</w:t>
      </w:r>
    </w:p>
    <w:p>
      <w:pPr>
        <w:tabs>
          <w:tab w:val="right" w:pos="9026"/>
        </w:tabs>
        <w:spacing w:after="40" w:before="120"/>
      </w:pPr>
      <w:r>
        <w:rPr>
          <w:rFonts w:ascii="Georgia" w:cs="Georgia" w:eastAsia="Georgia" w:hAnsi="Georgia"/>
          <w:b/>
          <w:bCs/>
          <w:color w:val="1A1A1A"/>
          <w:sz w:val="21"/>
          <w:szCs w:val="21"/>
        </w:rPr>
        <w:t xml:space="preserve">Lecturer, business management, advertising, branding and PR</w:t>
      </w:r>
      <w:r>
        <w:rPr>
          <w:rFonts w:ascii="Georgia" w:cs="Georgia" w:eastAsia="Georgia" w:hAnsi="Georgia"/>
          <w:color w:val="1A1A1A"/>
          <w:sz w:val="21"/>
          <w:szCs w:val="21"/>
        </w:rPr>
        <w:t xml:space="preserve">, Middlesex University Mauritius</w:t>
      </w:r>
      <w:r>
        <w:rPr>
          <w:rFonts w:ascii="Georgia" w:cs="Georgia" w:eastAsia="Georgia" w:hAnsi="Georgia"/>
          <w:color w:val="777777"/>
          <w:sz w:val="19"/>
          <w:szCs w:val="19"/>
        </w:rPr>
        <w:t xml:space="preserve">	2023–2024</w:t>
      </w:r>
    </w:p>
    <w:p>
      <w:pPr>
        <w:tabs>
          <w:tab w:val="right" w:pos="9026"/>
        </w:tabs>
        <w:spacing w:after="40" w:before="120"/>
      </w:pPr>
      <w:r>
        <w:rPr>
          <w:rFonts w:ascii="Georgia" w:cs="Georgia" w:eastAsia="Georgia" w:hAnsi="Georgia"/>
          <w:b/>
          <w:bCs/>
          <w:color w:val="1A1A1A"/>
          <w:sz w:val="21"/>
          <w:szCs w:val="21"/>
        </w:rPr>
        <w:t xml:space="preserve">Public relations manager, Burj Al Arab</w:t>
      </w:r>
      <w:r>
        <w:rPr>
          <w:rFonts w:ascii="Georgia" w:cs="Georgia" w:eastAsia="Georgia" w:hAnsi="Georgia"/>
          <w:color w:val="1A1A1A"/>
          <w:sz w:val="21"/>
          <w:szCs w:val="21"/>
        </w:rPr>
        <w:t xml:space="preserve">, Jumeirah Group</w:t>
      </w:r>
      <w:r>
        <w:rPr>
          <w:rFonts w:ascii="Georgia" w:cs="Georgia" w:eastAsia="Georgia" w:hAnsi="Georgia"/>
          <w:color w:val="777777"/>
          <w:sz w:val="19"/>
          <w:szCs w:val="19"/>
        </w:rPr>
        <w:t xml:space="preserve">	2012–2016</w:t>
      </w:r>
    </w:p>
    <w:p>
      <w:pPr>
        <w:pStyle w:val="ListParagraph"/>
        <w:numPr>
          <w:ilvl w:val="0"/>
          <w:numId w:val="2"/>
        </w:numPr>
        <w:spacing w:after="60" w:line="264"/>
      </w:pPr>
      <w:r>
        <w:rPr>
          <w:rFonts w:ascii="Georgia" w:cs="Georgia" w:eastAsia="Georgia" w:hAnsi="Georgia"/>
          <w:color w:val="1A1A1A"/>
          <w:sz w:val="21"/>
          <w:szCs w:val="21"/>
        </w:rPr>
        <w:t xml:space="preserve">Led communications strategy for Jumeirah's flagship property, managing broadcast opportunities, press conferences, CSR initiatives and a team of marketing communications executives</w:t>
      </w:r>
    </w:p>
    <w:p>
      <w:pPr>
        <w:tabs>
          <w:tab w:val="right" w:pos="9026"/>
        </w:tabs>
        <w:spacing w:after="40" w:before="120"/>
      </w:pPr>
      <w:r>
        <w:rPr>
          <w:rFonts w:ascii="Georgia" w:cs="Georgia" w:eastAsia="Georgia" w:hAnsi="Georgia"/>
          <w:b/>
          <w:bCs/>
          <w:color w:val="1A1A1A"/>
          <w:sz w:val="21"/>
          <w:szCs w:val="21"/>
        </w:rPr>
        <w:t xml:space="preserve">Senior communications executive</w:t>
      </w:r>
      <w:r>
        <w:rPr>
          <w:rFonts w:ascii="Georgia" w:cs="Georgia" w:eastAsia="Georgia" w:hAnsi="Georgia"/>
          <w:color w:val="1A1A1A"/>
          <w:sz w:val="21"/>
          <w:szCs w:val="21"/>
        </w:rPr>
        <w:t xml:space="preserve">, Euromonitor International</w:t>
      </w:r>
      <w:r>
        <w:rPr>
          <w:rFonts w:ascii="Georgia" w:cs="Georgia" w:eastAsia="Georgia" w:hAnsi="Georgia"/>
          <w:color w:val="777777"/>
          <w:sz w:val="19"/>
          <w:szCs w:val="19"/>
        </w:rPr>
        <w:t xml:space="preserve">	2008–2012</w:t>
      </w:r>
    </w:p>
    <w:p>
      <w:pPr>
        <w:tabs>
          <w:tab w:val="right" w:pos="9026"/>
        </w:tabs>
        <w:spacing w:after="40" w:before="120"/>
      </w:pPr>
      <w:r>
        <w:rPr>
          <w:rFonts w:ascii="Georgia" w:cs="Georgia" w:eastAsia="Georgia" w:hAnsi="Georgia"/>
          <w:b/>
          <w:bCs/>
          <w:color w:val="1A1A1A"/>
          <w:sz w:val="21"/>
          <w:szCs w:val="21"/>
        </w:rPr>
        <w:t xml:space="preserve">Marketing communications executive</w:t>
      </w:r>
      <w:r>
        <w:rPr>
          <w:rFonts w:ascii="Georgia" w:cs="Georgia" w:eastAsia="Georgia" w:hAnsi="Georgia"/>
          <w:color w:val="1A1A1A"/>
          <w:sz w:val="21"/>
          <w:szCs w:val="21"/>
        </w:rPr>
        <w:t xml:space="preserve">, Incisive Media</w:t>
      </w:r>
      <w:r>
        <w:rPr>
          <w:rFonts w:ascii="Georgia" w:cs="Georgia" w:eastAsia="Georgia" w:hAnsi="Georgia"/>
          <w:color w:val="777777"/>
          <w:sz w:val="19"/>
          <w:szCs w:val="19"/>
        </w:rPr>
        <w:t xml:space="preserve">	2008</w:t>
      </w:r>
    </w:p>
    <w:p>
      <w:pPr>
        <w:tabs>
          <w:tab w:val="right" w:pos="9026"/>
        </w:tabs>
        <w:spacing w:after="40" w:before="120"/>
      </w:pPr>
      <w:r>
        <w:rPr>
          <w:rFonts w:ascii="Georgia" w:cs="Georgia" w:eastAsia="Georgia" w:hAnsi="Georgia"/>
          <w:b/>
          <w:bCs/>
          <w:color w:val="1A1A1A"/>
          <w:sz w:val="21"/>
          <w:szCs w:val="21"/>
        </w:rPr>
        <w:t xml:space="preserve">Subscriptions marketing manager</w:t>
      </w:r>
      <w:r>
        <w:rPr>
          <w:rFonts w:ascii="Georgia" w:cs="Georgia" w:eastAsia="Georgia" w:hAnsi="Georgia"/>
          <w:color w:val="1A1A1A"/>
          <w:sz w:val="21"/>
          <w:szCs w:val="21"/>
        </w:rPr>
        <w:t xml:space="preserve">, BMI Research, Fitch Group</w:t>
      </w:r>
      <w:r>
        <w:rPr>
          <w:rFonts w:ascii="Georgia" w:cs="Georgia" w:eastAsia="Georgia" w:hAnsi="Georgia"/>
          <w:color w:val="777777"/>
          <w:sz w:val="19"/>
          <w:szCs w:val="19"/>
        </w:rPr>
        <w:t xml:space="preserve">	2005–2008</w:t>
      </w:r>
    </w:p>
    <w:p>
      <w:pPr>
        <w:pBdr>
          <w:bottom w:val="single" w:color="C4C4C4" w:sz="4" w:space="2"/>
        </w:pBdr>
        <w:spacing w:after="100" w:before="260"/>
      </w:pPr>
      <w:r>
        <w:rPr>
          <w:rFonts w:ascii="Georgia" w:cs="Georgia" w:eastAsia="Georgia" w:hAnsi="Georgia"/>
          <w:b/>
          <w:bCs/>
          <w:color w:val="1A1A1A"/>
          <w:sz w:val="21"/>
          <w:szCs w:val="21"/>
        </w:rPr>
        <w:t xml:space="preserve">Education and qualifications</w:t>
      </w:r>
    </w:p>
    <w:p>
      <w:pPr>
        <w:spacing w:after="120" w:line="276"/>
      </w:pPr>
      <w:r>
        <w:rPr>
          <w:rFonts w:ascii="Georgia" w:cs="Georgia" w:eastAsia="Georgia" w:hAnsi="Georgia"/>
          <w:color w:val="1A1A1A"/>
          <w:sz w:val="21"/>
          <w:szCs w:val="21"/>
        </w:rPr>
        <w:t xml:space="preserve">Certified executive coach, International Coaching Federation (ICF)</w:t>
      </w:r>
    </w:p>
    <w:p>
      <w:pPr>
        <w:spacing w:after="120" w:line="276"/>
      </w:pPr>
      <w:r>
        <w:rPr>
          <w:rFonts w:ascii="Georgia" w:cs="Georgia" w:eastAsia="Georgia" w:hAnsi="Georgia"/>
          <w:color w:val="1A1A1A"/>
          <w:sz w:val="21"/>
          <w:szCs w:val="21"/>
        </w:rPr>
        <w:t xml:space="preserve">Diploma in Public Relations (Merit), Chartered Institute of Public Relations, 2014</w:t>
      </w:r>
    </w:p>
    <w:p>
      <w:pPr>
        <w:spacing w:after="120" w:line="276"/>
      </w:pPr>
      <w:r>
        <w:rPr>
          <w:rFonts w:ascii="Georgia" w:cs="Georgia" w:eastAsia="Georgia" w:hAnsi="Georgia"/>
          <w:color w:val="1A1A1A"/>
          <w:sz w:val="21"/>
          <w:szCs w:val="21"/>
        </w:rPr>
        <w:t xml:space="preserve">Professional Certificate in Marketing, Chartered Institute of Marketing, London Metropolitan University, 2008</w:t>
      </w:r>
    </w:p>
    <w:p>
      <w:pPr>
        <w:spacing w:after="120" w:line="276"/>
      </w:pPr>
      <w:r>
        <w:rPr>
          <w:rFonts w:ascii="Georgia" w:cs="Georgia" w:eastAsia="Georgia" w:hAnsi="Georgia"/>
          <w:color w:val="1A1A1A"/>
          <w:sz w:val="21"/>
          <w:szCs w:val="21"/>
        </w:rPr>
        <w:t xml:space="preserve">MA English Language and Literature, Adam Mickiewicz University, Poznan, 2003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7"/>
      </w:pPr>
      <w:rPr>
        <w:rFonts w:ascii="Georgia" w:cs="Georgia" w:eastAsia="Georgia" w:hAnsi="Georgia"/>
        <w:color w:val="1A1A1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2026-08-18T12:02:14.597Z</dcterms:created>
  <dcterms:modified xsi:type="dcterms:W3CDTF">2026-08-18T12:02:14.615Z</dcterms:modified>
</cp:coreProperties>
</file>

<file path=docProps/custom.xml><?xml version="1.0" encoding="utf-8"?>
<Properties xmlns="http://schemas.openxmlformats.org/officeDocument/2006/custom-properties" xmlns:vt="http://schemas.openxmlformats.org/officeDocument/2006/docPropsVTypes"/>
</file>