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111111"/>
          <w:sz w:val="52"/>
          <w:szCs w:val="52"/>
        </w:rPr>
        <w:t xml:space="preserve">James Cordahi</w:t>
      </w:r>
    </w:p>
    <w:p>
      <w:pPr>
        <w:spacing w:after="60"/>
      </w:pPr>
      <w:r>
        <w:rPr>
          <w:rFonts w:ascii="Georgia" w:cs="Georgia" w:eastAsia="Georgia" w:hAnsi="Georgia"/>
          <w:color w:val="555555"/>
          <w:sz w:val="24"/>
          <w:szCs w:val="24"/>
        </w:rPr>
        <w:t xml:space="preserve">Senior communications trainer and executive coach</w:t>
      </w:r>
    </w:p>
    <w:p>
      <w:pPr>
        <w:pBdr>
          <w:bottom w:val="single" w:color="C4C4C4" w:sz="4" w:space="6"/>
        </w:pBdr>
        <w:spacing w:after="40"/>
      </w:pPr>
      <w:r>
        <w:rPr>
          <w:rFonts w:ascii="Georgia" w:cs="Georgia" w:eastAsia="Georgia" w:hAnsi="Georgia"/>
          <w:color w:val="777777"/>
          <w:sz w:val="19"/>
          <w:szCs w:val="19"/>
        </w:rPr>
        <w:t xml:space="preserve">United Arab Emirates  ·  English, Arabic, French  ·  35+ years’ experience</w:t>
      </w:r>
    </w:p>
    <w:p>
      <w:pPr>
        <w:pBdr>
          <w:bottom w:val="single" w:color="C4C4C4" w:sz="4" w:space="2"/>
        </w:pBdr>
        <w:spacing w:after="100" w:before="2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Profile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James is a communications trainer and ICF certified executive coach with 35 years' experience in international journalism, corporate affairs and government relations. He founded Bloomberg News' Middle East business coverage, co-ran the Reuters Gulf financial newsroom and later led corporate and government affairs for Abbott, Mondelez International and BlackBerry. He coaches senior executives in English, Arabic and French.</w:t>
      </w:r>
    </w:p>
    <w:p>
      <w:pPr>
        <w:pBdr>
          <w:bottom w:val="single" w:color="C4C4C4" w:sz="4" w:space="2"/>
        </w:pBdr>
        <w:spacing w:after="100" w:before="2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Areas of expertise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Executive communication coaching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Leadership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Media training and media relations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Crisis communication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Government relations and public affairs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Stakeholder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Executive presence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Strategic communications</w:t>
            </w:r>
          </w:p>
        </w:tc>
      </w:tr>
    </w:tbl>
    <w:p>
      <w:pPr>
        <w:pBdr>
          <w:bottom w:val="single" w:color="C4C4C4" w:sz="4" w:space="2"/>
        </w:pBdr>
        <w:spacing w:after="100" w:before="2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Career history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Senior trainer and executive coach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ISOC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2015–present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Delivers executive education in strategic communications, media relations, crisis communication and government affairs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Coaches senior leaders on executive presence and high-stakes communication in English, Arabic and French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Strategic advisor, corporate and government affairs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Advisory practice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2025–present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Advises multinational and government affairs clients on public policy, business environment and stakeholder engagement across the Middle East and Africa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Executive editor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Arabian Gulf Business Insight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2025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Senior director, government affairs, Middle East, Africa and Pakistan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Abbott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2016–2024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Built and led the regional government affairs function, advising global leadership on policy, regulatory strategy and geopolitical risk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Director, corporate and government affairs, Eastern Europe, Middle East and Africa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Mondelez International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2013–2015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Director, government relations, MENA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BlackBerry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2011–2012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Senior vice president, corporate affairs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Abraaj Capital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2008–2011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Deputy then acting head, Gulf financial news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Reuters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2006–2008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Middle East finance and business correspondent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Bloomberg News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2000–2006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Founded Bloomberg's business and finance coverage in the Middle East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Senior editor and economist, Middle East and North Africa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Economist Intelligence Unit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1995–2000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Foreign correspondent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The Economist, BBC World Service and others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1991–1995</w:t>
      </w:r>
    </w:p>
    <w:p>
      <w:pPr>
        <w:pBdr>
          <w:bottom w:val="single" w:color="C4C4C4" w:sz="4" w:space="2"/>
        </w:pBdr>
        <w:spacing w:after="100" w:before="2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Education and qualifications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ICF certified executive coach, Co-Active Training Institute (CTI), 2026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MA International Journalism, City University London, 1991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BA (Economic and Political) Geography, University of Cambridge, 1989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Diploma in Economics, Birkbeck, University of London, 1998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27"/>
      </w:pPr>
      <w:rPr>
        <w:rFonts w:ascii="Georgia" w:cs="Georgia" w:eastAsia="Georgia" w:hAnsi="Georgia"/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2026-08-18T12:02:14.597Z</dcterms:created>
  <dcterms:modified xsi:type="dcterms:W3CDTF">2026-08-18T12:02:14.615Z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