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11111"/>
          <w:sz w:val="52"/>
          <w:szCs w:val="52"/>
        </w:rPr>
        <w:t xml:space="preserve">Lama Atallah</w:t>
      </w:r>
    </w:p>
    <w:p>
      <w:pPr>
        <w:spacing w:after="60"/>
      </w:pPr>
      <w:r>
        <w:rPr>
          <w:rFonts w:ascii="Georgia" w:cs="Georgia" w:eastAsia="Georgia" w:hAnsi="Georgia"/>
          <w:color w:val="555555"/>
          <w:sz w:val="24"/>
          <w:szCs w:val="24"/>
        </w:rPr>
        <w:t xml:space="preserve">Corporate trainer and executive communication coach</w:t>
      </w:r>
    </w:p>
    <w:p>
      <w:pPr>
        <w:pBdr>
          <w:bottom w:val="single" w:color="C4C4C4" w:sz="4" w:space="6"/>
        </w:pBdr>
        <w:spacing w:after="40"/>
      </w:pPr>
      <w:r>
        <w:rPr>
          <w:rFonts w:ascii="Georgia" w:cs="Georgia" w:eastAsia="Georgia" w:hAnsi="Georgia"/>
          <w:color w:val="777777"/>
          <w:sz w:val="19"/>
          <w:szCs w:val="19"/>
        </w:rPr>
        <w:t xml:space="preserve">United Arab Emirates  ·  English, Arabic, French  ·  15+ years’ experience</w:t>
      </w:r>
    </w:p>
    <w:p>
      <w:pPr>
        <w:pBdr>
          <w:bottom w:val="single" w:color="C4C4C4" w:sz="4" w:space="2"/>
        </w:pBdr>
        <w:spacing w:after="100" w:before="260"/>
      </w:pPr>
      <w:r>
        <w:rPr>
          <w:rFonts w:ascii="Georgia" w:cs="Georgia" w:eastAsia="Georgia" w:hAnsi="Georgia"/>
          <w:b/>
          <w:bCs/>
          <w:color w:val="1A1A1A"/>
          <w:sz w:val="21"/>
          <w:szCs w:val="21"/>
        </w:rPr>
        <w:t xml:space="preserve">Profile</w:t>
      </w:r>
    </w:p>
    <w:p>
      <w:pPr>
        <w:spacing w:after="120" w:line="276"/>
      </w:pPr>
      <w:r>
        <w:rPr>
          <w:rFonts w:ascii="Georgia" w:cs="Georgia" w:eastAsia="Georgia" w:hAnsi="Georgia"/>
          <w:color w:val="1A1A1A"/>
          <w:sz w:val="21"/>
          <w:szCs w:val="21"/>
        </w:rPr>
        <w:t xml:space="preserve">Lama is a corporate trainer and ICF certified coach with more than 15 years' experience supporting senior professionals across government, education and industry. She teaches strategic communication at Abu Dhabi University and has delivered executive training for UAE ministries, authorities and national companies including ADNOC, DEWA, Mubadala and Dubai Police. She holds a master's degree in communication from the University of Ottawa and trains in English and Arabic.</w:t>
      </w:r>
    </w:p>
    <w:p>
      <w:pPr>
        <w:pBdr>
          <w:bottom w:val="single" w:color="C4C4C4" w:sz="4" w:space="2"/>
        </w:pBdr>
        <w:spacing w:after="100" w:before="260"/>
      </w:pPr>
      <w:r>
        <w:rPr>
          <w:rFonts w:ascii="Georgia" w:cs="Georgia" w:eastAsia="Georgia" w:hAnsi="Georgia"/>
          <w:b/>
          <w:bCs/>
          <w:color w:val="1A1A1A"/>
          <w:sz w:val="21"/>
          <w:szCs w:val="21"/>
        </w:rPr>
        <w:t xml:space="preserve">Areas of expertise</w:t>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Executive communication coaching</w:t>
            </w:r>
          </w:p>
          <w:p>
            <w:pPr>
              <w:pStyle w:val="ListParagraph"/>
              <w:numPr>
                <w:ilvl w:val="0"/>
                <w:numId w:val="2"/>
              </w:numPr>
              <w:spacing w:after="60" w:line="264"/>
            </w:pPr>
            <w:r>
              <w:rPr>
                <w:rFonts w:ascii="Georgia" w:cs="Georgia" w:eastAsia="Georgia" w:hAnsi="Georgia"/>
                <w:color w:val="1A1A1A"/>
                <w:sz w:val="21"/>
                <w:szCs w:val="21"/>
              </w:rPr>
              <w:t xml:space="preserve">Public speaking and presentation skills</w:t>
            </w:r>
          </w:p>
          <w:p>
            <w:pPr>
              <w:pStyle w:val="ListParagraph"/>
              <w:numPr>
                <w:ilvl w:val="0"/>
                <w:numId w:val="2"/>
              </w:numPr>
              <w:spacing w:after="60" w:line="264"/>
            </w:pPr>
            <w:r>
              <w:rPr>
                <w:rFonts w:ascii="Georgia" w:cs="Georgia" w:eastAsia="Georgia" w:hAnsi="Georgia"/>
                <w:color w:val="1A1A1A"/>
                <w:sz w:val="21"/>
                <w:szCs w:val="21"/>
              </w:rPr>
              <w:t xml:space="preserve">Strategic and corporate communication</w:t>
            </w:r>
          </w:p>
          <w:p>
            <w:pPr>
              <w:pStyle w:val="ListParagraph"/>
              <w:numPr>
                <w:ilvl w:val="0"/>
                <w:numId w:val="2"/>
              </w:numPr>
              <w:spacing w:after="60" w:line="264"/>
            </w:pPr>
            <w:r>
              <w:rPr>
                <w:rFonts w:ascii="Georgia" w:cs="Georgia" w:eastAsia="Georgia" w:hAnsi="Georgia"/>
                <w:color w:val="1A1A1A"/>
                <w:sz w:val="21"/>
                <w:szCs w:val="21"/>
              </w:rPr>
              <w:t xml:space="preserve">Media and crisis management</w:t>
            </w:r>
          </w:p>
        </w:tc>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Emotional intelligence</w:t>
            </w:r>
          </w:p>
          <w:p>
            <w:pPr>
              <w:pStyle w:val="ListParagraph"/>
              <w:numPr>
                <w:ilvl w:val="0"/>
                <w:numId w:val="2"/>
              </w:numPr>
              <w:spacing w:after="60" w:line="264"/>
            </w:pPr>
            <w:r>
              <w:rPr>
                <w:rFonts w:ascii="Georgia" w:cs="Georgia" w:eastAsia="Georgia" w:hAnsi="Georgia"/>
                <w:color w:val="1A1A1A"/>
                <w:sz w:val="21"/>
                <w:szCs w:val="21"/>
              </w:rPr>
              <w:t xml:space="preserve">Protocol and business etiquette</w:t>
            </w:r>
          </w:p>
          <w:p>
            <w:pPr>
              <w:pStyle w:val="ListParagraph"/>
              <w:numPr>
                <w:ilvl w:val="0"/>
                <w:numId w:val="2"/>
              </w:numPr>
              <w:spacing w:after="60" w:line="264"/>
            </w:pPr>
            <w:r>
              <w:rPr>
                <w:rFonts w:ascii="Georgia" w:cs="Georgia" w:eastAsia="Georgia" w:hAnsi="Georgia"/>
                <w:color w:val="1A1A1A"/>
                <w:sz w:val="21"/>
                <w:szCs w:val="21"/>
              </w:rPr>
              <w:t xml:space="preserve">Cross-cultural communication</w:t>
            </w:r>
          </w:p>
          <w:p>
            <w:pPr>
              <w:pStyle w:val="ListParagraph"/>
              <w:numPr>
                <w:ilvl w:val="0"/>
                <w:numId w:val="2"/>
              </w:numPr>
              <w:spacing w:after="60" w:line="264"/>
            </w:pPr>
            <w:r>
              <w:rPr>
                <w:rFonts w:ascii="Georgia" w:cs="Georgia" w:eastAsia="Georgia" w:hAnsi="Georgia"/>
                <w:color w:val="1A1A1A"/>
                <w:sz w:val="21"/>
                <w:szCs w:val="21"/>
              </w:rPr>
              <w:t xml:space="preserve">Customer experience management</w:t>
            </w:r>
          </w:p>
        </w:tc>
      </w:tr>
    </w:tbl>
    <w:p>
      <w:pPr>
        <w:pBdr>
          <w:bottom w:val="single" w:color="C4C4C4" w:sz="4" w:space="2"/>
        </w:pBdr>
        <w:spacing w:after="100" w:before="260"/>
      </w:pPr>
      <w:r>
        <w:rPr>
          <w:rFonts w:ascii="Georgia" w:cs="Georgia" w:eastAsia="Georgia" w:hAnsi="Georgia"/>
          <w:b/>
          <w:bCs/>
          <w:color w:val="1A1A1A"/>
          <w:sz w:val="21"/>
          <w:szCs w:val="21"/>
        </w:rPr>
        <w:t xml:space="preserve">Selected client experience</w:t>
      </w:r>
    </w:p>
    <w:p>
      <w:pPr>
        <w:spacing w:after="120" w:line="276"/>
      </w:pPr>
      <w:r>
        <w:rPr>
          <w:rFonts w:ascii="Georgia" w:cs="Georgia" w:eastAsia="Georgia" w:hAnsi="Georgia"/>
          <w:color w:val="1A1A1A"/>
          <w:sz w:val="21"/>
          <w:szCs w:val="21"/>
        </w:rPr>
        <w:t xml:space="preserve">Government and public authorities: Ministry of Interior, NCEMA, Dubai Police, Roads and Transport Authority, DEWA, Department of Energy Abu Dhabi, General Pension and Social Security Authority, Government of Ajman, Al Ain City Municipality</w:t>
      </w:r>
    </w:p>
    <w:p>
      <w:pPr>
        <w:spacing w:after="120" w:line="276"/>
      </w:pPr>
      <w:r>
        <w:rPr>
          <w:rFonts w:ascii="Georgia" w:cs="Georgia" w:eastAsia="Georgia" w:hAnsi="Georgia"/>
          <w:color w:val="1A1A1A"/>
          <w:sz w:val="21"/>
          <w:szCs w:val="21"/>
        </w:rPr>
        <w:t xml:space="preserve">Energy and industry: ADNOC, National Drilling Company, Mubadala</w:t>
      </w:r>
    </w:p>
    <w:p>
      <w:pPr>
        <w:spacing w:after="120" w:line="276"/>
      </w:pPr>
      <w:r>
        <w:rPr>
          <w:rFonts w:ascii="Georgia" w:cs="Georgia" w:eastAsia="Georgia" w:hAnsi="Georgia"/>
          <w:color w:val="1A1A1A"/>
          <w:sz w:val="21"/>
          <w:szCs w:val="21"/>
        </w:rPr>
        <w:t xml:space="preserve">Education: Abu Dhabi University, Khalifa University</w:t>
      </w:r>
    </w:p>
    <w:p>
      <w:pPr>
        <w:pBdr>
          <w:bottom w:val="single" w:color="C4C4C4" w:sz="4" w:space="2"/>
        </w:pBdr>
        <w:spacing w:after="100" w:before="260"/>
      </w:pPr>
      <w:r>
        <w:rPr>
          <w:rFonts w:ascii="Georgia" w:cs="Georgia" w:eastAsia="Georgia" w:hAnsi="Georgia"/>
          <w:b/>
          <w:bCs/>
          <w:color w:val="1A1A1A"/>
          <w:sz w:val="21"/>
          <w:szCs w:val="21"/>
        </w:rPr>
        <w:t xml:space="preserve">Career history</w:t>
      </w:r>
    </w:p>
    <w:p>
      <w:pPr>
        <w:tabs>
          <w:tab w:val="right" w:pos="9026"/>
        </w:tabs>
        <w:spacing w:after="40" w:before="120"/>
      </w:pPr>
      <w:r>
        <w:rPr>
          <w:rFonts w:ascii="Georgia" w:cs="Georgia" w:eastAsia="Georgia" w:hAnsi="Georgia"/>
          <w:b/>
          <w:bCs/>
          <w:color w:val="1A1A1A"/>
          <w:sz w:val="21"/>
          <w:szCs w:val="21"/>
        </w:rPr>
        <w:t xml:space="preserve">Trainer and executive communication coach</w:t>
      </w:r>
      <w:r>
        <w:rPr>
          <w:rFonts w:ascii="Georgia" w:cs="Georgia" w:eastAsia="Georgia" w:hAnsi="Georgia"/>
          <w:color w:val="1A1A1A"/>
          <w:sz w:val="21"/>
          <w:szCs w:val="21"/>
        </w:rPr>
        <w:t xml:space="preserve">, ISOC</w:t>
      </w:r>
      <w:r>
        <w:rPr>
          <w:rFonts w:ascii="Georgia" w:cs="Georgia" w:eastAsia="Georgia" w:hAnsi="Georgia"/>
          <w:color w:val="777777"/>
          <w:sz w:val="19"/>
          <w:szCs w:val="19"/>
        </w:rPr>
        <w:t xml:space="preserve">	2024–present</w:t>
      </w:r>
    </w:p>
    <w:p>
      <w:pPr>
        <w:pStyle w:val="ListParagraph"/>
        <w:numPr>
          <w:ilvl w:val="0"/>
          <w:numId w:val="2"/>
        </w:numPr>
        <w:spacing w:after="60" w:line="264"/>
      </w:pPr>
      <w:r>
        <w:rPr>
          <w:rFonts w:ascii="Georgia" w:cs="Georgia" w:eastAsia="Georgia" w:hAnsi="Georgia"/>
          <w:color w:val="1A1A1A"/>
          <w:sz w:val="21"/>
          <w:szCs w:val="21"/>
        </w:rPr>
        <w:t xml:space="preserve">Delivers corporate communication, public speaking and coaching programmes in English and Arabic</w:t>
      </w:r>
    </w:p>
    <w:p>
      <w:pPr>
        <w:tabs>
          <w:tab w:val="right" w:pos="9026"/>
        </w:tabs>
        <w:spacing w:after="40" w:before="120"/>
      </w:pPr>
      <w:r>
        <w:rPr>
          <w:rFonts w:ascii="Georgia" w:cs="Georgia" w:eastAsia="Georgia" w:hAnsi="Georgia"/>
          <w:b/>
          <w:bCs/>
          <w:color w:val="1A1A1A"/>
          <w:sz w:val="21"/>
          <w:szCs w:val="21"/>
        </w:rPr>
        <w:t xml:space="preserve">Instructor in strategic communication</w:t>
      </w:r>
      <w:r>
        <w:rPr>
          <w:rFonts w:ascii="Georgia" w:cs="Georgia" w:eastAsia="Georgia" w:hAnsi="Georgia"/>
          <w:color w:val="1A1A1A"/>
          <w:sz w:val="21"/>
          <w:szCs w:val="21"/>
        </w:rPr>
        <w:t xml:space="preserve">, Abu Dhabi University</w:t>
      </w:r>
      <w:r>
        <w:rPr>
          <w:rFonts w:ascii="Georgia" w:cs="Georgia" w:eastAsia="Georgia" w:hAnsi="Georgia"/>
          <w:color w:val="777777"/>
          <w:sz w:val="19"/>
          <w:szCs w:val="19"/>
        </w:rPr>
        <w:t xml:space="preserve">	2020–present</w:t>
      </w:r>
    </w:p>
    <w:p>
      <w:pPr>
        <w:pStyle w:val="ListParagraph"/>
        <w:numPr>
          <w:ilvl w:val="0"/>
          <w:numId w:val="2"/>
        </w:numPr>
        <w:spacing w:after="60" w:line="264"/>
      </w:pPr>
      <w:r>
        <w:rPr>
          <w:rFonts w:ascii="Georgia" w:cs="Georgia" w:eastAsia="Georgia" w:hAnsi="Georgia"/>
          <w:color w:val="1A1A1A"/>
          <w:sz w:val="21"/>
          <w:szCs w:val="21"/>
        </w:rPr>
        <w:t xml:space="preserve">Teaches public speaking, media management, public relations, crisis communication and protocol in English and Arabic</w:t>
      </w:r>
    </w:p>
    <w:p>
      <w:pPr>
        <w:tabs>
          <w:tab w:val="right" w:pos="9026"/>
        </w:tabs>
        <w:spacing w:after="40" w:before="120"/>
      </w:pPr>
      <w:r>
        <w:rPr>
          <w:rFonts w:ascii="Georgia" w:cs="Georgia" w:eastAsia="Georgia" w:hAnsi="Georgia"/>
          <w:b/>
          <w:bCs/>
          <w:color w:val="1A1A1A"/>
          <w:sz w:val="21"/>
          <w:szCs w:val="21"/>
        </w:rPr>
        <w:t xml:space="preserve">Executive corporate trainer and communication coach</w:t>
      </w:r>
      <w:r>
        <w:rPr>
          <w:rFonts w:ascii="Georgia" w:cs="Georgia" w:eastAsia="Georgia" w:hAnsi="Georgia"/>
          <w:color w:val="1A1A1A"/>
          <w:sz w:val="21"/>
          <w:szCs w:val="21"/>
        </w:rPr>
        <w:t xml:space="preserve">, Corporate and government clients, UAE</w:t>
      </w:r>
      <w:r>
        <w:rPr>
          <w:rFonts w:ascii="Georgia" w:cs="Georgia" w:eastAsia="Georgia" w:hAnsi="Georgia"/>
          <w:color w:val="777777"/>
          <w:sz w:val="19"/>
          <w:szCs w:val="19"/>
        </w:rPr>
        <w:t xml:space="preserve">	2015–present</w:t>
      </w:r>
    </w:p>
    <w:p>
      <w:pPr>
        <w:pStyle w:val="ListParagraph"/>
        <w:numPr>
          <w:ilvl w:val="0"/>
          <w:numId w:val="2"/>
        </w:numPr>
        <w:spacing w:after="60" w:line="264"/>
      </w:pPr>
      <w:r>
        <w:rPr>
          <w:rFonts w:ascii="Georgia" w:cs="Georgia" w:eastAsia="Georgia" w:hAnsi="Georgia"/>
          <w:color w:val="1A1A1A"/>
          <w:sz w:val="21"/>
          <w:szCs w:val="21"/>
        </w:rPr>
        <w:t xml:space="preserve">Designs and delivers programmes in communication skills, emotional intelligence, customer experience and leadership for UAE government and corporate clients</w:t>
      </w:r>
    </w:p>
    <w:p>
      <w:pPr>
        <w:tabs>
          <w:tab w:val="right" w:pos="9026"/>
        </w:tabs>
        <w:spacing w:after="40" w:before="120"/>
      </w:pPr>
      <w:r>
        <w:rPr>
          <w:rFonts w:ascii="Georgia" w:cs="Georgia" w:eastAsia="Georgia" w:hAnsi="Georgia"/>
          <w:b/>
          <w:bCs/>
          <w:color w:val="1A1A1A"/>
          <w:sz w:val="21"/>
          <w:szCs w:val="21"/>
        </w:rPr>
        <w:t xml:space="preserve">Marketing and sales executive</w:t>
      </w:r>
      <w:r>
        <w:rPr>
          <w:rFonts w:ascii="Georgia" w:cs="Georgia" w:eastAsia="Georgia" w:hAnsi="Georgia"/>
          <w:color w:val="1A1A1A"/>
          <w:sz w:val="21"/>
          <w:szCs w:val="21"/>
        </w:rPr>
        <w:t xml:space="preserve">, Gulf Wings</w:t>
      </w:r>
      <w:r>
        <w:rPr>
          <w:rFonts w:ascii="Georgia" w:cs="Georgia" w:eastAsia="Georgia" w:hAnsi="Georgia"/>
          <w:color w:val="777777"/>
          <w:sz w:val="19"/>
          <w:szCs w:val="19"/>
        </w:rPr>
        <w:t xml:space="preserve">	2017–2018</w:t>
      </w:r>
    </w:p>
    <w:p>
      <w:pPr>
        <w:tabs>
          <w:tab w:val="right" w:pos="9026"/>
        </w:tabs>
        <w:spacing w:after="40" w:before="120"/>
      </w:pPr>
      <w:r>
        <w:rPr>
          <w:rFonts w:ascii="Georgia" w:cs="Georgia" w:eastAsia="Georgia" w:hAnsi="Georgia"/>
          <w:b/>
          <w:bCs/>
          <w:color w:val="1A1A1A"/>
          <w:sz w:val="21"/>
          <w:szCs w:val="21"/>
        </w:rPr>
        <w:t xml:space="preserve">Regulatory policy analyst</w:t>
      </w:r>
      <w:r>
        <w:rPr>
          <w:rFonts w:ascii="Georgia" w:cs="Georgia" w:eastAsia="Georgia" w:hAnsi="Georgia"/>
          <w:color w:val="1A1A1A"/>
          <w:sz w:val="21"/>
          <w:szCs w:val="21"/>
        </w:rPr>
        <w:t xml:space="preserve">, Health Canada</w:t>
      </w:r>
      <w:r>
        <w:rPr>
          <w:rFonts w:ascii="Georgia" w:cs="Georgia" w:eastAsia="Georgia" w:hAnsi="Georgia"/>
          <w:color w:val="777777"/>
          <w:sz w:val="19"/>
          <w:szCs w:val="19"/>
        </w:rPr>
        <w:t xml:space="preserve">	2012–2015</w:t>
      </w:r>
    </w:p>
    <w:p>
      <w:pPr>
        <w:tabs>
          <w:tab w:val="right" w:pos="9026"/>
        </w:tabs>
        <w:spacing w:after="40" w:before="120"/>
      </w:pPr>
      <w:r>
        <w:rPr>
          <w:rFonts w:ascii="Georgia" w:cs="Georgia" w:eastAsia="Georgia" w:hAnsi="Georgia"/>
          <w:b/>
          <w:bCs/>
          <w:color w:val="1A1A1A"/>
          <w:sz w:val="21"/>
          <w:szCs w:val="21"/>
        </w:rPr>
        <w:t xml:space="preserve">Information management analyst</w:t>
      </w:r>
      <w:r>
        <w:rPr>
          <w:rFonts w:ascii="Georgia" w:cs="Georgia" w:eastAsia="Georgia" w:hAnsi="Georgia"/>
          <w:color w:val="1A1A1A"/>
          <w:sz w:val="21"/>
          <w:szCs w:val="21"/>
        </w:rPr>
        <w:t xml:space="preserve">, Government of Canada</w:t>
      </w:r>
      <w:r>
        <w:rPr>
          <w:rFonts w:ascii="Georgia" w:cs="Georgia" w:eastAsia="Georgia" w:hAnsi="Georgia"/>
          <w:color w:val="777777"/>
          <w:sz w:val="19"/>
          <w:szCs w:val="19"/>
        </w:rPr>
        <w:t xml:space="preserve">	2011</w:t>
      </w:r>
    </w:p>
    <w:p>
      <w:pPr>
        <w:tabs>
          <w:tab w:val="right" w:pos="9026"/>
        </w:tabs>
        <w:spacing w:after="40" w:before="120"/>
      </w:pPr>
      <w:r>
        <w:rPr>
          <w:rFonts w:ascii="Georgia" w:cs="Georgia" w:eastAsia="Georgia" w:hAnsi="Georgia"/>
          <w:b/>
          <w:bCs/>
          <w:color w:val="1A1A1A"/>
          <w:sz w:val="21"/>
          <w:szCs w:val="21"/>
        </w:rPr>
        <w:t xml:space="preserve">Consultant</w:t>
      </w:r>
      <w:r>
        <w:rPr>
          <w:rFonts w:ascii="Georgia" w:cs="Georgia" w:eastAsia="Georgia" w:hAnsi="Georgia"/>
          <w:color w:val="1A1A1A"/>
          <w:sz w:val="21"/>
          <w:szCs w:val="21"/>
        </w:rPr>
        <w:t xml:space="preserve">, Tessera Executive Search / Signium International</w:t>
      </w:r>
      <w:r>
        <w:rPr>
          <w:rFonts w:ascii="Georgia" w:cs="Georgia" w:eastAsia="Georgia" w:hAnsi="Georgia"/>
          <w:color w:val="777777"/>
          <w:sz w:val="19"/>
          <w:szCs w:val="19"/>
        </w:rPr>
        <w:t xml:space="preserve">	2007–2009</w:t>
      </w:r>
    </w:p>
    <w:p>
      <w:pPr>
        <w:tabs>
          <w:tab w:val="right" w:pos="9026"/>
        </w:tabs>
        <w:spacing w:after="40" w:before="120"/>
      </w:pPr>
      <w:r>
        <w:rPr>
          <w:rFonts w:ascii="Georgia" w:cs="Georgia" w:eastAsia="Georgia" w:hAnsi="Georgia"/>
          <w:b/>
          <w:bCs/>
          <w:color w:val="1A1A1A"/>
          <w:sz w:val="21"/>
          <w:szCs w:val="21"/>
        </w:rPr>
        <w:t xml:space="preserve">Journalist</w:t>
      </w:r>
      <w:r>
        <w:rPr>
          <w:rFonts w:ascii="Georgia" w:cs="Georgia" w:eastAsia="Georgia" w:hAnsi="Georgia"/>
          <w:color w:val="1A1A1A"/>
          <w:sz w:val="21"/>
          <w:szCs w:val="21"/>
        </w:rPr>
        <w:t xml:space="preserve">, Dubai TV</w:t>
      </w:r>
      <w:r>
        <w:rPr>
          <w:rFonts w:ascii="Georgia" w:cs="Georgia" w:eastAsia="Georgia" w:hAnsi="Georgia"/>
          <w:color w:val="777777"/>
          <w:sz w:val="19"/>
          <w:szCs w:val="19"/>
        </w:rPr>
        <w:t xml:space="preserve">	2001–2002</w:t>
      </w:r>
    </w:p>
    <w:p>
      <w:pPr>
        <w:pBdr>
          <w:bottom w:val="single" w:color="C4C4C4" w:sz="4" w:space="2"/>
        </w:pBdr>
        <w:spacing w:after="100" w:before="260"/>
      </w:pPr>
      <w:r>
        <w:rPr>
          <w:rFonts w:ascii="Georgia" w:cs="Georgia" w:eastAsia="Georgia" w:hAnsi="Georgia"/>
          <w:b/>
          <w:bCs/>
          <w:color w:val="1A1A1A"/>
          <w:sz w:val="21"/>
          <w:szCs w:val="21"/>
        </w:rPr>
        <w:t xml:space="preserve">Education and qualifications</w:t>
      </w:r>
    </w:p>
    <w:p>
      <w:pPr>
        <w:spacing w:after="120" w:line="276"/>
      </w:pPr>
      <w:r>
        <w:rPr>
          <w:rFonts w:ascii="Georgia" w:cs="Georgia" w:eastAsia="Georgia" w:hAnsi="Georgia"/>
          <w:color w:val="1A1A1A"/>
          <w:sz w:val="21"/>
          <w:szCs w:val="21"/>
        </w:rPr>
        <w:t xml:space="preserve">MA Communication and Media Studies, University of Ottawa, 2015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Georgia" w:cs="Georgia" w:eastAsia="Georgia" w:hAnsi="Georgia"/>
        <w:color w:val="1A1A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2026-08-18T12:02:14.597Z</dcterms:created>
  <dcterms:modified xsi:type="dcterms:W3CDTF">2026-08-18T12:02:14.615Z</dcterms:modified>
</cp:coreProperties>
</file>

<file path=docProps/custom.xml><?xml version="1.0" encoding="utf-8"?>
<Properties xmlns="http://schemas.openxmlformats.org/officeDocument/2006/custom-properties" xmlns:vt="http://schemas.openxmlformats.org/officeDocument/2006/docPropsVTypes"/>
</file>