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Use Case Definition</w:t>
      </w:r>
    </w:p>
    <w:tbl>
      <w:tblPr>
        <w:tblStyle w:val="Table1"/>
        <w:tblW w:w="718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L2-1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William Laffey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September 21, 2021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Find the program and execute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 any button to close program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Use Case Definition Document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CIS 001/015/022/023/035 </w:t>
      <w:tab/>
      <w:tab/>
    </w:r>
    <w:r w:rsidDel="00000000" w:rsidR="00000000" w:rsidRPr="00000000">
      <w:rPr>
        <w:sz w:val="20"/>
        <w:szCs w:val="20"/>
        <w:rtl w:val="0"/>
      </w:rPr>
      <w:t xml:space="preserve">Tuesday, September 21,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