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 xml:space="preserve">Modern demand estimation is built on the Random Utility Model (RUM) (McFadden), in which choices arise from utility maximization. Under </w:t>
      </w:r>
      <w:r>
        <w:rPr/>
        <w:t>RUM</w:t>
      </w:r>
      <w:r>
        <w:rPr/>
        <w:t xml:space="preserve"> assumptions, </w:t>
      </w:r>
      <w:r>
        <w:rPr/>
        <w:t>we get</w:t>
      </w:r>
      <w:r>
        <w:rPr/>
        <w:t xml:space="preserve"> the multinomial logit model, which underpins many applied demand systems. The utility-based formulation implies well-defined </w:t>
      </w:r>
      <w:r>
        <w:rPr/>
        <w:t xml:space="preserve">notions of </w:t>
      </w:r>
      <w:r>
        <w:rPr/>
        <w:t xml:space="preserve">elasticities </w:t>
      </w:r>
      <w:r>
        <w:rPr/>
        <w:t>and</w:t>
      </w:r>
      <w:r>
        <w:rPr/>
        <w:t xml:space="preserve"> substitution patterns</w:t>
      </w:r>
      <w:r>
        <w:rPr/>
        <w:t xml:space="preserve"> </w:t>
      </w:r>
      <w:r>
        <w:rPr/>
        <w:t>making the framework suitable for counterfactual analysis (McFadden; Small and Rosen; Train). For pricing and promotion design, this structure directly links incentives to demand responses in a way that remains interpretable under policy changes.</w:t>
      </w:r>
    </w:p>
    <w:p>
      <w:pPr>
        <w:pStyle w:val="BodyText"/>
        <w:rPr/>
      </w:pPr>
      <w:r>
        <w:rPr/>
        <w:t xml:space="preserve">Empirical demand data violates the restrictive substitution patterns implied by simple logit models, most notably independence of irrelevant alternatives. Such violations are well documented in settings involving differentiated products, discounts, and bundles (McFadden; Berry), motivating </w:t>
      </w:r>
      <w:r>
        <w:rPr/>
        <w:t xml:space="preserve">models </w:t>
      </w:r>
      <w:r>
        <w:rPr/>
        <w:t>such as Zhang25</w:t>
      </w:r>
      <w:r>
        <w:rPr/>
        <w:t xml:space="preserve"> that allow demand to depend on the choice set.</w:t>
      </w:r>
    </w:p>
    <w:p>
      <w:pPr>
        <w:pStyle w:val="BodyText"/>
        <w:rPr/>
      </w:pPr>
      <w:r>
        <w:rPr/>
        <w:t>Flexible demand models can fit historical choices well while misattributing transient market effects to persistent preferences. As a result, they may deliver unstable elasticities and unreliable profit predictions when used for counterfactual pricing or promotion analysis (Manski; Train).</w:t>
      </w:r>
    </w:p>
    <w:p>
      <w:pPr>
        <w:pStyle w:val="BodyText"/>
        <w:rPr/>
      </w:pPr>
      <w:r>
        <w:rPr/>
        <w:t>Recent machine learning approaches perform well at capturing nonlinear and high-dimensional feature effects in consumer utility. Shared utility parameterizations allow these learned relationships to be applied to new products and offers without retraining. Set-based and permutation-equivariant architectures, as formalized in the Deep Sets literature (Zaheer et al.), ensure that utilities depend on economically meaningful attributes rather than item indices. This property allows the same model to be evaluated on arbitrary counterfactual offer sets, supporting menu and incentive optimisation without retraining</w:t>
      </w:r>
    </w:p>
    <w:p>
      <w:pPr>
        <w:pStyle w:val="BodyText"/>
        <w:rPr/>
      </w:pPr>
      <w:r>
        <w:rPr/>
        <w:t xml:space="preserve">In environments such as retail banking, offers and merchant configurations change frequently. </w:t>
      </w:r>
      <w:r>
        <w:rPr/>
        <w:t>F</w:t>
      </w:r>
      <w:r>
        <w:rPr/>
        <w:t>eature-based shared utilities support scalable evaluation of new incentives and menus. Increased flexibility heightens the risk of confounding transient market effects with persistent preferences, making explicit modeling of unobserved demand shocks necessary.</w:t>
      </w:r>
    </w:p>
    <w:p>
      <w:pPr>
        <w:pStyle w:val="BodyText"/>
        <w:rPr/>
      </w:pPr>
      <w:r>
        <w:rPr/>
        <w:t>The multinomial logit model provides a tractable baseline but imposes restrictive substitution patterns. Random-coefficients and mixed logit models, developed in the differentiated-products literature (Berry, Levinsohn, and Pakes; Nevo), introduce preference heterogeneity and improve realism. With aggregate data, however, heterogeneity is not separately identified from unobserved product-level demand shocks without additional structure, sharpening the need for identification strategies in counterfactual pricing and promotion analysis.</w:t>
      </w:r>
    </w:p>
    <w:p>
      <w:pPr>
        <w:pStyle w:val="BodyText"/>
        <w:rPr/>
      </w:pPr>
      <w:r>
        <w:rPr/>
        <w:t>In deployed demand models, unobserved demand shocks capture short-run merchant and market dynamics not encoded in observed features, such as off-platform promotions or local conditions. Modeling these shocks allows a stable shared-utility model to remain calibrated as conditions evolve, without frequent retraining or conflating transient effects with long-run preferences.</w:t>
      </w:r>
    </w:p>
    <w:p>
      <w:pPr>
        <w:pStyle w:val="BodyText"/>
        <w:rPr/>
      </w:pPr>
      <w:r>
        <w:rPr/>
        <w:t>Instrumental variables and inversion-based demand estimation, as in the BLP framework, are the standard econometric response to endogeneity. While powerful, these approaches rely on strong exclusion restrictions and suitable instruments, which are often difficult to justify and operationalize. They also integrate poorly with flexible, high-dimensional utility parameterizations.</w:t>
      </w:r>
    </w:p>
    <w:p>
      <w:pPr>
        <w:pStyle w:val="BodyText"/>
        <w:rPr/>
      </w:pPr>
      <w:r>
        <w:rPr/>
        <w:t xml:space="preserve">An alternative to relying exclusively on external instruments is to impose structure directly on unobserved demand components. Fixed effects absorb persistent shocks, factor models impose low-rank dependence, and sparsity or shrinkage assumptions restrict the effective dimensionality of latent shocks. </w:t>
      </w:r>
      <w:r>
        <w:rPr/>
        <w:t xml:space="preserve">For example, a </w:t>
      </w:r>
      <w:r>
        <w:rPr/>
        <w:t xml:space="preserve">variable-selection and Bayesian shrinkage approach </w:t>
      </w:r>
      <w:r>
        <w:rPr/>
        <w:t xml:space="preserve">is used by </w:t>
      </w:r>
      <w:r>
        <w:rPr/>
        <w:t>Mitchell and Beauchamp. Each approach introduces strong assumptions, and selecting an appropriate structure remains a central challenge for credible counterfactual inference in flexible demand models.</w:t>
      </w:r>
    </w:p>
    <w:p>
      <w:pPr>
        <w:pStyle w:val="BodyText"/>
        <w:rPr/>
      </w:pPr>
      <w:r>
        <w:rPr/>
        <w:t>Purely predictive machine-learning models trained under historical policies do not address endogeneity and therefore perform poorly under intervention. Utility-based choice models combined with explicit identification strategies directly target the objects relevant for banking decisions—elasticities, substitution patterns, and profit under counterfactual pricing and promotion policies—while machine learning provides flexible yet disciplined utility parameterization.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en-GB"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lockQuotationuser">
    <w:name w:val="Block Quotation (user)"/>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265</TotalTime>
  <Application>LibreOffice/25.8.3.2$Linux_X86_64 LibreOffice_project/8ca8d55c161d602844f5428fa4b58097424e324e</Application>
  <AppVersion>15.0000</AppVersion>
  <Pages>2</Pages>
  <Words>577</Words>
  <Characters>3979</Characters>
  <CharactersWithSpaces>4544</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2026-01-13T15:12:53Z</dcterms:created>
  <dc:creator/>
  <dc:description/>
  <dc:language>en-GB</dc:language>
  <cp:lastModifiedBy/>
  <dcterms:modified xsi:type="dcterms:W3CDTF">2026-01-15T14:25:50Z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