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Introduction</w:t>
      </w:r>
    </w:p>
    <w:p>
      <w:pPr>
        <w:pStyle w:val="Normal"/>
        <w:spacing w:lineRule="auto" w:line="259"/>
        <w:rPr/>
      </w:pPr>
      <w:r>
        <w:rPr/>
        <w:t>This report provides a critical examination of the Zhang25 paper. It contains a brief literature review, a review of the paper’s model, details of our implementation in both featureless and feature-based settings, and evaluation its empirical performance on synthetic and real-world data. We interrogate the paper’s claims around interpretability, tractability, and layer-wise decomposition of interaction effects, highlighting where theoretical motivations diverge from practical outcomes. Alternative modelling approaches are discussed, including kernel-based methods and a newly proposed stacked architecture designed to preserve interpretability. We also assess the suitability of these models for modelling credit cards offers.</w:t>
      </w:r>
    </w:p>
    <w:p>
      <w:pPr>
        <w:pStyle w:val="Normal"/>
        <w:spacing w:lineRule="auto" w:line="259"/>
        <w:rPr/>
      </w:pPr>
      <w:r>
        <w:rPr/>
      </w:r>
    </w:p>
    <w:p>
      <w:pPr>
        <w:pStyle w:val="Normal"/>
        <w:spacing w:lineRule="auto" w:line="259"/>
        <w:rPr>
          <w:b/>
          <w:bCs/>
        </w:rPr>
      </w:pPr>
      <w:r>
        <w:rPr>
          <w:b/>
          <w:bCs/>
        </w:rPr>
        <w:t>Literature review</w:t>
      </w:r>
    </w:p>
    <w:p>
      <w:pPr>
        <w:pStyle w:val="Normal"/>
        <w:spacing w:lineRule="auto" w:line="259"/>
        <w:rPr/>
      </w:pPr>
      <w:r>
        <w:rPr/>
        <w:t>Classical rational choice theory models individuals as perfectly rational decision-makers. Preferences are assumed to be consistent, complete, and transitive, and choices are independent of context. A key implication is the independence of irrelevant alternatives (IIA): for any two items i and j, the ratio of choice probabilities P(i)/P(j) is invariant to the presence of other alternatives. Relative preferences don’t change in the choice space.</w:t>
      </w:r>
    </w:p>
    <w:p>
      <w:pPr>
        <w:pStyle w:val="Normal"/>
        <w:spacing w:lineRule="auto" w:line="259"/>
        <w:rPr/>
      </w:pPr>
      <w:r>
        <w:rPr/>
        <w:t xml:space="preserve">Behavioural economics challenges these assumptions by considering individuals’ behaviour with an element of irrationality. Of particular relevance, the Halo effect recognises that purchase choices can be influenced by the context and the other items on offer in a given menu of items. The main documented context effects </w:t>
      </w:r>
      <w:sdt>
        <w:sdtPr>
          <w:citation/>
        </w:sdtPr>
        <w:sdtContent>
          <w:r>
            <w:rPr/>
            <w:fldChar w:fldCharType="begin"/>
          </w:r>
          <w:r>
            <w:rPr/>
            <w:instrText xml:space="preserve"> CITATION Tho20 \l 2057 </w:instrText>
          </w:r>
          <w:r>
            <w:rPr/>
            <w:fldChar w:fldCharType="separate"/>
          </w:r>
          <w:r>
            <w:rPr/>
            <w:t>(Thorndike, 1920)</w:t>
          </w:r>
          <w:r>
            <w:rPr/>
            <w:fldChar w:fldCharType="end"/>
          </w:r>
        </w:sdtContent>
      </w:sdt>
      <w:r>
        <w:rPr/>
        <w:t xml:space="preserve"> </w:t>
      </w:r>
      <w:r>
        <w:rPr/>
        <w:t>are:</w:t>
      </w:r>
    </w:p>
    <w:p>
      <w:pPr>
        <w:pStyle w:val="ListParagraph"/>
        <w:numPr>
          <w:ilvl w:val="0"/>
          <w:numId w:val="3"/>
        </w:numPr>
        <w:spacing w:lineRule="auto" w:line="259"/>
        <w:rPr/>
      </w:pPr>
      <w:r>
        <w:rPr/>
        <w:t>Decoy effect - adding an inferior option to make other items look better</w:t>
      </w:r>
    </w:p>
    <w:p>
      <w:pPr>
        <w:pStyle w:val="ListParagraph"/>
        <w:numPr>
          <w:ilvl w:val="0"/>
          <w:numId w:val="3"/>
        </w:numPr>
        <w:spacing w:lineRule="auto" w:line="259"/>
        <w:rPr/>
      </w:pPr>
      <w:r>
        <w:rPr/>
        <w:t>Similarity effect - similar items reduce the likelihood of each item being selected</w:t>
      </w:r>
    </w:p>
    <w:p>
      <w:pPr>
        <w:pStyle w:val="ListParagraph"/>
        <w:numPr>
          <w:ilvl w:val="0"/>
          <w:numId w:val="3"/>
        </w:numPr>
        <w:spacing w:lineRule="auto" w:line="259"/>
        <w:rPr/>
      </w:pPr>
      <w:r>
        <w:rPr/>
        <w:t>Compromise effect - extreme options are presented to make the central option more attractive</w:t>
      </w:r>
    </w:p>
    <w:p>
      <w:pPr>
        <w:pStyle w:val="Normal"/>
        <w:spacing w:lineRule="auto" w:line="259"/>
        <w:rPr/>
      </w:pPr>
      <w:r>
        <w:rPr/>
        <w:t>Choice modelling provides a mathematical framework for explaining observed decisions. A choice function maps a choice set to a probability distribution over alternatives</w:t>
      </w:r>
      <w:sdt>
        <w:sdtPr>
          <w:citation/>
        </w:sdtPr>
        <w:sdtContent>
          <w:r>
            <w:rPr/>
            <w:fldChar w:fldCharType="begin"/>
          </w:r>
          <w:r>
            <w:rPr/>
            <w:instrText xml:space="preserve"> CITATION McF01 \l 2057 </w:instrText>
          </w:r>
          <w:r>
            <w:rPr/>
            <w:fldChar w:fldCharType="separate"/>
          </w:r>
          <w:r>
            <w:rPr/>
            <w:t xml:space="preserve"> (McFadden D. , 2001)</w:t>
          </w:r>
          <w:r>
            <w:rPr/>
            <w:fldChar w:fldCharType="end"/>
          </w:r>
        </w:sdtContent>
      </w:sdt>
      <w:r>
        <w:rPr/>
        <w:t>. The standard framework is characterised by the following modelling choices:</w:t>
      </w:r>
    </w:p>
    <w:p>
      <w:pPr>
        <w:pStyle w:val="ListParagraph"/>
        <w:numPr>
          <w:ilvl w:val="0"/>
          <w:numId w:val="6"/>
        </w:numPr>
        <w:spacing w:lineRule="auto" w:line="259"/>
        <w:rPr/>
      </w:pPr>
      <w:r>
        <w:rPr/>
        <w:t>Discrete choice modelling, which focuses on decisions among finite and discrete sets of alternatives.</w:t>
      </w:r>
    </w:p>
    <w:p>
      <w:pPr>
        <w:pStyle w:val="ListParagraph"/>
        <w:numPr>
          <w:ilvl w:val="0"/>
          <w:numId w:val="6"/>
        </w:numPr>
        <w:spacing w:lineRule="auto" w:line="259"/>
        <w:rPr/>
      </w:pPr>
      <w:r>
        <w:rPr/>
        <w:t>Feature-based models, where each alternative is described by observable attributes such as price, brand, or size.</w:t>
      </w:r>
    </w:p>
    <w:p>
      <w:pPr>
        <w:pStyle w:val="ListParagraph"/>
        <w:numPr>
          <w:ilvl w:val="0"/>
          <w:numId w:val="6"/>
        </w:numPr>
        <w:spacing w:lineRule="auto" w:line="259"/>
        <w:rPr/>
      </w:pPr>
      <w:r>
        <w:rPr/>
        <w:t>Featureless models, where alternatives are represented only by an identifier. One-hot encoding is commonly used to represent categorical alternatives as binary indicator vectors.</w:t>
      </w:r>
    </w:p>
    <w:p>
      <w:pPr>
        <w:pStyle w:val="Normal"/>
        <w:spacing w:lineRule="auto" w:line="259"/>
        <w:rPr/>
      </w:pPr>
      <w:r>
        <w:rPr/>
        <w:t>Other frameworks shift attention away from modelling item value over to modelling the menu:</w:t>
      </w:r>
    </w:p>
    <w:p>
      <w:pPr>
        <w:pStyle w:val="ListParagraph"/>
        <w:numPr>
          <w:ilvl w:val="0"/>
          <w:numId w:val="7"/>
        </w:numPr>
        <w:spacing w:lineRule="auto" w:line="259"/>
        <w:rPr/>
      </w:pPr>
      <w:r>
        <w:rPr/>
        <w:t>Menu-dependent consideration models, where the probability that an item is considered and selected depends on the composition of the menu.</w:t>
      </w:r>
    </w:p>
    <w:p>
      <w:pPr>
        <w:pStyle w:val="ListParagraph"/>
        <w:numPr>
          <w:ilvl w:val="0"/>
          <w:numId w:val="7"/>
        </w:numPr>
        <w:spacing w:lineRule="auto" w:line="259"/>
        <w:rPr/>
      </w:pPr>
      <w:r>
        <w:rPr/>
        <w:t>Choice-set optimisation, where the decision problem is to design the menu itself in order to achieve a desired outcome, rather than to model item-level choice conditional on a given set.</w:t>
      </w:r>
    </w:p>
    <w:p>
      <w:pPr>
        <w:pStyle w:val="Normal"/>
        <w:spacing w:lineRule="auto" w:line="259"/>
        <w:rPr/>
      </w:pPr>
      <w:r>
        <w:rPr/>
        <w:t xml:space="preserve">Microeconomics has long used utility as a concept representing the desirability of a purchase. This idea translates concretely into probabilistic choice models that estimate a real value for utilities from observed choices. In logit-based models, utilities correspond to logit scores whose differences get mapped to probabilities with the softmax function. We can therefore model choice as the selection of the item with highest utility. </w:t>
      </w:r>
      <w:sdt>
        <w:sdtPr>
          <w:citation/>
        </w:sdtPr>
        <w:sdtContent>
          <w:r>
            <w:rPr/>
            <w:fldChar w:fldCharType="begin"/>
          </w:r>
          <w:r>
            <w:rPr/>
            <w:instrText xml:space="preserve"> CITATION Tra09 \l 2057 </w:instrText>
          </w:r>
          <w:r>
            <w:rPr/>
            <w:fldChar w:fldCharType="separate"/>
          </w:r>
          <w:r>
            <w:rPr/>
            <w:t>(Train, 2009)</w:t>
          </w:r>
          <w:r>
            <w:rPr/>
            <w:fldChar w:fldCharType="end"/>
          </w:r>
        </w:sdtContent>
      </w:sdt>
    </w:p>
    <w:p>
      <w:pPr>
        <w:pStyle w:val="Normal"/>
        <w:spacing w:lineRule="auto" w:line="259"/>
        <w:rPr/>
      </w:pPr>
      <w:r>
        <w:rPr/>
        <w:t xml:space="preserve">The standard economic workhorse is the random utility model (RUM), which assumes that utilities take the form </w:t>
      </w:r>
      <w:r>
        <w:rPr/>
      </w:r>
      <m:oMath xmlns:m="http://schemas.openxmlformats.org/officeDocument/2006/math">
        <m:r>
          <m:t xml:space="preserve">Uj</m:t>
        </m:r>
        <m:r>
          <m:t xml:space="preserve">​</m:t>
        </m:r>
        <m:r>
          <m:rPr>
            <m:lit/>
            <m:nor/>
          </m:rPr>
          <m:t xml:space="preserve">=</m:t>
        </m:r>
        <m:r>
          <m:t xml:space="preserve">Vj</m:t>
        </m:r>
        <m:r>
          <m:t xml:space="preserve">​</m:t>
        </m:r>
        <m:r>
          <m:rPr>
            <m:lit/>
            <m:nor/>
          </m:rPr>
          <m:t xml:space="preserve">+</m:t>
        </m:r>
        <m:r>
          <m:t xml:space="preserve">εj</m:t>
        </m:r>
        <m:r>
          <m:rPr>
            <m:lit/>
            <m:nor/>
          </m:rPr>
          <m:t xml:space="preserve"> </m:t>
        </m:r>
      </m:oMath>
      <w:r>
        <w:rPr/>
        <w:t xml:space="preserve">where </w:t>
      </w:r>
      <w:r>
        <w:rPr/>
      </w:r>
      <m:oMath xmlns:m="http://schemas.openxmlformats.org/officeDocument/2006/math">
        <m:r>
          <m:t xml:space="preserve">Vj</m:t>
        </m:r>
        <m:r>
          <m:t xml:space="preserve">​</m:t>
        </m:r>
        <m:r>
          <m:rPr>
            <m:lit/>
            <m:nor/>
          </m:rPr>
          <m:t xml:space="preserve"> </m:t>
        </m:r>
      </m:oMath>
      <w:r>
        <w:rPr/>
        <w:t xml:space="preserve">is the systematic component of utility and </w:t>
      </w:r>
      <w:r>
        <w:rPr/>
      </w:r>
      <m:oMath xmlns:m="http://schemas.openxmlformats.org/officeDocument/2006/math">
        <m:r>
          <m:t xml:space="preserve">εj</m:t>
        </m:r>
      </m:oMath>
      <w:r>
        <w:rPr/>
        <w:t>​ is a random error term. The implied choice probabilities depend on the distributional assumptions placed on these error terms.</w:t>
      </w:r>
    </w:p>
    <w:p>
      <w:pPr>
        <w:pStyle w:val="Normal"/>
        <w:spacing w:lineRule="auto" w:line="259"/>
        <w:rPr/>
      </w:pPr>
      <w:r>
        <w:rPr/>
        <w:t xml:space="preserve">The multinomial logit (MNL) model uses the RUM framework to yield closed-form choice probabilities assuming strong independence properties. Notably that errors follow a Gumbel distribution. </w:t>
      </w:r>
      <w:sdt>
        <w:sdtPr>
          <w:citation/>
        </w:sdtPr>
        <w:sdtContent>
          <w:r>
            <w:rPr/>
            <w:fldChar w:fldCharType="begin"/>
          </w:r>
          <w:r>
            <w:rPr/>
            <w:instrText xml:space="preserve"> CITATION McF00 \l 2057 </w:instrText>
          </w:r>
          <w:r>
            <w:rPr/>
            <w:fldChar w:fldCharType="separate"/>
          </w:r>
          <w:r>
            <w:rPr/>
            <w:t>(McFadden D. &amp;., 2000)</w:t>
          </w:r>
          <w:r>
            <w:rPr/>
            <w:fldChar w:fldCharType="end"/>
          </w:r>
        </w:sdtContent>
      </w:sdt>
    </w:p>
    <w:p>
      <w:pPr>
        <w:pStyle w:val="Normal"/>
        <w:spacing w:lineRule="auto" w:line="259"/>
        <w:rPr/>
      </w:pPr>
      <w:r>
        <w:rPr/>
        <w:t xml:space="preserve">The universal (or “mother”) logit model is a theoretical generalisation of MNL that relaxes the assumption that the error terms are independent. Instead, it allows correlated or structured errors, with the dependence structure encoding how context influences choice behaviour. In this formulation, context effects are captured implicitly through the joint distribution of the error terms. </w:t>
      </w:r>
      <w:sdt>
        <w:sdtPr>
          <w:citation/>
        </w:sdtPr>
        <w:sdtContent>
          <w:r>
            <w:rPr/>
            <w:fldChar w:fldCharType="begin"/>
          </w:r>
          <w:r>
            <w:rPr/>
            <w:instrText xml:space="preserve"> CITATION Bat85 \l 2057 </w:instrText>
          </w:r>
          <w:r>
            <w:rPr/>
            <w:fldChar w:fldCharType="separate"/>
          </w:r>
          <w:r>
            <w:rPr/>
            <w:t>(Batsell, 1985)</w:t>
          </w:r>
          <w:r>
            <w:rPr/>
            <w:fldChar w:fldCharType="end"/>
          </w:r>
        </w:sdtContent>
      </w:sdt>
    </w:p>
    <w:p>
      <w:pPr>
        <w:pStyle w:val="Normal"/>
        <w:spacing w:lineRule="auto" w:line="259"/>
        <w:rPr/>
      </w:pPr>
      <w:r>
        <w:rPr/>
        <w:t>Contextual multinomial logit (CMNL) models make this dependence explicit by specifying total utility as a function of intrinsic utility, a context-dependent function of other items or their features in the choice set, and a random error term. This is the theoretical foundation and justification of our Deep Halo model.</w:t>
      </w:r>
    </w:p>
    <w:p>
      <w:pPr>
        <w:pStyle w:val="Normal"/>
        <w:spacing w:lineRule="auto" w:line="259"/>
        <w:rPr/>
      </w:pPr>
      <w:r>
        <w:rPr/>
        <w:t>Several models have been proposed to capture complex choice behaviour, most notably using neural network architectures that relax parametric assumptions and scale to large choice sets. These approaches differ primarily in how they represent utilities and model interactions among alternatives:</w:t>
      </w:r>
    </w:p>
    <w:p>
      <w:pPr>
        <w:pStyle w:val="ListParagraph"/>
        <w:numPr>
          <w:ilvl w:val="0"/>
          <w:numId w:val="8"/>
        </w:numPr>
        <w:spacing w:lineRule="auto" w:line="259"/>
        <w:rPr/>
      </w:pPr>
      <w:r>
        <w:rPr/>
        <w:t xml:space="preserve">Deep Sets, which provide permutation-invariant neural architectures suited to unordered choice sets. </w:t>
      </w:r>
      <w:sdt>
        <w:sdtPr>
          <w:citation/>
        </w:sdtPr>
        <w:sdtContent>
          <w:r>
            <w:rPr/>
            <w:fldChar w:fldCharType="begin"/>
          </w:r>
          <w:r>
            <w:rPr/>
            <w:instrText xml:space="preserve"> CITATION Zah17 \l 2057 </w:instrText>
          </w:r>
          <w:r>
            <w:rPr/>
            <w:fldChar w:fldCharType="separate"/>
          </w:r>
          <w:r>
            <w:rPr/>
            <w:t>(Zaheer, 2017)</w:t>
          </w:r>
          <w:r>
            <w:rPr/>
            <w:fldChar w:fldCharType="end"/>
          </w:r>
        </w:sdtContent>
      </w:sdt>
    </w:p>
    <w:p>
      <w:pPr>
        <w:pStyle w:val="ListParagraph"/>
        <w:numPr>
          <w:ilvl w:val="0"/>
          <w:numId w:val="8"/>
        </w:numPr>
        <w:spacing w:lineRule="auto" w:line="259"/>
        <w:rPr/>
      </w:pPr>
      <w:r>
        <w:rPr/>
        <w:t>RUM-net, which uses deep learning to parameterise random utility models.</w:t>
      </w:r>
    </w:p>
    <w:p>
      <w:pPr>
        <w:pStyle w:val="ListParagraph"/>
        <w:numPr>
          <w:ilvl w:val="0"/>
          <w:numId w:val="8"/>
        </w:numPr>
        <w:spacing w:lineRule="auto" w:line="259"/>
        <w:rPr/>
      </w:pPr>
      <w:r>
        <w:rPr/>
        <w:t>Transformer-based models, which use attention mechanisms to model interactions among alternatives.</w:t>
      </w:r>
    </w:p>
    <w:p>
      <w:pPr>
        <w:pStyle w:val="ListParagraph"/>
        <w:numPr>
          <w:ilvl w:val="0"/>
          <w:numId w:val="8"/>
        </w:numPr>
        <w:spacing w:lineRule="auto" w:line="259"/>
        <w:rPr/>
      </w:pPr>
      <w:r>
        <w:rPr/>
        <w:t>TasteNet, a RUM-based model that represents each individual decision-maker as a distinct input node to capture taste heterogeneity.</w:t>
      </w:r>
    </w:p>
    <w:p>
      <w:pPr>
        <w:pStyle w:val="ListParagraph"/>
        <w:numPr>
          <w:ilvl w:val="0"/>
          <w:numId w:val="8"/>
        </w:numPr>
        <w:spacing w:lineRule="auto" w:line="259"/>
        <w:rPr/>
      </w:pPr>
      <w:r>
        <w:rPr/>
        <w:t>Graph-based choice models, which represent alternatives and their interactions using graph structures.</w:t>
      </w:r>
    </w:p>
    <w:p>
      <w:pPr>
        <w:pStyle w:val="ListParagraph"/>
        <w:numPr>
          <w:ilvl w:val="0"/>
          <w:numId w:val="8"/>
        </w:numPr>
        <w:spacing w:lineRule="auto" w:line="259"/>
        <w:rPr/>
      </w:pPr>
      <w:r>
        <w:rPr/>
        <w:t>Deep Latent Class Logit (DLCL), which applies deep learning to infer latent choice classes and corresponding choice probabilities.</w:t>
      </w:r>
    </w:p>
    <w:p>
      <w:pPr>
        <w:pStyle w:val="ListParagraph"/>
        <w:numPr>
          <w:ilvl w:val="0"/>
          <w:numId w:val="8"/>
        </w:numPr>
        <w:spacing w:lineRule="auto" w:line="259"/>
        <w:rPr/>
      </w:pPr>
      <w:r>
        <w:rPr/>
        <w:t>FateNet, which aggregates item features across the choice set before applying a neural network to learn utilities.</w:t>
      </w:r>
    </w:p>
    <w:p>
      <w:pPr>
        <w:pStyle w:val="ListParagraph"/>
        <w:numPr>
          <w:ilvl w:val="0"/>
          <w:numId w:val="8"/>
        </w:numPr>
        <w:spacing w:lineRule="auto" w:line="259"/>
        <w:rPr/>
      </w:pPr>
      <w:r>
        <w:rPr/>
        <w:t xml:space="preserve">TCNet (Transformer Choice Network), which uses transformer attention layers to update item representations based on context. </w:t>
      </w:r>
    </w:p>
    <w:p>
      <w:pPr>
        <w:pStyle w:val="Normal"/>
        <w:spacing w:lineRule="auto" w:line="259"/>
        <w:rPr/>
      </w:pPr>
      <w:r>
        <w:rPr/>
        <w:t xml:space="preserve">ResLogit combines the multinomial logit framework with residual-style nonlinear corrections. Residual network architectures are used outside of choice modelling </w:t>
      </w:r>
      <w:sdt>
        <w:sdtPr>
          <w:citation/>
        </w:sdtPr>
        <w:sdtContent>
          <w:r>
            <w:rPr/>
            <w:fldChar w:fldCharType="begin"/>
          </w:r>
          <w:r>
            <w:rPr/>
            <w:instrText xml:space="preserve"> CITATION HeK16 \l 2057 </w:instrText>
          </w:r>
          <w:r>
            <w:rPr/>
            <w:fldChar w:fldCharType="separate"/>
          </w:r>
          <w:r>
            <w:rPr/>
            <w:t>(He, 2016)</w:t>
          </w:r>
          <w:r>
            <w:rPr/>
            <w:fldChar w:fldCharType="end"/>
          </w:r>
        </w:sdtContent>
      </w:sdt>
      <w:r>
        <w:rPr/>
        <w:t xml:space="preserve"> and </w:t>
      </w:r>
      <w:r>
        <w:rPr/>
        <w:t xml:space="preserve">update representations at each layer in the form </w:t>
      </w:r>
      <w:r>
        <w:rPr/>
      </w:r>
      <m:oMath xmlns:m="http://schemas.openxmlformats.org/officeDocument/2006/math">
        <m:r>
          <m:t xml:space="preserve">y</m:t>
        </m:r>
        <m:r>
          <m:rPr>
            <m:lit/>
            <m:nor/>
          </m:rPr>
          <m:t xml:space="preserve">=</m:t>
        </m:r>
        <m:r>
          <m:t xml:space="preserve">x</m:t>
        </m:r>
        <m:r>
          <m:rPr>
            <m:lit/>
            <m:nor/>
          </m:rPr>
          <m:t xml:space="preserve">+</m:t>
        </m:r>
        <m:r>
          <m:t xml:space="preserve">F</m:t>
        </m:r>
        <m:r>
          <m:t xml:space="preserve">(</m:t>
        </m:r>
        <m:r>
          <m:t xml:space="preserve">x</m:t>
        </m:r>
        <m:r>
          <m:t xml:space="preserve">)</m:t>
        </m:r>
      </m:oMath>
      <w:r>
        <w:rPr/>
        <w:t xml:space="preserve">. This improves optimisation by preserving gradient flow as depth increases. In choice modelling, residual architectures have been introduced more as means to improve existent frameworks than a tool with intrinsic justification. </w:t>
      </w:r>
      <w:sdt>
        <w:sdtPr>
          <w:citation/>
        </w:sdtPr>
        <w:sdtContent>
          <w:r>
            <w:rPr/>
            <w:fldChar w:fldCharType="begin"/>
          </w:r>
          <w:r>
            <w:rPr/>
            <w:instrText xml:space="preserve"> CITATION Sif20 \l 2057 </w:instrText>
          </w:r>
          <w:r>
            <w:rPr/>
            <w:fldChar w:fldCharType="separate"/>
          </w:r>
          <w:r>
            <w:rPr/>
            <w:t>(Sifringer, 2020)</w:t>
          </w:r>
          <w:r>
            <w:rPr/>
            <w:fldChar w:fldCharType="end"/>
          </w:r>
        </w:sdtContent>
      </w:sdt>
    </w:p>
    <w:p>
      <w:pPr>
        <w:pStyle w:val="Normal"/>
        <w:spacing w:lineRule="auto" w:line="259"/>
        <w:rPr/>
      </w:pPr>
      <w:r>
        <w:rPr/>
        <w:t>Note that few neural network-based choice models claim interpretability. This contrasts with the claims from our chosen paper.</w:t>
      </w:r>
    </w:p>
    <w:p>
      <w:pPr>
        <w:pStyle w:val="Normal"/>
        <w:spacing w:lineRule="auto" w:line="259"/>
        <w:rPr/>
      </w:pPr>
      <w:r>
        <w:rPr/>
      </w:r>
    </w:p>
    <w:p>
      <w:pPr>
        <w:pStyle w:val="Normal"/>
        <w:spacing w:lineRule="auto" w:line="259"/>
        <w:rPr>
          <w:b/>
          <w:bCs/>
        </w:rPr>
      </w:pPr>
      <w:r>
        <w:rPr>
          <w:b/>
          <w:bCs/>
        </w:rPr>
        <w:t>Proposed approach</w:t>
      </w:r>
    </w:p>
    <w:p>
      <w:pPr>
        <w:pStyle w:val="Normal"/>
        <w:spacing w:lineRule="auto" w:line="259"/>
        <w:rPr/>
      </w:pPr>
      <w:r>
        <w:rPr/>
        <w:t>The premise of this work is to implement the Zhang25 model. Zhuhan’s GitHub page provides a basic implementation of the featureless model in PyTorch.</w:t>
      </w:r>
    </w:p>
    <w:p>
      <w:pPr>
        <w:pStyle w:val="Normal"/>
        <w:spacing w:lineRule="auto" w:line="259"/>
        <w:rPr/>
      </w:pPr>
      <w:r>
        <w:rPr/>
        <w:t>https://github.com/Asimov-Chuang</w:t>
      </w:r>
    </w:p>
    <w:p>
      <w:pPr>
        <w:pStyle w:val="Normal"/>
        <w:spacing w:lineRule="auto" w:line="259"/>
        <w:rPr/>
      </w:pPr>
      <w:r>
        <w:rPr/>
        <w:t>This project implements both the featureless and feature-based models described in the paper. Throughout, care was taken to remain as close as possible to the paper’s architectural design and modelling assumptions.</w:t>
      </w:r>
    </w:p>
    <w:p>
      <w:pPr>
        <w:pStyle w:val="Normal"/>
        <w:spacing w:lineRule="auto" w:line="259"/>
        <w:rPr/>
      </w:pPr>
      <w:r>
        <w:rPr/>
        <w:t>In addition to the two models proposed in the paper, an alternative model was implemented with a stronger emphasis on interpretability. This model is motivated by the same underlying decomposition of context effects and will be described in more detail below.</w:t>
      </w:r>
    </w:p>
    <w:p>
      <w:pPr>
        <w:pStyle w:val="Normal"/>
        <w:spacing w:lineRule="auto" w:line="259"/>
        <w:rPr/>
      </w:pPr>
      <w:r>
        <w:rPr/>
        <w:t xml:space="preserve">To properly understand the model and to gain a strong understanding of the model and TensorFlow, a complete data loading, training, and evaluation pipeline was implemented from scratch. Although this full stack was not explicitly required, it was developed to ensure that each component of the modelling process was well understood and that the models could be trained and evaluated in a controlled and reproducible way. </w:t>
      </w:r>
    </w:p>
    <w:p>
      <w:pPr>
        <w:pStyle w:val="Normal"/>
        <w:spacing w:lineRule="auto" w:line="259"/>
        <w:rPr/>
      </w:pPr>
      <w:r>
        <w:rPr/>
        <w:t>Finally, the two models proposed in the paper were integrated into the choice-learn framework and evaluated on empirical Expedia data alongside several established benchmark models. This allowed for direct comparison with existing approaches and provided additional validation of the implementations.</w:t>
      </w:r>
    </w:p>
    <w:p>
      <w:pPr>
        <w:pStyle w:val="Normal"/>
        <w:spacing w:lineRule="auto" w:line="259"/>
        <w:rPr/>
      </w:pPr>
      <w:r>
        <w:rPr/>
        <w:t>For the full pipeline part of the code, experiments are driven by yaml config files, which fully specify the model architecture, data paths, and training and evaluation settings. The codebase exposes three command-line entry points corresponding to the main stages of the pipeline.</w:t>
      </w:r>
    </w:p>
    <w:p>
      <w:pPr>
        <w:pStyle w:val="Normal"/>
        <w:spacing w:lineRule="auto" w:line="259"/>
        <w:rPr/>
      </w:pPr>
      <w:r>
        <w:rPr/>
        <w:t>Training a new model is performed with:</w:t>
      </w:r>
    </w:p>
    <w:p>
      <w:pPr>
        <w:pStyle w:val="Normal"/>
        <w:spacing w:lineRule="auto" w:line="259"/>
        <w:rPr/>
      </w:pPr>
      <w:r>
        <w:rPr/>
        <w:t>python train.py --config configs/&lt;train_config&gt;.yaml</w:t>
      </w:r>
    </w:p>
    <w:p>
      <w:pPr>
        <w:pStyle w:val="Normal"/>
        <w:spacing w:lineRule="auto" w:line="259"/>
        <w:rPr/>
      </w:pPr>
      <w:r>
        <w:rPr/>
        <w:t>This command builds the model specified in the configuration file, trains it from scratch, and saves the best-performing checkpoint to the configured checkpoint directory.</w:t>
      </w:r>
    </w:p>
    <w:p>
      <w:pPr>
        <w:pStyle w:val="Normal"/>
        <w:spacing w:lineRule="auto" w:line="259"/>
        <w:rPr/>
      </w:pPr>
      <w:r>
        <w:rPr/>
        <w:t>Training can be resumed from a previously saved model using:</w:t>
      </w:r>
    </w:p>
    <w:p>
      <w:pPr>
        <w:pStyle w:val="Normal"/>
        <w:spacing w:lineRule="auto" w:line="259"/>
        <w:rPr/>
      </w:pPr>
      <w:r>
        <w:rPr/>
        <w:t>python continue_train.py --config configs/&lt;continue_train_config&gt;.yaml</w:t>
      </w:r>
    </w:p>
    <w:p>
      <w:pPr>
        <w:pStyle w:val="Normal"/>
        <w:spacing w:lineRule="auto" w:line="259"/>
        <w:rPr/>
      </w:pPr>
      <w:r>
        <w:rPr/>
        <w:t>The continue-training configuration must specify the path to an existing saved model and allows training to proceed with updated optimisation settings if required.</w:t>
      </w:r>
    </w:p>
    <w:p>
      <w:pPr>
        <w:pStyle w:val="Normal"/>
        <w:spacing w:lineRule="auto" w:line="259"/>
        <w:rPr/>
      </w:pPr>
      <w:r>
        <w:rPr/>
        <w:t>Evaluation of a trained model is performed with:</w:t>
      </w:r>
    </w:p>
    <w:p>
      <w:pPr>
        <w:pStyle w:val="Normal"/>
        <w:spacing w:lineRule="auto" w:line="259"/>
        <w:rPr/>
      </w:pPr>
      <w:r>
        <w:rPr/>
        <w:t>python evaluate.py --config configs/&lt;evaluate_config&gt;.yaml</w:t>
      </w:r>
    </w:p>
    <w:p>
      <w:pPr>
        <w:pStyle w:val="Normal"/>
        <w:spacing w:lineRule="auto" w:line="259"/>
        <w:rPr/>
      </w:pPr>
      <w:r>
        <w:rPr/>
        <w:t>This loads a saved model and reports performance metrics on the specified datasets. For stacked models, additional layer-wise diagnostics are produced.</w:t>
      </w:r>
    </w:p>
    <w:p>
      <w:pPr>
        <w:pStyle w:val="Normal"/>
        <w:spacing w:lineRule="auto" w:line="259"/>
        <w:rPr/>
      </w:pPr>
      <w:r>
        <w:rPr/>
        <w:t>The configs/ directory contains example configuration files illustrating the standard format and supported options, and should be consulted when defining new experimental runs.</w:t>
      </w:r>
    </w:p>
    <w:p>
      <w:pPr>
        <w:pStyle w:val="Normal"/>
        <w:spacing w:lineRule="auto" w:line="259"/>
        <w:rPr/>
      </w:pPr>
      <w:r>
        <w:rPr/>
      </w:r>
    </w:p>
    <w:p>
      <w:pPr>
        <w:pStyle w:val="ListParagraph"/>
        <w:numPr>
          <w:ilvl w:val="1"/>
          <w:numId w:val="1"/>
        </w:numPr>
        <w:spacing w:lineRule="auto" w:line="259"/>
        <w:rPr>
          <w:b/>
          <w:bCs/>
        </w:rPr>
      </w:pPr>
      <w:r>
        <w:rPr>
          <w:b/>
          <w:bCs/>
        </w:rPr>
        <w:t xml:space="preserve">Are there any errors or unclear parts in the paper?  If there are, please point them out and explain the unclear parts in the report. </w:t>
      </w:r>
    </w:p>
    <w:p>
      <w:pPr>
        <w:pStyle w:val="Normal"/>
        <w:spacing w:lineRule="auto" w:line="259"/>
        <w:rPr/>
      </w:pPr>
      <w:r>
        <w:rPr/>
        <w:t xml:space="preserve">The overall aim of the Zhang25 paper is to model the Halo effect by decomposing this effect into orders of interactions: pairwise, 3-way and so on. They claim to use a neural network approach that produces tractable and interpretable results at each layer. Whilst their mathematical framework is solid, the reality of the simplifications they are forced to make to produce a practical implementation and the choices they make means the resulting model diverges strongly from their stated aim. The result is a residual network. Whilst powerful, we have very little interpretability at each layer. </w:t>
      </w:r>
    </w:p>
    <w:p>
      <w:pPr>
        <w:pStyle w:val="Normal"/>
        <w:spacing w:lineRule="auto" w:line="259"/>
        <w:rPr/>
      </w:pPr>
      <w:r>
        <w:rPr/>
        <w:t>The premise of the paper chooses to decompose utility into orders of interaction. This a reasonable assumption in line with the Halo theory, it is unclear why we should expect higher order layers to add significant value. If low level functions are good at capturing these effects, further layers should produce very marginal improvements. Alternatively, if these functions are sub-optimal and further layers add value by capitalising on missed info then the recursive simplification on equation 8 becomes questionable as it relies on each layer already capturing lower-level interactions.</w:t>
      </w:r>
    </w:p>
    <w:p>
      <w:pPr>
        <w:pStyle w:val="Normal"/>
        <w:spacing w:lineRule="auto" w:line="259"/>
        <w:rPr/>
      </w:pPr>
      <w:r>
        <w:rPr/>
        <w:t xml:space="preserve">The mobius decomposition is of ambiguous value to the paper as we are not learning </w:t>
      </w:r>
      <w:r>
        <w:rPr>
          <w:rFonts w:ascii="Cambria Math" w:hAnsi="Cambria Math"/>
          <w:i/>
        </w:rPr>
        <w:t xml:space="preserve">Vij​ </w:t>
      </w:r>
      <w:r>
        <w:rPr/>
        <w:t xml:space="preserve">directly for these subsets. This model cannot explicitly decompose the utility into that of subsets in an observable way. If we were to consider each subset separately, the number of pairwise interactions would explode at each layer. This justifies their implementation choice of mapping to a limited number of heads. However, this decision introduces multiple nonlinear functions. </w:t>
      </w:r>
    </w:p>
    <w:p>
      <w:pPr>
        <w:pStyle w:val="Normal"/>
        <w:spacing w:lineRule="auto" w:line="259"/>
        <w:rPr/>
      </w:pPr>
      <w:r>
        <w:rPr/>
        <w:t>Starting with the layer-zero embedding function, they choose an MLP layer in their practical implementation. This means that items get entangled. We can’t extract a ‘no context effect’ zero layer for example. This continues with the choice of φ function resulting in non-linear learning and an explosion in learnt complexity. They choose a quadratic φ function. This makes sense in the context of a residual network as we already have a linear input and can add complexity with the quadratic. This architecture doesn’t preserve layer-wise orders.</w:t>
      </w:r>
    </w:p>
    <w:p>
      <w:pPr>
        <w:pStyle w:val="Normal"/>
        <w:spacing w:lineRule="auto" w:line="259"/>
        <w:rPr/>
      </w:pPr>
      <w:r>
        <w:rPr/>
        <w:t xml:space="preserve">This is made worse by the training objective </w:t>
      </w:r>
      <w:r>
        <w:rPr/>
      </w:r>
      <m:oMath xmlns:m="http://schemas.openxmlformats.org/officeDocument/2006/math">
        <m:sSub>
          <m:e>
            <m:r>
              <m:t xml:space="preserve">U</m:t>
            </m:r>
          </m:e>
          <m:sub>
            <m:r>
              <m:t xml:space="preserve">j</m:t>
            </m:r>
          </m:sub>
        </m:sSub>
        <m:d>
          <m:dPr>
            <m:begChr m:val="("/>
            <m:endChr m:val=")"/>
          </m:dPr>
          <m:e>
            <m:sSub>
              <m:e>
                <m:r>
                  <m:t xml:space="preserve">X</m:t>
                </m:r>
              </m:e>
              <m:sub>
                <m:r>
                  <m:t xml:space="preserve">S</m:t>
                </m:r>
              </m:sub>
            </m:sSub>
          </m:e>
        </m:d>
        <m:r>
          <m:rPr>
            <m:lit/>
            <m:nor/>
          </m:rPr>
          <m:t xml:space="preserve">=</m:t>
        </m:r>
        <m:r>
          <m:rPr>
            <m:lit/>
            <m:nor/>
          </m:rPr>
          <m:t xml:space="preserve"> </m:t>
        </m:r>
        <m:sSup>
          <m:e>
            <m:r>
              <m:t xml:space="preserve">β</m:t>
            </m:r>
          </m:e>
          <m:sup>
            <m:r>
              <m:t xml:space="preserve">T</m:t>
            </m:r>
          </m:sup>
        </m:sSup>
        <m:sSub>
          <m:e>
            <m:r>
              <m:t xml:space="preserve">z</m:t>
            </m:r>
          </m:e>
          <m:sub>
            <m:r>
              <m:t xml:space="preserve">L</m:t>
            </m:r>
          </m:sub>
        </m:sSub>
      </m:oMath>
      <w:r>
        <w:rPr>
          <w:rFonts w:ascii="Cambria Math" w:hAnsi="Cambria Math"/>
          <w:i/>
        </w:rPr>
        <w:t xml:space="preserve"> </w:t>
      </w:r>
      <w:r>
        <w:rPr/>
        <w:t>Whilst this makes sense mathematically it assumes that each layer has already successfully accounted for each order of interaction effects and therefore that the residual contribution of each layer will only be the newly added interaction order. In training, we are setting this equation to train the model, the learning algorithm has little pressure to ensure decomposition into orders is preserved.</w:t>
      </w:r>
    </w:p>
    <w:p>
      <w:pPr>
        <w:pStyle w:val="Normal"/>
        <w:spacing w:lineRule="auto" w:line="259"/>
        <w:rPr/>
      </w:pPr>
      <w:r>
        <w:rPr/>
        <w:t>In equations 7 and 8 we move from a layer wise formulation that depends on the previous layer’s head wise encoding along with the original input z0, to a recursion solely dependent on the previous layer.</w:t>
      </w:r>
    </w:p>
    <w:p>
      <w:pPr>
        <w:pStyle w:val="Normal"/>
        <w:spacing w:lineRule="auto" w:line="259"/>
        <w:jc w:val="center"/>
        <w:rPr/>
      </w:pPr>
      <w:r>
        <w:rPr/>
      </w:r>
      <m:oMath xmlns:m="http://schemas.openxmlformats.org/officeDocument/2006/math">
        <m:sSubSup>
          <m:e>
            <m:r>
              <m:t xml:space="preserve">z</m:t>
            </m:r>
          </m:e>
          <m:sub>
            <m:r>
              <m:t xml:space="preserve">j</m:t>
            </m:r>
          </m:sub>
          <m:sup>
            <m:r>
              <m:t xml:space="preserve">l</m:t>
            </m:r>
          </m:sup>
        </m:sSubSup>
        <m:r>
          <m:rPr>
            <m:lit/>
            <m:nor/>
          </m:rPr>
          <m:t xml:space="preserve">=</m:t>
        </m:r>
        <m:sSubSup>
          <m:e>
            <m:r>
              <m:t xml:space="preserve">z</m:t>
            </m:r>
          </m:e>
          <m:sub>
            <m:r>
              <m:t xml:space="preserve">j</m:t>
            </m:r>
          </m:sub>
          <m:sup>
            <m:r>
              <m:t xml:space="preserve">l</m:t>
            </m:r>
            <m:r>
              <m:rPr>
                <m:lit/>
                <m:nor/>
              </m:rPr>
              <m:t xml:space="preserve">-</m:t>
            </m:r>
            <m:r>
              <m:t xml:space="preserve">1</m:t>
            </m:r>
          </m:sup>
        </m:sSubSup>
        <m:r>
          <m:rPr>
            <m:lit/>
            <m:nor/>
          </m:rPr>
          <m:t xml:space="preserve">+</m:t>
        </m:r>
        <m:nary>
          <m:naryPr>
            <m:chr m:val="∑"/>
          </m:naryPr>
          <m:sub>
            <m:r>
              <m:t xml:space="preserve">h</m:t>
            </m:r>
            <m:r>
              <m:rPr>
                <m:lit/>
                <m:nor/>
              </m:rPr>
              <m:t xml:space="preserve">=</m:t>
            </m:r>
            <m:r>
              <m:t xml:space="preserve">1</m:t>
            </m:r>
          </m:sub>
          <m:sup>
            <m:r>
              <m:t xml:space="preserve">H</m:t>
            </m:r>
          </m:sup>
          <m:e>
            <m:sSubSup>
              <m:e>
                <m:r>
                  <m:t xml:space="preserve">Φ</m:t>
                </m:r>
              </m:e>
              <m:sub>
                <m:r>
                  <m:t xml:space="preserve">h</m:t>
                </m:r>
              </m:sub>
              <m:sup>
                <m:r>
                  <m:t xml:space="preserve">l</m:t>
                </m:r>
              </m:sup>
            </m:sSubSup>
            <m:r>
              <m:t xml:space="preserve">(</m:t>
            </m:r>
          </m:e>
        </m:nary>
        <m:sSubSup>
          <m:e>
            <m:bar>
              <m:barPr>
                <m:pos m:val="top"/>
              </m:barPr>
              <m:e>
                <m:r>
                  <m:t xml:space="preserve">Z</m:t>
                </m:r>
              </m:e>
            </m:bar>
          </m:e>
          <m:sub>
            <m:r>
              <m:t xml:space="preserve">h</m:t>
            </m:r>
          </m:sub>
          <m:sup>
            <m:r>
              <m:t xml:space="preserve">l</m:t>
            </m:r>
          </m:sup>
        </m:sSubSup>
        <m:r>
          <m:t xml:space="preserve">,</m:t>
        </m:r>
        <m:r>
          <m:rPr>
            <m:lit/>
            <m:nor/>
          </m:rPr>
          <m:t xml:space="preserve"> </m:t>
        </m:r>
        <m:sSubSup>
          <m:e>
            <m:r>
              <m:t xml:space="preserve">ϕ</m:t>
            </m:r>
          </m:e>
          <m:sub>
            <m:r>
              <m:t xml:space="preserve">h</m:t>
            </m:r>
          </m:sub>
          <m:sup>
            <m:r>
              <m:t xml:space="preserve">l</m:t>
            </m:r>
          </m:sup>
        </m:sSubSup>
        <m:r>
          <m:t xml:space="preserve">(</m:t>
        </m:r>
        <m:sSubSup>
          <m:e>
            <m:r>
              <m:t xml:space="preserve">z</m:t>
            </m:r>
          </m:e>
          <m:sub>
            <m:r>
              <m:t xml:space="preserve">j</m:t>
            </m:r>
          </m:sub>
          <m:sup>
            <m:r>
              <m:t xml:space="preserve">0</m:t>
            </m:r>
          </m:sup>
        </m:sSubSup>
        <m:r>
          <m:t xml:space="preserve">)</m:t>
        </m:r>
        <m:r>
          <m:t xml:space="preserve">)</m:t>
        </m:r>
      </m:oMath>
      <w:r>
        <w:rPr/>
        <w:t xml:space="preserve"> </w:t>
      </w:r>
      <w:r>
        <w:rPr/>
        <w:tab/>
        <w:t>with</w:t>
        <w:tab/>
        <w:t xml:space="preserve"> </w:t>
      </w:r>
      <w:r>
        <w:rPr/>
      </w:r>
      <m:oMath xmlns:m="http://schemas.openxmlformats.org/officeDocument/2006/math">
        <m:sSup>
          <m:e>
            <m:bar>
              <m:barPr>
                <m:pos m:val="top"/>
              </m:barPr>
              <m:e>
                <m:r>
                  <m:t xml:space="preserve">Z</m:t>
                </m:r>
              </m:e>
            </m:bar>
          </m:e>
          <m:sup>
            <m:r>
              <m:t xml:space="preserve">l</m:t>
            </m:r>
          </m:sup>
        </m:sSup>
        <m:r>
          <m:rPr>
            <m:lit/>
            <m:nor/>
          </m:rPr>
          <m:t xml:space="preserve">=</m:t>
        </m:r>
        <m:f>
          <m:num>
            <m:r>
              <m:t xml:space="preserve">1</m:t>
            </m:r>
          </m:num>
          <m:den>
            <m:r>
              <m:rPr>
                <m:lit/>
                <m:nor/>
              </m:rPr>
              <m:t xml:space="preserve">|</m:t>
            </m:r>
            <m:r>
              <m:t xml:space="preserve">S</m:t>
            </m:r>
            <m:r>
              <m:rPr>
                <m:lit/>
                <m:nor/>
              </m:rPr>
              <m:t xml:space="preserve">|</m:t>
            </m:r>
          </m:den>
        </m:f>
        <m:r>
          <m:rPr>
            <m:lit/>
            <m:nor/>
          </m:rPr>
          <m:t xml:space="preserve">+</m:t>
        </m:r>
        <m:nary>
          <m:naryPr>
            <m:chr m:val="∑"/>
            <m:supHide m:val="1"/>
          </m:naryPr>
          <m:sub>
            <m:r>
              <m:t xml:space="preserve">kϵS</m:t>
            </m:r>
          </m:sub>
          <m:sup/>
          <m:e>
            <m:sSub>
              <m:e>
                <m:r>
                  <m:t xml:space="preserve">W</m:t>
                </m:r>
              </m:e>
              <m:sub>
                <m:r>
                  <m:t xml:space="preserve">l</m:t>
                </m:r>
              </m:sub>
            </m:sSub>
          </m:e>
        </m:nary>
        <m:r>
          <m:t xml:space="preserve">σ</m:t>
        </m:r>
        <m:r>
          <m:t xml:space="preserve">(</m:t>
        </m:r>
        <m:sSubSup>
          <m:e>
            <m:r>
              <m:t xml:space="preserve">z</m:t>
            </m:r>
          </m:e>
          <m:sub>
            <m:r>
              <m:t xml:space="preserve">k</m:t>
            </m:r>
          </m:sub>
          <m:sup>
            <m:r>
              <m:t xml:space="preserve">l</m:t>
            </m:r>
            <m:r>
              <m:rPr>
                <m:lit/>
                <m:nor/>
              </m:rPr>
              <m:t xml:space="preserve">-</m:t>
            </m:r>
            <m:r>
              <m:t xml:space="preserve">1</m:t>
            </m:r>
          </m:sup>
        </m:sSubSup>
        <m:r>
          <m:t xml:space="preserve">)</m:t>
        </m:r>
      </m:oMath>
    </w:p>
    <w:p>
      <w:pPr>
        <w:pStyle w:val="Normal"/>
        <w:spacing w:lineRule="auto" w:line="259"/>
        <w:rPr/>
      </w:pPr>
      <w:r>
        <w:rPr/>
        <w:t>Becomes:</w:t>
      </w:r>
    </w:p>
    <w:p>
      <w:pPr>
        <w:pStyle w:val="Normal"/>
        <w:spacing w:lineRule="auto" w:line="259"/>
        <w:jc w:val="center"/>
        <w:rPr/>
      </w:pPr>
      <w:r>
        <w:rPr/>
      </w:r>
      <m:oMathPara xmlns:m="http://schemas.openxmlformats.org/officeDocument/2006/math">
        <m:oMathParaPr>
          <m:jc m:val="center"/>
        </m:oMathParaPr>
        <m:oMath>
          <m:sSubSup>
            <m:e>
              <m:r>
                <m:t xml:space="preserve">z</m:t>
              </m:r>
            </m:e>
            <m:sub>
              <m:r>
                <m:t xml:space="preserve">j</m:t>
              </m:r>
            </m:sub>
            <m:sup>
              <m:r>
                <m:t xml:space="preserve">l</m:t>
              </m:r>
            </m:sup>
          </m:sSubSup>
          <m:r>
            <m:rPr>
              <m:lit/>
              <m:nor/>
            </m:rPr>
            <m:t xml:space="preserve">=</m:t>
          </m:r>
          <m:sSubSup>
            <m:e>
              <m:r>
                <m:t xml:space="preserve">z</m:t>
              </m:r>
            </m:e>
            <m:sub>
              <m:r>
                <m:t xml:space="preserve">j</m:t>
              </m:r>
            </m:sub>
            <m:sup>
              <m:r>
                <m:t xml:space="preserve">l</m:t>
              </m:r>
              <m:r>
                <m:rPr>
                  <m:lit/>
                  <m:nor/>
                </m:rPr>
                <m:t xml:space="preserve">-</m:t>
              </m:r>
              <m:r>
                <m:t xml:space="preserve">1</m:t>
              </m:r>
            </m:sup>
          </m:sSubSup>
          <m:r>
            <m:rPr>
              <m:lit/>
              <m:nor/>
            </m:rPr>
            <m:t xml:space="preserve">+</m:t>
          </m:r>
          <m:nary>
            <m:naryPr>
              <m:chr m:val="∑"/>
            </m:naryPr>
            <m:sub>
              <m:r>
                <m:t xml:space="preserve">k</m:t>
              </m:r>
              <m:r>
                <m:rPr>
                  <m:lit/>
                  <m:nor/>
                </m:rPr>
                <m:t xml:space="preserve">=</m:t>
              </m:r>
              <m:r>
                <m:t xml:space="preserve">1</m:t>
              </m:r>
            </m:sub>
            <m:sup>
              <m:r>
                <m:t xml:space="preserve">J</m:t>
              </m:r>
            </m:sup>
            <m:e>
              <m:sSub>
                <m:e>
                  <m:r>
                    <m:t xml:space="preserve">W</m:t>
                  </m:r>
                </m:e>
                <m:sub>
                  <m:r>
                    <m:t xml:space="preserve">l</m:t>
                  </m:r>
                </m:sub>
              </m:sSub>
            </m:e>
          </m:nary>
          <m:r>
            <m:t xml:space="preserve">σ</m:t>
          </m:r>
          <m:r>
            <m:t xml:space="preserve">(</m:t>
          </m:r>
          <m:sSubSup>
            <m:e>
              <m:r>
                <m:t xml:space="preserve">z</m:t>
              </m:r>
            </m:e>
            <m:sub>
              <m:r>
                <m:t xml:space="preserve">k</m:t>
              </m:r>
            </m:sub>
            <m:sup>
              <m:r>
                <m:t xml:space="preserve">l</m:t>
              </m:r>
              <m:r>
                <m:rPr>
                  <m:lit/>
                  <m:nor/>
                </m:rPr>
                <m:t xml:space="preserve">-</m:t>
              </m:r>
              <m:r>
                <m:t xml:space="preserve">1</m:t>
              </m:r>
            </m:sup>
          </m:sSubSup>
          <m:r>
            <m:t xml:space="preserve">)</m:t>
          </m:r>
        </m:oMath>
      </m:oMathPara>
    </w:p>
    <w:p>
      <w:pPr>
        <w:pStyle w:val="Normal"/>
        <w:spacing w:lineRule="auto" w:line="259"/>
        <w:rPr/>
      </w:pPr>
      <w:r>
        <w:rPr/>
        <w:t xml:space="preserve">As above, this is mathematically valid, but we have the same implicit assumption that each layer function has accurately learnt that layer’s effect and the following layer only has to account for the additional info. This assumption is very questionable when we are training the whole model with gradients propagated backwards from the final layer. </w:t>
      </w:r>
    </w:p>
    <w:p>
      <w:pPr>
        <w:pStyle w:val="Normal"/>
        <w:spacing w:lineRule="auto" w:line="259"/>
        <w:rPr/>
      </w:pPr>
      <w:r>
        <w:rPr/>
        <w:t>They set out by claiming their model has tractability and later detail how to calculate the context effects between two items j and k. However, their model does not allow us to extract context effect directly. In their implementation they calculate these effects post hoc by first calculating the utility of every single subset first. This is done solely using the outputs of the model and could be done with any model. This does show that their 4-item model has successfully captured the Halo effects but it is unlikely that competing models wouldn’t pass this benchmark. The computation needed to calculate a single context effect will explode with the size of possible subsets.</w:t>
      </w:r>
    </w:p>
    <w:p>
      <w:pPr>
        <w:pStyle w:val="Normal"/>
        <w:spacing w:lineRule="auto" w:line="259"/>
        <w:rPr/>
      </w:pPr>
      <w:r>
        <w:rPr/>
        <w:t>Overall, their mathematical formulation is accurate but practical limitations force them to make certain design choices. We are left with a residual network.</w:t>
      </w:r>
    </w:p>
    <w:p>
      <w:pPr>
        <w:pStyle w:val="Normal"/>
        <w:spacing w:lineRule="auto" w:line="259"/>
        <w:rPr/>
      </w:pPr>
      <w:r>
        <w:rPr/>
      </w:r>
    </w:p>
    <w:p>
      <w:pPr>
        <w:pStyle w:val="ListParagraph"/>
        <w:numPr>
          <w:ilvl w:val="1"/>
          <w:numId w:val="1"/>
        </w:numPr>
        <w:spacing w:lineRule="auto" w:line="259"/>
        <w:rPr>
          <w:b/>
          <w:bCs/>
        </w:rPr>
      </w:pPr>
      <w:r>
        <w:rPr>
          <w:b/>
          <w:bCs/>
        </w:rPr>
        <w:t xml:space="preserve">Do you get the same results as their synthetic data test? </w:t>
      </w:r>
    </w:p>
    <w:p>
      <w:pPr>
        <w:pStyle w:val="Normal"/>
        <w:spacing w:lineRule="auto" w:line="259"/>
        <w:rPr/>
      </w:pPr>
      <w:r>
        <w:rPr/>
        <w:t>For the featureless model, our implementation follows the structure of the reference implementation provided in Zhuhan’s GitHub repository. Aside from a minor issue in their early stopping logic and some limitations in memory handling, the core modelling and training approach is technically sound.</w:t>
      </w:r>
    </w:p>
    <w:p>
      <w:pPr>
        <w:pStyle w:val="Normal"/>
        <w:spacing w:lineRule="auto" w:line="259"/>
        <w:rPr/>
      </w:pPr>
      <w:r>
        <w:rPr/>
        <w:t>The paper reports results using both negative log-likelihood (NLL) and mean squared error (MSE) as training objectives. NLL is the more principled loss for probabilistic choice models, however, for the synthetic experiments, the authors primarily train using MSE. We follow the same choice to ensure comparability.</w:t>
      </w:r>
    </w:p>
    <w:p>
      <w:pPr>
        <w:pStyle w:val="Normal"/>
        <w:spacing w:lineRule="auto" w:line="259"/>
        <w:rPr/>
      </w:pPr>
      <w:r>
        <w:rPr/>
        <w:t>For evaluation, the authors use a frequency-based evaluation in which choice labels are averaged within similar choice sets to reduce sampling noise. This wasn’t stated in the paper and substantially lowers the reported RMSE values. We adopt the same frequency-based evaluation protocol. Note that even with this smoothing, the data remains generated from a near-uniform distribution and therefore</w:t>
      </w:r>
    </w:p>
    <w:p>
      <w:pPr>
        <w:pStyle w:val="Normal"/>
        <w:spacing w:lineRule="auto" w:line="259"/>
        <w:rPr/>
      </w:pPr>
      <w:r>
        <w:rPr/>
        <w:t>Using the authors’ current GitHub code and configuration</w:t>
        <w:br/>
        <w:t>depth = 5, width = 348, epochs = 5, batch_size = 1024, lr = 1e-4, and loss = MSE,</w:t>
        <w:br/>
        <w:t>We get a reported performance of:</w:t>
      </w:r>
    </w:p>
    <w:p>
      <w:pPr>
        <w:pStyle w:val="Normal"/>
        <w:numPr>
          <w:ilvl w:val="0"/>
          <w:numId w:val="4"/>
        </w:numPr>
        <w:tabs>
          <w:tab w:val="left" w:pos="720" w:leader="none"/>
        </w:tabs>
        <w:spacing w:lineRule="auto" w:line="259"/>
        <w:rPr/>
      </w:pPr>
      <w:r>
        <w:rPr/>
        <w:t>In-sample frequency-based RMSE: 0.0559</w:t>
      </w:r>
    </w:p>
    <w:p>
      <w:pPr>
        <w:pStyle w:val="Normal"/>
        <w:numPr>
          <w:ilvl w:val="0"/>
          <w:numId w:val="4"/>
        </w:numPr>
        <w:tabs>
          <w:tab w:val="left" w:pos="720" w:leader="none"/>
        </w:tabs>
        <w:spacing w:lineRule="auto" w:line="259"/>
        <w:rPr/>
      </w:pPr>
      <w:r>
        <w:rPr/>
        <w:t>Out-of-sample frequency-based RMSE: 0.0697</w:t>
      </w:r>
    </w:p>
    <w:p>
      <w:pPr>
        <w:pStyle w:val="Normal"/>
        <w:spacing w:lineRule="auto" w:line="259"/>
        <w:ind w:firstLine="720"/>
        <w:rPr/>
      </w:pPr>
      <w:r>
        <w:rPr/>
        <w:t>Under the same configuration, we obtain:</w:t>
      </w:r>
    </w:p>
    <w:p>
      <w:pPr>
        <w:pStyle w:val="ListParagraph"/>
        <w:numPr>
          <w:ilvl w:val="0"/>
          <w:numId w:val="5"/>
        </w:numPr>
        <w:spacing w:lineRule="auto" w:line="259"/>
        <w:rPr/>
      </w:pPr>
      <w:r>
        <w:rPr/>
        <w:t>In-sample frequency-based RMSE of 0.0582</w:t>
      </w:r>
    </w:p>
    <w:p>
      <w:pPr>
        <w:pStyle w:val="ListParagraph"/>
        <w:numPr>
          <w:ilvl w:val="0"/>
          <w:numId w:val="5"/>
        </w:numPr>
        <w:spacing w:lineRule="auto" w:line="259"/>
        <w:rPr/>
      </w:pPr>
      <w:r>
        <w:rPr/>
        <w:t>Out-of-sample frequency-based RMSE of 0.0710</w:t>
      </w:r>
    </w:p>
    <w:p>
      <w:pPr>
        <w:pStyle w:val="Normal"/>
        <w:spacing w:lineRule="auto" w:line="259"/>
        <w:rPr/>
      </w:pPr>
      <w:r>
        <w:rPr/>
        <w:t>Both sets of results are very similar.</w:t>
      </w:r>
    </w:p>
    <w:p>
      <w:pPr>
        <w:pStyle w:val="Normal"/>
        <w:spacing w:lineRule="auto" w:line="259"/>
        <w:rPr/>
      </w:pPr>
      <w:r>
        <w:rPr/>
      </w:r>
    </w:p>
    <w:p>
      <w:pPr>
        <w:pStyle w:val="ListParagraph"/>
        <w:numPr>
          <w:ilvl w:val="1"/>
          <w:numId w:val="1"/>
        </w:numPr>
        <w:spacing w:lineRule="auto" w:line="259"/>
        <w:rPr>
          <w:b/>
          <w:bCs/>
        </w:rPr>
      </w:pPr>
      <w:r>
        <w:rPr>
          <w:b/>
          <w:bCs/>
        </w:rPr>
        <w:t>What additional tests could you come up with to verify the results?</w:t>
      </w:r>
    </w:p>
    <w:p>
      <w:pPr>
        <w:pStyle w:val="Normal"/>
        <w:spacing w:lineRule="auto" w:line="259"/>
        <w:rPr/>
      </w:pPr>
      <w:r>
        <w:rPr/>
        <w:t>We evaluated the models on the Expedia dataset in the choice learn stack. Some models require their own data preprocessing. Therefore, these results should be interpreted as performance under the Choice Learn pipeline, rather than direct comparisons of model performance.</w:t>
      </w:r>
    </w:p>
    <w:tbl>
      <w:tblPr>
        <w:tblStyle w:val="TableGrid"/>
        <w:tblW w:w="909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031"/>
        <w:gridCol w:w="3031"/>
        <w:gridCol w:w="3032"/>
      </w:tblGrid>
      <w:tr>
        <w:trPr>
          <w:trHeight w:val="318" w:hRule="atLeast"/>
        </w:trPr>
        <w:tc>
          <w:tcPr>
            <w:tcW w:w="3031" w:type="dxa"/>
            <w:tcBorders/>
          </w:tcPr>
          <w:p>
            <w:pPr>
              <w:pStyle w:val="Normal"/>
              <w:widowControl/>
              <w:spacing w:lineRule="auto" w:line="259"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Model</w:t>
            </w:r>
          </w:p>
        </w:tc>
        <w:tc>
          <w:tcPr>
            <w:tcW w:w="3031" w:type="dxa"/>
            <w:tcBorders/>
          </w:tcPr>
          <w:p>
            <w:pPr>
              <w:pStyle w:val="Normal"/>
              <w:widowControl/>
              <w:spacing w:lineRule="auto" w:line="259"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Train NLL</w:t>
            </w:r>
          </w:p>
        </w:tc>
        <w:tc>
          <w:tcPr>
            <w:tcW w:w="3032" w:type="dxa"/>
            <w:tcBorders/>
          </w:tcPr>
          <w:p>
            <w:pPr>
              <w:pStyle w:val="Normal"/>
              <w:widowControl/>
              <w:spacing w:lineRule="auto" w:line="259"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Test NLL</w:t>
            </w:r>
          </w:p>
        </w:tc>
      </w:tr>
      <w:tr>
        <w:trPr>
          <w:trHeight w:val="318" w:hRule="atLeast"/>
        </w:trPr>
        <w:tc>
          <w:tcPr>
            <w:tcW w:w="3031" w:type="dxa"/>
            <w:tcBorders/>
          </w:tcPr>
          <w:p>
            <w:pPr>
              <w:pStyle w:val="Normal"/>
              <w:widowControl/>
              <w:spacing w:lineRule="auto" w:line="259"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Featureless DeepHalo</w:t>
            </w:r>
          </w:p>
        </w:tc>
        <w:tc>
          <w:tcPr>
            <w:tcW w:w="3031" w:type="dxa"/>
            <w:tcBorders/>
          </w:tcPr>
          <w:p>
            <w:pPr>
              <w:pStyle w:val="Normal"/>
              <w:widowControl/>
              <w:spacing w:lineRule="auto" w:line="259"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3.073</w:t>
            </w:r>
          </w:p>
        </w:tc>
        <w:tc>
          <w:tcPr>
            <w:tcW w:w="3032" w:type="dxa"/>
            <w:tcBorders/>
          </w:tcPr>
          <w:p>
            <w:pPr>
              <w:pStyle w:val="Normal"/>
              <w:widowControl/>
              <w:spacing w:lineRule="auto" w:line="259"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3.071</w:t>
            </w:r>
          </w:p>
        </w:tc>
      </w:tr>
      <w:tr>
        <w:trPr>
          <w:trHeight w:val="318" w:hRule="atLeast"/>
        </w:trPr>
        <w:tc>
          <w:tcPr>
            <w:tcW w:w="3031" w:type="dxa"/>
            <w:tcBorders/>
          </w:tcPr>
          <w:p>
            <w:pPr>
              <w:pStyle w:val="Normal"/>
              <w:widowControl/>
              <w:spacing w:lineRule="auto" w:line="259"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FeatureBased DeepHalo</w:t>
            </w:r>
          </w:p>
        </w:tc>
        <w:tc>
          <w:tcPr>
            <w:tcW w:w="3031" w:type="dxa"/>
            <w:tcBorders/>
          </w:tcPr>
          <w:p>
            <w:pPr>
              <w:pStyle w:val="Normal"/>
              <w:widowControl/>
              <w:spacing w:lineRule="auto" w:line="259"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2.309</w:t>
            </w:r>
          </w:p>
        </w:tc>
        <w:tc>
          <w:tcPr>
            <w:tcW w:w="3032" w:type="dxa"/>
            <w:tcBorders/>
          </w:tcPr>
          <w:p>
            <w:pPr>
              <w:pStyle w:val="Normal"/>
              <w:widowControl/>
              <w:spacing w:lineRule="auto" w:line="259"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2.310</w:t>
            </w:r>
          </w:p>
        </w:tc>
      </w:tr>
      <w:tr>
        <w:trPr>
          <w:trHeight w:val="318" w:hRule="atLeast"/>
        </w:trPr>
        <w:tc>
          <w:tcPr>
            <w:tcW w:w="3031" w:type="dxa"/>
            <w:tcBorders/>
          </w:tcPr>
          <w:p>
            <w:pPr>
              <w:pStyle w:val="Normal"/>
              <w:widowControl/>
              <w:spacing w:lineRule="auto" w:line="259"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RumNet</w:t>
            </w:r>
          </w:p>
        </w:tc>
        <w:tc>
          <w:tcPr>
            <w:tcW w:w="3031" w:type="dxa"/>
            <w:tcBorders/>
          </w:tcPr>
          <w:p>
            <w:pPr>
              <w:pStyle w:val="Normal"/>
              <w:widowControl/>
              <w:spacing w:lineRule="auto" w:line="259"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2.070</w:t>
            </w:r>
          </w:p>
        </w:tc>
        <w:tc>
          <w:tcPr>
            <w:tcW w:w="3032" w:type="dxa"/>
            <w:tcBorders/>
          </w:tcPr>
          <w:p>
            <w:pPr>
              <w:pStyle w:val="Normal"/>
              <w:widowControl/>
              <w:spacing w:lineRule="auto" w:line="259"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2.072</w:t>
            </w:r>
          </w:p>
        </w:tc>
      </w:tr>
      <w:tr>
        <w:trPr>
          <w:trHeight w:val="318" w:hRule="atLeast"/>
        </w:trPr>
        <w:tc>
          <w:tcPr>
            <w:tcW w:w="3031" w:type="dxa"/>
            <w:tcBorders/>
          </w:tcPr>
          <w:p>
            <w:pPr>
              <w:pStyle w:val="Normal"/>
              <w:widowControl/>
              <w:spacing w:lineRule="auto" w:line="259"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ResLogit</w:t>
            </w:r>
          </w:p>
        </w:tc>
        <w:tc>
          <w:tcPr>
            <w:tcW w:w="3031" w:type="dxa"/>
            <w:tcBorders/>
          </w:tcPr>
          <w:p>
            <w:pPr>
              <w:pStyle w:val="Normal"/>
              <w:widowControl/>
              <w:spacing w:lineRule="auto" w:line="259"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2.321</w:t>
            </w:r>
          </w:p>
        </w:tc>
        <w:tc>
          <w:tcPr>
            <w:tcW w:w="3032" w:type="dxa"/>
            <w:tcBorders/>
          </w:tcPr>
          <w:p>
            <w:pPr>
              <w:pStyle w:val="Normal"/>
              <w:widowControl/>
              <w:spacing w:lineRule="auto" w:line="259"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2.304</w:t>
            </w:r>
          </w:p>
        </w:tc>
      </w:tr>
    </w:tbl>
    <w:p>
      <w:pPr>
        <w:pStyle w:val="Normal"/>
        <w:spacing w:lineRule="auto" w:line="259"/>
        <w:rPr/>
      </w:pPr>
      <w:r>
        <w:rPr/>
      </w:r>
    </w:p>
    <w:p>
      <w:pPr>
        <w:pStyle w:val="Normal"/>
        <w:spacing w:lineRule="auto" w:line="259"/>
        <w:rPr/>
      </w:pPr>
      <w:r>
        <w:rPr/>
        <w:t xml:space="preserve">Note that, we do not compare model complexity across approaches. In particular, we do not control for parameter count, depth, or computational cost, and several of the benchmark models appear to be substantially less complex than the DeepHalo variants. </w:t>
      </w:r>
    </w:p>
    <w:p>
      <w:pPr>
        <w:pStyle w:val="Normal"/>
        <w:spacing w:lineRule="auto" w:line="259"/>
        <w:rPr/>
      </w:pPr>
      <w:r>
        <w:rPr/>
        <w:t>Permutation equivariance, which is a central theoretical property of the proposed architecture, is not empirically tested in our experiments. We don’t have direct evidence of this behaviour in practise. And in the paper’s implementation, the middle layers have no constraints to enforce permutation equivariance. This could easily be tested.</w:t>
      </w:r>
    </w:p>
    <w:p>
      <w:pPr>
        <w:pStyle w:val="Normal"/>
        <w:spacing w:lineRule="auto" w:line="259"/>
        <w:rPr/>
      </w:pPr>
      <w:r>
        <w:rPr/>
        <w:t>Finally, although interpretability is a key motivation of the model, particularly the interpretation of higher-order interaction effects—we do not empirically evaluate or demonstrate interpretability on real data. Our results focus exclusively on predictive performance rather than on validating the interpretability claims. We’ll come back to this point when we look at other models.</w:t>
      </w:r>
    </w:p>
    <w:p>
      <w:pPr>
        <w:pStyle w:val="Normal"/>
        <w:spacing w:lineRule="auto" w:line="259"/>
        <w:rPr/>
      </w:pPr>
      <w:r>
        <w:rPr/>
      </w:r>
    </w:p>
    <w:p>
      <w:pPr>
        <w:pStyle w:val="ListParagraph"/>
        <w:numPr>
          <w:ilvl w:val="1"/>
          <w:numId w:val="1"/>
        </w:numPr>
        <w:spacing w:lineRule="auto" w:line="259"/>
        <w:rPr>
          <w:b/>
          <w:bCs/>
        </w:rPr>
      </w:pPr>
      <w:r>
        <w:rPr>
          <w:b/>
          <w:bCs/>
        </w:rPr>
        <w:t xml:space="preserve">Comparing to the reproducing kernel Hilbert Space Choice model of Yang(25), what are the pros and cons of Zhang(25)?  </w:t>
      </w:r>
    </w:p>
    <w:p>
      <w:pPr>
        <w:pStyle w:val="Normal"/>
        <w:spacing w:lineRule="auto" w:line="259"/>
        <w:rPr/>
      </w:pPr>
      <w:r>
        <w:rPr/>
        <w:t>The main cause of the issues we encountered in the Zhang25 paper are due to the exploding interaction space. This is closely matches what kernels claim to be good at, reducing the learning of these higher order interactions to a linear model of implicit features in an efficient way. Kernels would appear to be perfect for this task. However, they rely on some strong assumptions:</w:t>
      </w:r>
    </w:p>
    <w:p>
      <w:pPr>
        <w:pStyle w:val="ListParagraph"/>
        <w:numPr>
          <w:ilvl w:val="0"/>
          <w:numId w:val="2"/>
        </w:numPr>
        <w:spacing w:lineRule="auto" w:line="259"/>
        <w:rPr/>
      </w:pPr>
      <w:r>
        <w:rPr/>
        <w:t>We restrict our kernel space to RKHS where the reproducing property holds. Whilst the theoretical space is large, in practice we are limited to a few well-established kernels with academic justification. It’s unclear whether these kernels are a good fit for our situation. The learnt function exists in the non-explicitly defined feature space making it hard to assess what is being learnt. This is why multiple kernels are tested.</w:t>
      </w:r>
    </w:p>
    <w:p>
      <w:pPr>
        <w:pStyle w:val="ListParagraph"/>
        <w:numPr>
          <w:ilvl w:val="0"/>
          <w:numId w:val="2"/>
        </w:numPr>
        <w:spacing w:lineRule="auto" w:line="259"/>
        <w:rPr/>
      </w:pPr>
      <w:r>
        <w:rPr/>
        <w:t>We are reducing our learnt function down to the inner-product of our kernel functions. The information captured will be restricted to that which projects onto this inner product nicely. As kernels in effect reduce function learning to be a measure of similarity between sets, we are assuming that the Halo effects vary smoothly in line with the change in subset’s similarity. The kernel would fail to differentiate between Halo effects that are radically different in different situations. This contrasts with the flexible nature of neural networks.</w:t>
      </w:r>
    </w:p>
    <w:p>
      <w:pPr>
        <w:pStyle w:val="ListParagraph"/>
        <w:numPr>
          <w:ilvl w:val="0"/>
          <w:numId w:val="2"/>
        </w:numPr>
        <w:spacing w:lineRule="auto" w:line="259"/>
        <w:rPr/>
      </w:pPr>
      <w:r>
        <w:rPr/>
        <w:t>We reduce a vector kernel into a scalar kernel and a learnt mapping. This places additional pressure on the final approximated function as we are applying a bottleneck where all info must first be reduced to a scalar.</w:t>
      </w:r>
    </w:p>
    <w:p>
      <w:pPr>
        <w:pStyle w:val="ListParagraph"/>
        <w:numPr>
          <w:ilvl w:val="0"/>
          <w:numId w:val="2"/>
        </w:numPr>
        <w:spacing w:lineRule="auto" w:line="259"/>
        <w:rPr/>
      </w:pPr>
      <w:r>
        <w:rPr/>
        <w:t>In the case of a neural network kernel, our mathematical construction is based on the theoretical setup of an infinitely wide neural network with randoms weights. This does not imply equivalence to a trained neural network in anyway, they are simply testing a different theoretical kernel with limited justification.</w:t>
      </w:r>
    </w:p>
    <w:p>
      <w:pPr>
        <w:pStyle w:val="Normal"/>
        <w:spacing w:lineRule="auto" w:line="259"/>
        <w:rPr/>
      </w:pPr>
      <w:r>
        <w:rPr/>
        <w:t>These restrictions on the learnt function are extremely abstract and make it extremely hard to assess how much pressure they place on the final learnt function. This approach certainly doesn’t give us interpretability. The empirical results look promising. This is in line with the Zhang25 paper and other neural network approaches: limited tractability but good results.</w:t>
      </w:r>
    </w:p>
    <w:p>
      <w:pPr>
        <w:pStyle w:val="Normal"/>
        <w:spacing w:lineRule="auto" w:line="259"/>
        <w:rPr/>
      </w:pPr>
      <w:r>
        <w:rPr/>
      </w:r>
    </w:p>
    <w:p>
      <w:pPr>
        <w:pStyle w:val="ListParagraph"/>
        <w:numPr>
          <w:ilvl w:val="1"/>
          <w:numId w:val="1"/>
        </w:numPr>
        <w:spacing w:lineRule="auto" w:line="259"/>
        <w:rPr>
          <w:b/>
          <w:bCs/>
        </w:rPr>
      </w:pPr>
      <w:r>
        <w:rPr>
          <w:b/>
          <w:bCs/>
        </w:rPr>
        <w:t>Do you think these models are suitable for the task of demand estimation of credit card offers?  What are the potential problems or challenges?</w:t>
      </w:r>
    </w:p>
    <w:p>
      <w:pPr>
        <w:pStyle w:val="Normal"/>
        <w:spacing w:lineRule="auto" w:line="259"/>
        <w:rPr/>
      </w:pPr>
      <w:r>
        <w:rPr/>
        <w:t>The model captures interaction effects between offers and can incorporate detailed feature information at the offer level. This makes it suitable, in principle, for modelling substitution and cannibalisation effects within an offer menu.</w:t>
      </w:r>
    </w:p>
    <w:p>
      <w:pPr>
        <w:pStyle w:val="Normal"/>
        <w:spacing w:lineRule="auto" w:line="259"/>
        <w:rPr/>
      </w:pPr>
      <w:r>
        <w:rPr/>
        <w:t>The synthetic data used for development exhibits good saturation of the underlying context effects the model is designed to learn. It is unclear whether the model would perform as well on sparse real-world datasets, where context effects may be weak, poorly identified, or where new offers appear that were not observed during training. Sparse data optimisation might be more relevant.</w:t>
      </w:r>
    </w:p>
    <w:p>
      <w:pPr>
        <w:pStyle w:val="Normal"/>
        <w:spacing w:lineRule="auto" w:line="259"/>
        <w:rPr/>
      </w:pPr>
      <w:r>
        <w:rPr/>
        <w:t>Interpretability remains limited. While this is problematic in heavily regulated environments, greater clarity would also be beneficial for internal risk profiling and governance. The model attempts to address this through structural constraints, but the resulting interpretability may still be insufficient for production use.</w:t>
      </w:r>
    </w:p>
    <w:p>
      <w:pPr>
        <w:pStyle w:val="Normal"/>
        <w:spacing w:lineRule="auto" w:line="259"/>
        <w:rPr/>
      </w:pPr>
      <w:r>
        <w:rPr/>
        <w:t>Further engagement with the choice-set optimisation literature may be more productive. This shifts the focus from predicting which offer a consumer will select to designing offer menus that maximise profit, engagement, or long-term loyalty.</w:t>
      </w:r>
    </w:p>
    <w:p>
      <w:pPr>
        <w:pStyle w:val="Normal"/>
        <w:spacing w:lineRule="auto" w:line="259"/>
        <w:ind w:firstLine="720"/>
        <w:rPr/>
      </w:pPr>
      <w:r>
        <w:rPr/>
      </w:r>
    </w:p>
    <w:p>
      <w:pPr>
        <w:pStyle w:val="ListParagraph"/>
        <w:numPr>
          <w:ilvl w:val="1"/>
          <w:numId w:val="1"/>
        </w:numPr>
        <w:spacing w:lineRule="auto" w:line="259"/>
        <w:rPr>
          <w:b/>
          <w:bCs/>
        </w:rPr>
      </w:pPr>
      <w:r>
        <w:rPr>
          <w:b/>
          <w:bCs/>
        </w:rPr>
        <w:t xml:space="preserve">What are other models, traditional non-neural network based, or ML models that you think are more suitable or at least worth trying? Why? </w:t>
      </w:r>
    </w:p>
    <w:p>
      <w:pPr>
        <w:pStyle w:val="Normal"/>
        <w:spacing w:lineRule="auto" w:line="259"/>
        <w:rPr/>
      </w:pPr>
      <w:r>
        <w:rPr/>
        <w:t>As I do not have a complete understanding of the full regulatory, commercial, and operational requirements governing credit card products, I am cautious about proposing concrete solutions.</w:t>
      </w:r>
    </w:p>
    <w:p>
      <w:pPr>
        <w:pStyle w:val="Normal"/>
        <w:spacing w:lineRule="auto" w:line="259"/>
        <w:rPr/>
      </w:pPr>
      <w:r>
        <w:rPr/>
        <w:t xml:space="preserve">A natural first null hypothesis would be to establish if these models outperform human judgement in this setting. Human operators bring substantial domain knowledge and intuition about customer behaviour, including an understanding of behavioural subtleties, framing effects, and practical constraints that are difficult to encode explicitly in a model. As a result, it is not obvious that a data-driven model will consistently design better offer sets than experienced practitioners. </w:t>
      </w:r>
    </w:p>
    <w:p>
      <w:pPr>
        <w:pStyle w:val="Normal"/>
        <w:spacing w:lineRule="auto" w:line="259"/>
        <w:rPr/>
      </w:pPr>
      <w:r>
        <w:rPr/>
        <w:t>Given the vast amounts of data that banks hold on individual purchasing patterns, recommendation systems are often viewed as the industry standard for modelling choice. However, the extensive literature on individual profiling raises significant compliance and governance questions that would require careful investigation. Even if such approaches are legally permissible, there is a risk of consumer backlash if a bank that is expected to act as a trusted financial backbone is perceived as using personal data in an overly exploitative or intrusive way. This could however lead to customer alienation and reputational damage.</w:t>
      </w:r>
    </w:p>
    <w:p>
      <w:pPr>
        <w:pStyle w:val="Normal"/>
        <w:spacing w:lineRule="auto" w:line="259"/>
        <w:rPr/>
      </w:pPr>
      <w:r>
        <w:rPr/>
        <w:t>Gradient boosted trees are known to perform well in feature-rich settings and are able to handle complex, heterogeneous data types with minimal feature engineering. As such, they are often strong predictive baselines in applied problems. However, they are not aligned with the theoretical foundations of choice modelling, as they do not impose a utility-based structure, lack a clear interpretation of substitution patterns, and do not naturally respect choice-set constraints.</w:t>
      </w:r>
    </w:p>
    <w:p>
      <w:pPr>
        <w:pStyle w:val="Normal"/>
        <w:spacing w:lineRule="auto" w:line="259"/>
        <w:rPr/>
      </w:pPr>
      <w:r>
        <w:rPr/>
        <w:t>In addition to these tree-based approaches, several neural network–based choice models have been discussed as benchmarks. These models offer greater flexibility and predictive power than classical discrete choice models, but typically do so at the cost of interpretability and theoretical transparency.</w:t>
      </w:r>
    </w:p>
    <w:p>
      <w:pPr>
        <w:pStyle w:val="Normal"/>
        <w:spacing w:lineRule="auto" w:line="259"/>
        <w:rPr/>
      </w:pPr>
      <w:r>
        <w:rPr/>
        <w:t>As discussed above, the paper’s implementation does not ultimately deliver a high level of interpretability. If the objective is to support decision-making in the heavily regulated context of credit card offers, simpler tools that assist a human operator in setting offer menus may therefore be more appropriate. Techniques such clustering, correlation or co-purchase matrices, and historical comparisons of what has and has not worked in the past would provide direct, actionable insight. These approaches naturally support a human-in-the-loop decision process, where judgement, accountability, and transparency are prioritised over fully automated optimisation.</w:t>
      </w:r>
    </w:p>
    <w:p>
      <w:pPr>
        <w:pStyle w:val="Normal"/>
        <w:spacing w:lineRule="auto" w:line="259"/>
        <w:rPr/>
      </w:pPr>
      <w:r>
        <w:rPr/>
        <w:t>I have also built an alternative architecture to the author’s implementation that preserves the core structural ideas while making the layer-by-layer behaviour maintain linear separability. In particular, the model maintains a linear learning structure with residual updates, so that interaction effects are introduced progressively with depth and lower-order effects are preserved. By keeping the representation aligned with the item dimension at every layer and exposing the output at each stage, the model allows the contribution of successive interaction orders to be analysed explicitly. This design sacrifices some flexibility relative to the paper’s implementation, but allows for interpretability at each layer.</w:t>
      </w:r>
    </w:p>
    <w:p>
      <w:pPr>
        <w:pStyle w:val="Normal"/>
        <w:spacing w:lineRule="auto" w:line="259"/>
        <w:rPr/>
      </w:pPr>
      <w:r>
        <w:rPr/>
        <w:t>In the stacked model, we have a featureless, layer-wise context-dependent choice model designed to make the effect of increasing interaction order explicit. This allows us to produce a choice probability distribution for each layer of the model.</w:t>
      </w:r>
    </w:p>
    <w:p>
      <w:pPr>
        <w:pStyle w:val="Normal"/>
        <w:spacing w:lineRule="auto" w:line="259"/>
        <w:rPr/>
      </w:pPr>
      <w:r>
        <w:rPr/>
        <w:t xml:space="preserve">The model begins with a linear embedding of the input </w:t>
      </w:r>
      <w:r>
        <w:rPr/>
      </w:r>
      <m:oMath xmlns:m="http://schemas.openxmlformats.org/officeDocument/2006/math">
        <m:r>
          <m:t xml:space="preserve">z</m:t>
        </m:r>
        <m:r>
          <m:t xml:space="preserve">1</m:t>
        </m:r>
        <m:r>
          <m:t xml:space="preserve">​</m:t>
        </m:r>
        <m:r>
          <m:rPr>
            <m:lit/>
            <m:nor/>
          </m:rPr>
          <m:t xml:space="preserve">=</m:t>
        </m:r>
        <m:r>
          <m:t xml:space="preserve">W</m:t>
        </m:r>
        <m:r>
          <m:t xml:space="preserve">1</m:t>
        </m:r>
        <m:r>
          <m:t xml:space="preserve">​</m:t>
        </m:r>
        <m:r>
          <m:t xml:space="preserve">x</m:t>
        </m:r>
      </m:oMath>
    </w:p>
    <w:p>
      <w:pPr>
        <w:pStyle w:val="Normal"/>
        <w:spacing w:lineRule="auto" w:line="259"/>
        <w:rPr/>
      </w:pPr>
      <w:r>
        <w:rPr/>
        <w:t>Subsequent layers follow a residual recursion of the form</w:t>
      </w:r>
    </w:p>
    <w:p>
      <w:pPr>
        <w:pStyle w:val="Normal"/>
        <w:spacing w:lineRule="auto" w:line="259"/>
        <w:jc w:val="center"/>
        <w:rPr>
          <w:iCs/>
        </w:rPr>
      </w:pPr>
      <w:r>
        <w:rPr/>
      </w:r>
      <m:oMathPara xmlns:m="http://schemas.openxmlformats.org/officeDocument/2006/math">
        <m:oMathParaPr>
          <m:jc m:val="center"/>
        </m:oMathParaPr>
        <m:oMath>
          <m:sSub>
            <m:e>
              <m:r>
                <m:t xml:space="preserve">z</m:t>
              </m:r>
            </m:e>
            <m:sub>
              <m:r>
                <m:t xml:space="preserve">l</m:t>
              </m:r>
              <m:r>
                <m:rPr>
                  <m:lit/>
                  <m:nor/>
                </m:rPr>
                <m:t xml:space="preserve">+</m:t>
              </m:r>
              <m:r>
                <m:t xml:space="preserve">1</m:t>
              </m:r>
            </m:sub>
          </m:sSub>
          <m:r>
            <m:rPr>
              <m:lit/>
              <m:nor/>
            </m:rPr>
            <m:t xml:space="preserve">=</m:t>
          </m:r>
          <m:sSub>
            <m:e>
              <m:r>
                <m:t xml:space="preserve">z</m:t>
              </m:r>
            </m:e>
            <m:sub>
              <m:r>
                <m:t xml:space="preserve">l</m:t>
              </m:r>
            </m:sub>
          </m:sSub>
          <m:r>
            <m:rPr>
              <m:lit/>
              <m:nor/>
            </m:rPr>
            <m:t xml:space="preserve">+</m:t>
          </m:r>
          <m:sSub>
            <m:e>
              <m:r>
                <m:t xml:space="preserve">W</m:t>
              </m:r>
            </m:e>
            <m:sub>
              <m:r>
                <m:t xml:space="preserve">l</m:t>
              </m:r>
              <m:r>
                <m:rPr>
                  <m:lit/>
                  <m:nor/>
                </m:rPr>
                <m:t xml:space="preserve">+</m:t>
              </m:r>
              <m:r>
                <m:t xml:space="preserve">1</m:t>
              </m:r>
            </m:sub>
          </m:sSub>
          <m:r>
            <m:t xml:space="preserve">(</m:t>
          </m:r>
          <m:sSub>
            <m:e>
              <m:r>
                <m:t xml:space="preserve">z</m:t>
              </m:r>
            </m:e>
            <m:sub>
              <m:r>
                <m:t xml:space="preserve">l</m:t>
              </m:r>
            </m:sub>
          </m:sSub>
          <m:r>
            <m:t xml:space="preserve">⊙</m:t>
          </m:r>
          <m:r>
            <m:t xml:space="preserve">x</m:t>
          </m:r>
          <m:r>
            <m:t xml:space="preserve">)</m:t>
          </m:r>
        </m:oMath>
      </m:oMathPara>
    </w:p>
    <w:p>
      <w:pPr>
        <w:pStyle w:val="Normal"/>
        <w:spacing w:lineRule="auto" w:line="259"/>
        <w:rPr/>
      </w:pPr>
      <w:r>
        <w:rPr/>
        <w:t>This structure ensures a residual network where each layer’s updates are provided with an additional linear input of the base items.</w:t>
      </w:r>
    </w:p>
    <w:p>
      <w:pPr>
        <w:pStyle w:val="Normal"/>
        <w:spacing w:lineRule="auto" w:line="259"/>
        <w:rPr/>
      </w:pPr>
      <w:r>
        <w:rPr/>
        <w:t>A key design choice is that each layer has width J, matching the number of items, so that the latent representation can be interpreted directly as utilities for each item. At every layer, a softmax is applied to obtain a valid probability distribution over items. These probabilities are not fed into subsequent layers but included directly in the training loss. While the residual structure already encourages a separation by interaction order, this explicit supervision provides a stronger enforcement of layer-wise separation of order effects. They can still be used for per-layer evaluations.</w:t>
      </w:r>
    </w:p>
    <w:p>
      <w:pPr>
        <w:pStyle w:val="Normal"/>
        <w:spacing w:lineRule="auto" w:line="259"/>
        <w:rPr/>
      </w:pPr>
      <w:r>
        <w:rPr/>
        <w:t>Unlike the paper’s main models this layer-wise analysis of predictive performance and sensitivity, allowing direct inspection of how successive interaction orders affect choice probabilities. This structure also clearly enforces the position of logits at each layer.</w:t>
      </w:r>
    </w:p>
    <w:p>
      <w:pPr>
        <w:pStyle w:val="Normal"/>
        <w:rPr/>
      </w:pPr>
      <w:r>
        <w:rPr/>
        <w:t>Under the same synthetic data setup and evaluation protocol, the stacked model achieves a test frequency-based RMSE of 0.0719, compared to 0.0711 for the featureless model. The difference in performance is negligible and well within the level of variation expected from stochastic training and finite sample effects. In terms of predictive accuracy on frequency-smoothed choice probabilities, the two models therefore perform almost identically.</w:t>
      </w:r>
    </w:p>
    <w:p>
      <w:pPr>
        <w:pStyle w:val="Normal"/>
        <w:rPr/>
      </w:pPr>
      <w:r>
        <w:rPr/>
        <w:t>We also clear examine how predictive performance improves at each layer of the architecture. At each layer, we report negative log-likelihood and accuracy to quantify improvements in fit as higher-order interactions are introduced. In addition, we measure the strength of context effects by computing the average absolute change in predicted choice probabilities for the top five most affected items when moving from one layer to the next. This evaluation highlights both the marginal predictive gains from increasing interaction order and the diminishing magnitude of higher-order context effects.</w:t>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871"/>
        <w:gridCol w:w="1830"/>
        <w:gridCol w:w="1831"/>
        <w:gridCol w:w="1742"/>
        <w:gridCol w:w="1742"/>
      </w:tblGrid>
      <w:tr>
        <w:trPr/>
        <w:tc>
          <w:tcPr>
            <w:tcW w:w="1871"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Layer</w:t>
            </w:r>
          </w:p>
        </w:tc>
        <w:tc>
          <w:tcPr>
            <w:tcW w:w="1830"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NLL</w:t>
            </w:r>
          </w:p>
        </w:tc>
        <w:tc>
          <w:tcPr>
            <w:tcW w:w="1831"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Δ NLL</w:t>
            </w:r>
          </w:p>
        </w:tc>
        <w:tc>
          <w:tcPr>
            <w:tcW w:w="1742"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 xml:space="preserve">Accuracy </w:t>
            </w:r>
          </w:p>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 of correct)</w:t>
            </w:r>
          </w:p>
        </w:tc>
        <w:tc>
          <w:tcPr>
            <w:tcW w:w="1742"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Δ in probs for top 5 items</w:t>
            </w:r>
          </w:p>
        </w:tc>
      </w:tr>
      <w:tr>
        <w:trPr/>
        <w:tc>
          <w:tcPr>
            <w:tcW w:w="1871"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Base</w:t>
            </w:r>
          </w:p>
        </w:tc>
        <w:tc>
          <w:tcPr>
            <w:tcW w:w="1830"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2.9263</w:t>
            </w:r>
          </w:p>
        </w:tc>
        <w:tc>
          <w:tcPr>
            <w:tcW w:w="1831"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r>
          </w:p>
        </w:tc>
        <w:tc>
          <w:tcPr>
            <w:tcW w:w="1742"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0.0669</w:t>
            </w:r>
          </w:p>
        </w:tc>
        <w:tc>
          <w:tcPr>
            <w:tcW w:w="1742"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r>
          </w:p>
        </w:tc>
      </w:tr>
      <w:tr>
        <w:trPr/>
        <w:tc>
          <w:tcPr>
            <w:tcW w:w="1871"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2</w:t>
            </w:r>
          </w:p>
        </w:tc>
        <w:tc>
          <w:tcPr>
            <w:tcW w:w="1830"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2.8355</w:t>
            </w:r>
          </w:p>
        </w:tc>
        <w:tc>
          <w:tcPr>
            <w:tcW w:w="1831"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0.0908</w:t>
            </w:r>
          </w:p>
        </w:tc>
        <w:tc>
          <w:tcPr>
            <w:tcW w:w="1742"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0.0659</w:t>
            </w:r>
          </w:p>
        </w:tc>
        <w:tc>
          <w:tcPr>
            <w:tcW w:w="1742"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2.83%</w:t>
            </w:r>
          </w:p>
        </w:tc>
      </w:tr>
      <w:tr>
        <w:trPr/>
        <w:tc>
          <w:tcPr>
            <w:tcW w:w="1871"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3</w:t>
            </w:r>
          </w:p>
        </w:tc>
        <w:tc>
          <w:tcPr>
            <w:tcW w:w="1830"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2.7954</w:t>
            </w:r>
          </w:p>
        </w:tc>
        <w:tc>
          <w:tcPr>
            <w:tcW w:w="1831"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0.0401</w:t>
            </w:r>
          </w:p>
        </w:tc>
        <w:tc>
          <w:tcPr>
            <w:tcW w:w="1742"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0.0669</w:t>
            </w:r>
          </w:p>
        </w:tc>
        <w:tc>
          <w:tcPr>
            <w:tcW w:w="1742"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1.94%</w:t>
            </w:r>
          </w:p>
        </w:tc>
      </w:tr>
      <w:tr>
        <w:trPr/>
        <w:tc>
          <w:tcPr>
            <w:tcW w:w="1871"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4</w:t>
            </w:r>
          </w:p>
        </w:tc>
        <w:tc>
          <w:tcPr>
            <w:tcW w:w="1830"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2.7798</w:t>
            </w:r>
          </w:p>
        </w:tc>
        <w:tc>
          <w:tcPr>
            <w:tcW w:w="1831"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0.0156</w:t>
            </w:r>
          </w:p>
        </w:tc>
        <w:tc>
          <w:tcPr>
            <w:tcW w:w="1742"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0.0679</w:t>
            </w:r>
          </w:p>
        </w:tc>
        <w:tc>
          <w:tcPr>
            <w:tcW w:w="1742"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1.61%</w:t>
            </w:r>
          </w:p>
        </w:tc>
      </w:tr>
      <w:tr>
        <w:trPr/>
        <w:tc>
          <w:tcPr>
            <w:tcW w:w="1871"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5</w:t>
            </w:r>
          </w:p>
        </w:tc>
        <w:tc>
          <w:tcPr>
            <w:tcW w:w="1830"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2.7549</w:t>
            </w:r>
          </w:p>
        </w:tc>
        <w:tc>
          <w:tcPr>
            <w:tcW w:w="1831"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0.0249</w:t>
            </w:r>
          </w:p>
        </w:tc>
        <w:tc>
          <w:tcPr>
            <w:tcW w:w="1742"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0.0685</w:t>
            </w:r>
          </w:p>
        </w:tc>
        <w:tc>
          <w:tcPr>
            <w:tcW w:w="1742" w:type="dxa"/>
            <w:tcBorders/>
          </w:tcPr>
          <w:p>
            <w:pPr>
              <w:pStyle w:val="Normal"/>
              <w:widowControl/>
              <w:spacing w:lineRule="auto" w:line="240" w:before="0" w:after="0"/>
              <w:jc w:val="start"/>
              <w:rPr>
                <w:rFonts w:ascii="Calibri" w:hAnsi="Calibri" w:eastAsia="等线" w:cs=""/>
                <w:kern w:val="2"/>
                <w:sz w:val="24"/>
                <w:szCs w:val="24"/>
                <w:lang w:val="en-GB" w:eastAsia="zh-CN" w:bidi="ar-SA"/>
              </w:rPr>
            </w:pPr>
            <w:r>
              <w:rPr>
                <w:rFonts w:eastAsia="等线" w:cs=""/>
                <w:kern w:val="2"/>
                <w:sz w:val="24"/>
                <w:szCs w:val="24"/>
                <w:lang w:val="en-GB" w:eastAsia="zh-CN" w:bidi="ar-SA"/>
              </w:rPr>
              <w:t>1.37%</w:t>
            </w:r>
          </w:p>
        </w:tc>
      </w:tr>
    </w:tbl>
    <w:p>
      <w:pPr>
        <w:pStyle w:val="Normal"/>
        <w:rPr/>
      </w:pPr>
      <w:r>
        <w:rPr/>
      </w:r>
    </w:p>
    <w:p>
      <w:pPr>
        <w:pStyle w:val="Normal"/>
        <w:spacing w:lineRule="auto" w:line="259"/>
        <w:rPr/>
      </w:pPr>
      <w:r>
        <w:rPr/>
        <w:t>Running `python evaluate.py –config evalutate_config_stacked.yaml’ will give further details on how much each layer will change items’ probabilities and in which direction.</w:t>
      </w:r>
    </w:p>
    <w:p>
      <w:pPr>
        <w:pStyle w:val="Normal"/>
        <w:spacing w:lineRule="auto" w:line="259"/>
        <w:rPr/>
      </w:pPr>
      <w:r>
        <w:rPr/>
      </w:r>
    </w:p>
    <w:p>
      <w:pPr>
        <w:pStyle w:val="Normal"/>
        <w:spacing w:lineRule="auto" w:line="259"/>
        <w:rPr>
          <w:b/>
          <w:bCs/>
        </w:rPr>
      </w:pPr>
      <w:r>
        <w:rPr>
          <w:b/>
          <w:bCs/>
        </w:rPr>
        <w:t>Testing</w:t>
      </w:r>
    </w:p>
    <w:p>
      <w:pPr>
        <w:pStyle w:val="Normal"/>
        <w:spacing w:lineRule="auto" w:line="259"/>
        <w:rPr/>
      </w:pPr>
      <w:r>
        <w:rPr/>
        <w:t>We have implemented a pytest suite that exercises the full framework implementation. We have also tested the two Deep Halo models used within the choice_learn framework. The tests are designed to validate correctness, robustness, and reproducibility rather than raw performance.</w:t>
      </w:r>
    </w:p>
    <w:p>
      <w:pPr>
        <w:pStyle w:val="Normal"/>
        <w:spacing w:lineRule="auto" w:line="259"/>
        <w:rPr/>
      </w:pPr>
      <w:r>
        <w:rPr/>
        <w:t>For the full model pipeline, we treat train.py, continue_train.py, and evaluate.py as black-box command-line entry-points driven entirely by config files. Using small synthetic datasets, we test that training, continued training, and evaluation run end-to-end, correctly save and reload models, and produce valid outputs. We also explicitly test failure modes, including missing input files, invalid configuration values, malformed datasets, and incompatible settings, to ensure that errors are detected early and reported clearly rather than failing silently or deep inside the training loop.</w:t>
      </w:r>
    </w:p>
    <w:p>
      <w:pPr>
        <w:pStyle w:val="Normal"/>
        <w:spacing w:lineRule="auto" w:line="259"/>
        <w:rPr/>
      </w:pPr>
      <w:r>
        <w:rPr/>
        <w:t>For the choice_learn framework, we directly test the featureless and feature-based Deep Halo model implementations in isolation. These tests verify correct input shape handling, masking of unavailable or padded items, numerical stability of forward passes and gradients, correct behaviour of the wrapper interfaces, configuration round-tripping, and compatibility with Keras save/load mechanisms. These tests ensure that the core modelling components behave correctly on their own and provide stable, well-defined building blocks for the higher-level training and evaluation code.</w:t>
      </w:r>
    </w:p>
    <w:p>
      <w:pPr>
        <w:pStyle w:val="Normal"/>
        <w:spacing w:lineRule="auto" w:line="259"/>
        <w:rPr/>
      </w:pPr>
      <w:r>
        <w:rPr/>
        <w:t>All core components of the system are tested with explicit, observable behaviour. At the pipeline level, we have implemented and tested the full lifecycle of the model, including training, continued training, evaluation, configuration validation, data loading, checkpointing, and model persistence. In the choice_learn environment, we have implemented and tested the featureless and feature-based DeepHalo models in isolation, validating their input requirements, masking logic, numerical stability, gradient behaviour, configuration round-tripping, and save/load. This way, we can justify that the implementation is functionally complete with respect to the stated scope and the modelling assumptions we claim to support.</w:t>
      </w:r>
    </w:p>
    <w:p>
      <w:pPr>
        <w:pStyle w:val="Normal"/>
        <w:spacing w:lineRule="auto" w:line="259"/>
        <w:rPr/>
      </w:pPr>
      <w:r>
        <w:rPr/>
      </w:r>
    </w:p>
    <w:p>
      <w:pPr>
        <w:pStyle w:val="Normal"/>
        <w:spacing w:lineRule="auto" w:line="259"/>
        <w:rPr>
          <w:b/>
          <w:bCs/>
        </w:rPr>
      </w:pPr>
      <w:r>
        <w:rPr>
          <w:b/>
          <w:bCs/>
        </w:rPr>
        <w:t>Conclusion</w:t>
      </w:r>
    </w:p>
    <w:p>
      <w:pPr>
        <w:pStyle w:val="Normal"/>
        <w:spacing w:lineRule="auto" w:line="259"/>
        <w:rPr/>
      </w:pPr>
      <w:r>
        <w:rPr/>
        <w:t>This report has shown that, while the Zhang25 model is theoretically well motivated and can be implemented to reproduce the authors’ reported results, practical considerations significantly weaken its claims of tractability and interpretability. The architectural simplifications required for scalability effectively reduce the model to a residual neural network, making the intended decomposition into interaction orders difficult to validate in practice. Empirical results indicate competitive predictive performance, but provide limited evidence that higher-order context effects are either identifiable or actionable in real-world settings. Overall, the model is best viewed as a flexible predictive tool rather than a transparent framework for analysing context effects.</w:t>
      </w:r>
    </w:p>
    <w:p>
      <w:pPr>
        <w:pStyle w:val="Normal"/>
        <w:spacing w:lineRule="auto" w:line="259"/>
        <w:rPr/>
      </w:pPr>
      <w:r>
        <w:rPr/>
      </w:r>
    </w:p>
    <w:sdt>
      <w:sdtPr>
        <w:docPartObj>
          <w:docPartGallery w:val="Bibliographies"/>
          <w:docPartUnique w:val="true"/>
        </w:docPartObj>
      </w:sdtPr>
      <w:sdtContent>
        <w:p>
          <w:pPr>
            <w:pStyle w:val="Heading1"/>
            <w:rPr/>
          </w:pPr>
          <w:r>
            <w:rPr/>
            <w:t>References</w:t>
          </w:r>
        </w:p>
        <w:p>
          <w:pPr>
            <w:pStyle w:val="Bibliography"/>
            <w:ind w:hanging="720" w:start="720"/>
            <w:rPr>
              <w:kern w:val="0"/>
              <w14:ligatures w14:val="none"/>
            </w:rPr>
          </w:pPr>
          <w:r>
            <w:fldChar w:fldCharType="begin"/>
          </w:r>
          <w:r>
            <w:rPr/>
            <w:instrText xml:space="preserve"> BIBLIOGRAPHY </w:instrText>
          </w:r>
          <w:r>
            <w:rPr/>
            <w:fldChar w:fldCharType="separate"/>
          </w:r>
          <w:r>
            <w:rPr/>
            <w:t xml:space="preserve">Batsell, R. R. (1985). A new class of market share models. </w:t>
          </w:r>
          <w:r>
            <w:rPr>
              <w:i/>
              <w:iCs/>
            </w:rPr>
            <w:t>Marketing Science</w:t>
          </w:r>
          <w:r>
            <w:rPr/>
            <w:t>.</w:t>
          </w:r>
        </w:p>
        <w:p>
          <w:pPr>
            <w:pStyle w:val="Bibliography"/>
            <w:ind w:hanging="720" w:start="720"/>
            <w:rPr/>
          </w:pPr>
          <w:r>
            <w:rPr/>
            <w:t xml:space="preserve">He, K. Z. (2016). Deep residual learning for image recognition. </w:t>
          </w:r>
          <w:r>
            <w:rPr>
              <w:i/>
              <w:iCs/>
            </w:rPr>
            <w:t>Proceedings of the IEEE conference on computer vision and pattern recognition</w:t>
          </w:r>
          <w:r>
            <w:rPr/>
            <w:t>.</w:t>
          </w:r>
        </w:p>
        <w:p>
          <w:pPr>
            <w:pStyle w:val="Bibliography"/>
            <w:ind w:hanging="720" w:start="720"/>
            <w:rPr/>
          </w:pPr>
          <w:r>
            <w:rPr/>
            <w:t xml:space="preserve">McFadden, D. &amp;. (2000). Mixed MNL models for discrete response. </w:t>
          </w:r>
          <w:r>
            <w:rPr>
              <w:i/>
              <w:iCs/>
            </w:rPr>
            <w:t>Journal of applied Econometrics</w:t>
          </w:r>
          <w:r>
            <w:rPr/>
            <w:t>.</w:t>
          </w:r>
        </w:p>
        <w:p>
          <w:pPr>
            <w:pStyle w:val="Bibliography"/>
            <w:ind w:hanging="720" w:start="720"/>
            <w:rPr/>
          </w:pPr>
          <w:r>
            <w:rPr/>
            <w:t>McFadden, D. (1972). Conditional logit analysis of qualitative choice behavior.</w:t>
          </w:r>
        </w:p>
        <w:p>
          <w:pPr>
            <w:pStyle w:val="Bibliography"/>
            <w:ind w:hanging="720" w:start="720"/>
            <w:rPr/>
          </w:pPr>
          <w:r>
            <w:rPr/>
            <w:t xml:space="preserve">McFadden, D. (2001). Economic choices. </w:t>
          </w:r>
          <w:r>
            <w:rPr>
              <w:i/>
              <w:iCs/>
            </w:rPr>
            <w:t>American economic review</w:t>
          </w:r>
          <w:r>
            <w:rPr/>
            <w:t>.</w:t>
          </w:r>
        </w:p>
        <w:p>
          <w:pPr>
            <w:pStyle w:val="Bibliography"/>
            <w:ind w:hanging="720" w:start="720"/>
            <w:rPr/>
          </w:pPr>
          <w:r>
            <w:rPr/>
            <w:t xml:space="preserve">Sifringer, B. L. (2020). Enhancing discrete choice models with representation learning. </w:t>
          </w:r>
          <w:r>
            <w:rPr>
              <w:i/>
              <w:iCs/>
            </w:rPr>
            <w:t>Transportation Research Part B: Methodological</w:t>
          </w:r>
          <w:r>
            <w:rPr/>
            <w:t>.</w:t>
          </w:r>
        </w:p>
        <w:p>
          <w:pPr>
            <w:pStyle w:val="Bibliography"/>
            <w:ind w:hanging="720" w:start="720"/>
            <w:rPr/>
          </w:pPr>
          <w:r>
            <w:rPr/>
            <w:t xml:space="preserve">Thorndike, E. L. (1920). A constant error in psychological ratings. . </w:t>
          </w:r>
          <w:r>
            <w:rPr>
              <w:i/>
              <w:iCs/>
            </w:rPr>
            <w:t>Journal of applied psychology,</w:t>
          </w:r>
          <w:r>
            <w:rPr/>
            <w:t>.</w:t>
          </w:r>
        </w:p>
        <w:p>
          <w:pPr>
            <w:pStyle w:val="Bibliography"/>
            <w:ind w:hanging="720" w:start="720"/>
            <w:rPr/>
          </w:pPr>
          <w:r>
            <w:rPr/>
            <w:t xml:space="preserve">Train, K. E. (2009). </w:t>
          </w:r>
          <w:r>
            <w:rPr>
              <w:i/>
              <w:iCs/>
            </w:rPr>
            <w:t>Discrete choice methods with simulation.</w:t>
          </w:r>
          <w:r>
            <w:rPr/>
            <w:t xml:space="preserve"> Cambridge university press.</w:t>
          </w:r>
        </w:p>
        <w:p>
          <w:pPr>
            <w:pStyle w:val="Bibliography"/>
            <w:ind w:hanging="720" w:start="720"/>
            <w:rPr/>
          </w:pPr>
          <w:r>
            <w:rPr/>
            <w:t xml:space="preserve">Zaheer, M. K. (2017). Deep sets. </w:t>
          </w:r>
          <w:r>
            <w:rPr>
              <w:i/>
              <w:iCs/>
            </w:rPr>
            <w:t xml:space="preserve">Advances in neural information processing systems 30 </w:t>
          </w:r>
          <w:r>
            <w:rPr/>
            <w:t>.</w:t>
          </w:r>
        </w:p>
        <w:p>
          <w:pPr>
            <w:pStyle w:val="Normal"/>
            <w:rPr/>
          </w:pPr>
          <w:r>
            <w:rPr/>
          </w:r>
          <w:r>
            <w:rPr/>
            <w:fldChar w:fldCharType="end"/>
          </w:r>
        </w:p>
      </w:sdtContent>
    </w:sdt>
    <w:p>
      <w:pPr>
        <w:pStyle w:val="Normal"/>
        <w:spacing w:before="0" w:after="160"/>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ambria Math">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Symbol" w:hAnsi="Symbol" w:cs="Symbol" w:hint="default"/>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3">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4">
    <w:lvl w:ilvl="0">
      <w:start w:val="1"/>
      <w:numFmt w:val="bullet"/>
      <w:lvlText w:val=""/>
      <w:lvlJc w:val="start"/>
      <w:pPr>
        <w:tabs>
          <w:tab w:val="num" w:pos="360"/>
        </w:tabs>
        <w:ind w:start="360" w:hanging="360"/>
      </w:pPr>
      <w:rPr>
        <w:rFonts w:ascii="Symbol" w:hAnsi="Symbol" w:cs="Symbol" w:hint="default"/>
        <w:sz w:val="20"/>
      </w:rPr>
    </w:lvl>
    <w:lvl w:ilvl="1">
      <w:start w:val="1"/>
      <w:numFmt w:val="bullet"/>
      <w:lvlText w:val="o"/>
      <w:lvlJc w:val="start"/>
      <w:pPr>
        <w:tabs>
          <w:tab w:val="num" w:pos="1080"/>
        </w:tabs>
        <w:ind w:start="1080" w:hanging="360"/>
      </w:pPr>
      <w:rPr>
        <w:rFonts w:ascii="Courier New" w:hAnsi="Courier New" w:cs="Courier New" w:hint="default"/>
        <w:sz w:val="20"/>
      </w:rPr>
    </w:lvl>
    <w:lvl w:ilvl="2">
      <w:start w:val="1"/>
      <w:numFmt w:val="bullet"/>
      <w:lvlText w:val=""/>
      <w:lvlJc w:val="start"/>
      <w:pPr>
        <w:tabs>
          <w:tab w:val="num" w:pos="1800"/>
        </w:tabs>
        <w:ind w:start="1800" w:hanging="360"/>
      </w:pPr>
      <w:rPr>
        <w:rFonts w:ascii="Wingdings" w:hAnsi="Wingdings" w:cs="Wingdings" w:hint="default"/>
        <w:sz w:val="20"/>
      </w:rPr>
    </w:lvl>
    <w:lvl w:ilvl="3">
      <w:start w:val="1"/>
      <w:numFmt w:val="bullet"/>
      <w:lvlText w:val=""/>
      <w:lvlJc w:val="start"/>
      <w:pPr>
        <w:tabs>
          <w:tab w:val="num" w:pos="2520"/>
        </w:tabs>
        <w:ind w:start="2520" w:hanging="360"/>
      </w:pPr>
      <w:rPr>
        <w:rFonts w:ascii="Wingdings" w:hAnsi="Wingdings" w:cs="Wingdings" w:hint="default"/>
        <w:sz w:val="20"/>
      </w:rPr>
    </w:lvl>
    <w:lvl w:ilvl="4">
      <w:start w:val="1"/>
      <w:numFmt w:val="bullet"/>
      <w:lvlText w:val=""/>
      <w:lvlJc w:val="start"/>
      <w:pPr>
        <w:tabs>
          <w:tab w:val="num" w:pos="3240"/>
        </w:tabs>
        <w:ind w:start="3240" w:hanging="360"/>
      </w:pPr>
      <w:rPr>
        <w:rFonts w:ascii="Wingdings" w:hAnsi="Wingdings" w:cs="Wingdings" w:hint="default"/>
        <w:sz w:val="20"/>
      </w:rPr>
    </w:lvl>
    <w:lvl w:ilvl="5">
      <w:start w:val="1"/>
      <w:numFmt w:val="bullet"/>
      <w:lvlText w:val=""/>
      <w:lvlJc w:val="start"/>
      <w:pPr>
        <w:tabs>
          <w:tab w:val="num" w:pos="3960"/>
        </w:tabs>
        <w:ind w:start="3960" w:hanging="360"/>
      </w:pPr>
      <w:rPr>
        <w:rFonts w:ascii="Wingdings" w:hAnsi="Wingdings" w:cs="Wingdings" w:hint="default"/>
        <w:sz w:val="20"/>
      </w:rPr>
    </w:lvl>
    <w:lvl w:ilvl="6">
      <w:start w:val="1"/>
      <w:numFmt w:val="bullet"/>
      <w:lvlText w:val=""/>
      <w:lvlJc w:val="start"/>
      <w:pPr>
        <w:tabs>
          <w:tab w:val="num" w:pos="4680"/>
        </w:tabs>
        <w:ind w:start="4680" w:hanging="360"/>
      </w:pPr>
      <w:rPr>
        <w:rFonts w:ascii="Wingdings" w:hAnsi="Wingdings" w:cs="Wingdings" w:hint="default"/>
        <w:sz w:val="20"/>
      </w:rPr>
    </w:lvl>
    <w:lvl w:ilvl="7">
      <w:start w:val="1"/>
      <w:numFmt w:val="bullet"/>
      <w:lvlText w:val=""/>
      <w:lvlJc w:val="start"/>
      <w:pPr>
        <w:tabs>
          <w:tab w:val="num" w:pos="5400"/>
        </w:tabs>
        <w:ind w:start="5400" w:hanging="360"/>
      </w:pPr>
      <w:rPr>
        <w:rFonts w:ascii="Wingdings" w:hAnsi="Wingdings" w:cs="Wingdings" w:hint="default"/>
        <w:sz w:val="20"/>
      </w:rPr>
    </w:lvl>
    <w:lvl w:ilvl="8">
      <w:start w:val="1"/>
      <w:numFmt w:val="bullet"/>
      <w:lvlText w:val=""/>
      <w:lvlJc w:val="start"/>
      <w:pPr>
        <w:tabs>
          <w:tab w:val="num" w:pos="6120"/>
        </w:tabs>
        <w:ind w:start="6120" w:hanging="360"/>
      </w:pPr>
      <w:rPr>
        <w:rFonts w:ascii="Wingdings" w:hAnsi="Wingdings" w:cs="Wingdings" w:hint="default"/>
        <w:sz w:val="20"/>
      </w:rPr>
    </w:lvl>
  </w:abstractNum>
  <w:abstractNum w:abstractNumId="5">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6">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7">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8">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等线" w:cs="" w:asciiTheme="minorHAnsi" w:cstheme="minorBidi" w:eastAsiaTheme="minorEastAsia" w:hAnsiTheme="minorHAnsi"/>
        <w:kern w:val="2"/>
        <w:sz w:val="24"/>
        <w:szCs w:val="24"/>
        <w:lang w:val="en-GB"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Calibri" w:hAnsi="Calibri" w:eastAsia="等线" w:cs="" w:asciiTheme="minorHAnsi" w:cstheme="minorBidi" w:eastAsiaTheme="minorEastAsia" w:hAnsiTheme="minorHAnsi"/>
      <w:color w:val="auto"/>
      <w:kern w:val="2"/>
      <w:sz w:val="24"/>
      <w:szCs w:val="24"/>
      <w:lang w:val="en-GB" w:eastAsia="zh-CN" w:bidi="ar-SA"/>
      <w14:ligatures w14:val="standardContextual"/>
    </w:rPr>
  </w:style>
  <w:style w:type="paragraph" w:styleId="Heading1">
    <w:name w:val="heading 1"/>
    <w:basedOn w:val="Normal"/>
    <w:next w:val="Normal"/>
    <w:link w:val="Heading1Char"/>
    <w:uiPriority w:val="9"/>
    <w:qFormat/>
    <w:rsid w:val="003d287f"/>
    <w:pPr>
      <w:keepNext w:val="true"/>
      <w:keepLines/>
      <w:spacing w:before="360" w:after="80"/>
      <w:outlineLvl w:val="0"/>
    </w:pPr>
    <w:rPr>
      <w:rFonts w:ascii="Calibri Light" w:hAnsi="Calibri Light" w:eastAsia="等线 Light"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3d287f"/>
    <w:pPr>
      <w:keepNext w:val="true"/>
      <w:keepLines/>
      <w:spacing w:before="160" w:after="80"/>
      <w:outlineLvl w:val="1"/>
    </w:pPr>
    <w:rPr>
      <w:rFonts w:ascii="Calibri Light" w:hAnsi="Calibri Light" w:eastAsia="等线 Light"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3d287f"/>
    <w:pPr>
      <w:keepNext w:val="true"/>
      <w:keepLines/>
      <w:spacing w:before="160" w:after="80"/>
      <w:outlineLvl w:val="2"/>
    </w:pPr>
    <w:rPr>
      <w:rFonts w:eastAsia="等线 Light"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3d287f"/>
    <w:pPr>
      <w:keepNext w:val="true"/>
      <w:keepLines/>
      <w:spacing w:before="80" w:after="40"/>
      <w:outlineLvl w:val="3"/>
    </w:pPr>
    <w:rPr>
      <w:rFonts w:eastAsia="等线 Light"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3d287f"/>
    <w:pPr>
      <w:keepNext w:val="true"/>
      <w:keepLines/>
      <w:spacing w:before="80" w:after="40"/>
      <w:outlineLvl w:val="4"/>
    </w:pPr>
    <w:rPr>
      <w:rFonts w:eastAsia="等线 Light"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3d287f"/>
    <w:pPr>
      <w:keepNext w:val="true"/>
      <w:keepLines/>
      <w:spacing w:before="40" w:after="0"/>
      <w:outlineLvl w:val="5"/>
    </w:pPr>
    <w:rPr>
      <w:rFonts w:eastAsia="等线 Light"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d287f"/>
    <w:pPr>
      <w:keepNext w:val="true"/>
      <w:keepLines/>
      <w:spacing w:before="40" w:after="0"/>
      <w:outlineLvl w:val="6"/>
    </w:pPr>
    <w:rPr>
      <w:rFonts w:eastAsia="等线 Light"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d287f"/>
    <w:pPr>
      <w:keepNext w:val="true"/>
      <w:keepLines/>
      <w:spacing w:before="0" w:after="0"/>
      <w:outlineLvl w:val="7"/>
    </w:pPr>
    <w:rPr>
      <w:rFonts w:eastAsia="等线 Light"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d287f"/>
    <w:pPr>
      <w:keepNext w:val="true"/>
      <w:keepLines/>
      <w:spacing w:before="0" w:after="0"/>
      <w:outlineLvl w:val="8"/>
    </w:pPr>
    <w:rPr>
      <w:rFonts w:eastAsia="等线 Light"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d287f"/>
    <w:rPr>
      <w:rFonts w:ascii="Calibri Light" w:hAnsi="Calibri Light" w:eastAsia="等线 Light"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3d287f"/>
    <w:rPr>
      <w:rFonts w:ascii="Calibri Light" w:hAnsi="Calibri Light" w:eastAsia="等线 Light"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3d287f"/>
    <w:rPr>
      <w:rFonts w:eastAsia="等线 Light"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3d287f"/>
    <w:rPr>
      <w:rFonts w:eastAsia="等线 Light"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3d287f"/>
    <w:rPr>
      <w:rFonts w:eastAsia="等线 Light"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3d287f"/>
    <w:rPr>
      <w:rFonts w:eastAsia="等线 Light"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d287f"/>
    <w:rPr>
      <w:rFonts w:eastAsia="等线 Light"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d287f"/>
    <w:rPr>
      <w:rFonts w:eastAsia="等线 Light"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d287f"/>
    <w:rPr>
      <w:rFonts w:eastAsia="等线 Light" w:cs="" w:cstheme="majorBidi" w:eastAsiaTheme="majorEastAsia"/>
      <w:color w:themeColor="text1" w:themeTint="d8" w:val="272727"/>
    </w:rPr>
  </w:style>
  <w:style w:type="character" w:styleId="TitleChar" w:customStyle="1">
    <w:name w:val="Title Char"/>
    <w:basedOn w:val="DefaultParagraphFont"/>
    <w:link w:val="Title"/>
    <w:uiPriority w:val="10"/>
    <w:qFormat/>
    <w:rsid w:val="003d287f"/>
    <w:rPr>
      <w:rFonts w:ascii="Calibri Light" w:hAnsi="Calibri Light" w:eastAsia="等线 Light"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d287f"/>
    <w:rPr>
      <w:rFonts w:eastAsia="等线 Light"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d287f"/>
    <w:rPr>
      <w:i/>
      <w:iCs/>
      <w:color w:themeColor="text1" w:themeTint="bf" w:val="404040"/>
    </w:rPr>
  </w:style>
  <w:style w:type="character" w:styleId="IntenseEmphasis">
    <w:name w:val="Intense Emphasis"/>
    <w:basedOn w:val="DefaultParagraphFont"/>
    <w:uiPriority w:val="21"/>
    <w:qFormat/>
    <w:rsid w:val="003d287f"/>
    <w:rPr>
      <w:i/>
      <w:iCs/>
      <w:color w:themeColor="accent1" w:themeShade="bf" w:val="2F5496"/>
    </w:rPr>
  </w:style>
  <w:style w:type="character" w:styleId="IntenseQuoteChar" w:customStyle="1">
    <w:name w:val="Intense Quote Char"/>
    <w:basedOn w:val="DefaultParagraphFont"/>
    <w:link w:val="IntenseQuote"/>
    <w:uiPriority w:val="30"/>
    <w:qFormat/>
    <w:rsid w:val="003d287f"/>
    <w:rPr>
      <w:i/>
      <w:iCs/>
      <w:color w:themeColor="accent1" w:themeShade="bf" w:val="2F5496"/>
    </w:rPr>
  </w:style>
  <w:style w:type="character" w:styleId="IntenseReference">
    <w:name w:val="Intense Reference"/>
    <w:basedOn w:val="DefaultParagraphFont"/>
    <w:uiPriority w:val="32"/>
    <w:qFormat/>
    <w:rsid w:val="003d287f"/>
    <w:rPr>
      <w:b/>
      <w:bCs/>
      <w:smallCaps/>
      <w:color w:themeColor="accent1" w:themeShade="bf" w:val="2F5496"/>
      <w:spacing w:val="5"/>
    </w:rPr>
  </w:style>
  <w:style w:type="character" w:styleId="PlaceholderText">
    <w:name w:val="Placeholder Text"/>
    <w:basedOn w:val="DefaultParagraphFont"/>
    <w:uiPriority w:val="99"/>
    <w:semiHidden/>
    <w:qFormat/>
    <w:rsid w:val="009a1a9c"/>
    <w:rPr>
      <w:color w:val="666666"/>
    </w:rPr>
  </w:style>
  <w:style w:type="character" w:styleId="CommentReference">
    <w:name w:val="annotation reference"/>
    <w:basedOn w:val="DefaultParagraphFont"/>
    <w:uiPriority w:val="99"/>
    <w:semiHidden/>
    <w:unhideWhenUsed/>
    <w:qFormat/>
    <w:rsid w:val="00fe1e8b"/>
    <w:rPr>
      <w:sz w:val="16"/>
      <w:szCs w:val="16"/>
    </w:rPr>
  </w:style>
  <w:style w:type="character" w:styleId="CommentTextChar" w:customStyle="1">
    <w:name w:val="Comment Text Char"/>
    <w:basedOn w:val="DefaultParagraphFont"/>
    <w:link w:val="CommentText"/>
    <w:uiPriority w:val="99"/>
    <w:qFormat/>
    <w:rsid w:val="00fe1e8b"/>
    <w:rPr>
      <w:sz w:val="20"/>
      <w:szCs w:val="20"/>
    </w:rPr>
  </w:style>
  <w:style w:type="character" w:styleId="CommentSubjectChar" w:customStyle="1">
    <w:name w:val="Comment Subject Char"/>
    <w:basedOn w:val="CommentTextChar"/>
    <w:link w:val="annotationsubject"/>
    <w:uiPriority w:val="99"/>
    <w:semiHidden/>
    <w:qFormat/>
    <w:rsid w:val="00fe1e8b"/>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link w:val="TitleChar"/>
    <w:uiPriority w:val="10"/>
    <w:qFormat/>
    <w:rsid w:val="003d287f"/>
    <w:pPr>
      <w:spacing w:lineRule="auto" w:line="240" w:before="0" w:after="80"/>
      <w:contextualSpacing/>
    </w:pPr>
    <w:rPr>
      <w:rFonts w:ascii="Calibri Light" w:hAnsi="Calibri Light" w:eastAsia="等线 Light"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d287f"/>
    <w:pPr/>
    <w:rPr>
      <w:rFonts w:eastAsia="等线 Light"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d287f"/>
    <w:pPr>
      <w:spacing w:before="160" w:after="160"/>
      <w:jc w:val="center"/>
    </w:pPr>
    <w:rPr>
      <w:i/>
      <w:iCs/>
      <w:color w:themeColor="text1" w:themeTint="bf" w:val="404040"/>
    </w:rPr>
  </w:style>
  <w:style w:type="paragraph" w:styleId="ListParagraph">
    <w:name w:val="List Paragraph"/>
    <w:basedOn w:val="Normal"/>
    <w:uiPriority w:val="34"/>
    <w:qFormat/>
    <w:rsid w:val="003d287f"/>
    <w:pPr>
      <w:spacing w:before="0" w:after="160"/>
      <w:ind w:start="720"/>
      <w:contextualSpacing/>
    </w:pPr>
    <w:rPr/>
  </w:style>
  <w:style w:type="paragraph" w:styleId="IntenseQuote">
    <w:name w:val="Intense Quote"/>
    <w:basedOn w:val="Normal"/>
    <w:next w:val="Normal"/>
    <w:link w:val="IntenseQuoteChar"/>
    <w:uiPriority w:val="30"/>
    <w:qFormat/>
    <w:rsid w:val="003d287f"/>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NormalWeb">
    <w:name w:val="Normal (Web)"/>
    <w:basedOn w:val="Normal"/>
    <w:uiPriority w:val="99"/>
    <w:semiHidden/>
    <w:unhideWhenUsed/>
    <w:qFormat/>
    <w:rsid w:val="009e2863"/>
    <w:pPr/>
    <w:rPr>
      <w:rFonts w:ascii="Times New Roman" w:hAnsi="Times New Roman" w:cs="Times New Roman"/>
    </w:rPr>
  </w:style>
  <w:style w:type="paragraph" w:styleId="Bibliography">
    <w:name w:val="Bibliography"/>
    <w:basedOn w:val="Normal"/>
    <w:next w:val="Normal"/>
    <w:uiPriority w:val="37"/>
    <w:unhideWhenUsed/>
    <w:qFormat/>
    <w:rsid w:val="00431661"/>
    <w:pPr/>
    <w:rPr/>
  </w:style>
  <w:style w:type="paragraph" w:styleId="Revision">
    <w:name w:val="Revision"/>
    <w:uiPriority w:val="99"/>
    <w:semiHidden/>
    <w:qFormat/>
    <w:rsid w:val="00fe1e8b"/>
    <w:pPr>
      <w:widowControl/>
      <w:bidi w:val="0"/>
      <w:spacing w:lineRule="auto" w:line="240" w:before="0" w:after="0"/>
      <w:jc w:val="start"/>
    </w:pPr>
    <w:rPr>
      <w:rFonts w:ascii="Calibri" w:hAnsi="Calibri" w:eastAsia="等线" w:cs="" w:asciiTheme="minorHAnsi" w:cstheme="minorBidi" w:eastAsiaTheme="minorEastAsia" w:hAnsiTheme="minorHAnsi"/>
      <w:color w:val="auto"/>
      <w:kern w:val="2"/>
      <w:sz w:val="24"/>
      <w:szCs w:val="24"/>
      <w:lang w:val="en-GB" w:eastAsia="zh-CN" w:bidi="ar-SA"/>
      <w14:ligatures w14:val="standardContextual"/>
    </w:rPr>
  </w:style>
  <w:style w:type="paragraph" w:styleId="CommentText">
    <w:name w:val="annotation text"/>
    <w:basedOn w:val="Normal"/>
    <w:link w:val="CommentTextChar"/>
    <w:uiPriority w:val="99"/>
    <w:unhideWhenUsed/>
    <w:rsid w:val="00fe1e8b"/>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fe1e8b"/>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948f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Tho20</b:Tag>
    <b:SourceType>JournalArticle</b:SourceType>
    <b:Guid>{E4252E8F-C035-4790-8B4B-D4A9B0994205}</b:Guid>
    <b:Author>
      <b:Author>
        <b:NameList>
          <b:Person>
            <b:Last>Thorndike</b:Last>
            <b:First>E.</b:First>
            <b:Middle>L.</b:Middle>
          </b:Person>
        </b:NameList>
      </b:Author>
    </b:Author>
    <b:Title>A constant error in psychological ratings. </b:Title>
    <b:Year>1920</b:Year>
    <b:JournalName>Journal of applied psychology,</b:JournalName>
    <b:RefOrder>1</b:RefOrder>
  </b:Source>
  <b:Source>
    <b:Tag>McF72</b:Tag>
    <b:SourceType>JournalArticle</b:SourceType>
    <b:Guid>{28E12989-D092-4712-9E16-F38CC5C6EED2}</b:Guid>
    <b:Author>
      <b:Author>
        <b:NameList>
          <b:Person>
            <b:Last>McFadden</b:Last>
            <b:First>D</b:First>
          </b:Person>
        </b:NameList>
      </b:Author>
    </b:Author>
    <b:Title>Conditional logit analysis of qualitative choice behavior.</b:Title>
    <b:Year>1972</b:Year>
    <b:RefOrder>9</b:RefOrder>
  </b:Source>
  <b:Source>
    <b:Tag>Tra09</b:Tag>
    <b:SourceType>Book</b:SourceType>
    <b:Guid>{C680D328-4804-4F18-8B1A-3F1D374D58F3}</b:Guid>
    <b:Author>
      <b:Author>
        <b:NameList>
          <b:Person>
            <b:Last>Train</b:Last>
            <b:First>K.</b:First>
            <b:Middle>E.</b:Middle>
          </b:Person>
        </b:NameList>
      </b:Author>
    </b:Author>
    <b:Title>Discrete choice methods with simulation.</b:Title>
    <b:Year>2009</b:Year>
    <b:Publisher>Cambridge university press.</b:Publisher>
    <b:RefOrder>3</b:RefOrder>
  </b:Source>
  <b:Source>
    <b:Tag>McF00</b:Tag>
    <b:SourceType>JournalArticle</b:SourceType>
    <b:Guid>{3A6311F6-B266-4B4C-87FA-257E7E469183}</b:Guid>
    <b:Title>Mixed MNL models for discrete response.</b:Title>
    <b:Year>2000</b:Year>
    <b:Author>
      <b:Author>
        <b:NameList>
          <b:Person>
            <b:Last>McFadden</b:Last>
            <b:First>D.,</b:First>
            <b:Middle>&amp; Train, K</b:Middle>
          </b:Person>
        </b:NameList>
      </b:Author>
    </b:Author>
    <b:JournalName>Journal of applied Econometrics</b:JournalName>
    <b:RefOrder>4</b:RefOrder>
  </b:Source>
  <b:Source>
    <b:Tag>HeK16</b:Tag>
    <b:SourceType>JournalArticle</b:SourceType>
    <b:Guid>{20C9786A-8E4A-48D6-B74E-7C83ED230290}</b:Guid>
    <b:Author>
      <b:Author>
        <b:NameList>
          <b:Person>
            <b:Last>He</b:Last>
            <b:First>K.,</b:First>
            <b:Middle>Zhang, X., Ren, S., &amp; Sun, J.</b:Middle>
          </b:Person>
        </b:NameList>
      </b:Author>
    </b:Author>
    <b:Title>Deep residual learning for image recognition.</b:Title>
    <b:JournalName>Proceedings of the IEEE conference on computer vision and pattern recognition</b:JournalName>
    <b:Year>2016</b:Year>
    <b:RefOrder>7</b:RefOrder>
  </b:Source>
  <b:Source>
    <b:Tag>Zah17</b:Tag>
    <b:SourceType>JournalArticle</b:SourceType>
    <b:Guid>{CB9E8DE2-D921-4B2F-9230-E64206AE09A7}</b:Guid>
    <b:Author>
      <b:Author>
        <b:NameList>
          <b:Person>
            <b:Last>Zaheer</b:Last>
            <b:First>M.,</b:First>
            <b:Middle>Kottur, S., Ravanbakhsh, S., Poczos, B., Salakhutdinov, R. R., &amp; Smola, A. J.</b:Middle>
          </b:Person>
        </b:NameList>
      </b:Author>
    </b:Author>
    <b:Title>Deep sets</b:Title>
    <b:JournalName>Advances in neural information processing systems 30 </b:JournalName>
    <b:Year>2017</b:Year>
    <b:RefOrder>6</b:RefOrder>
  </b:Source>
  <b:Source>
    <b:Tag>Sif20</b:Tag>
    <b:SourceType>JournalArticle</b:SourceType>
    <b:Guid>{CD77596A-8E8F-467C-A205-6A383558CDF7}</b:Guid>
    <b:Author>
      <b:Author>
        <b:NameList>
          <b:Person>
            <b:Last>Sifringer</b:Last>
            <b:First>B.,</b:First>
            <b:Middle>Lurkin, V., &amp; Alahi, A.</b:Middle>
          </b:Person>
        </b:NameList>
      </b:Author>
    </b:Author>
    <b:Title>Enhancing discrete choice models with representation learning</b:Title>
    <b:JournalName>Transportation Research Part B: Methodological</b:JournalName>
    <b:Year>2020</b:Year>
    <b:RefOrder>8</b:RefOrder>
  </b:Source>
  <b:Source>
    <b:Tag>McF01</b:Tag>
    <b:SourceType>JournalArticle</b:SourceType>
    <b:Guid>{12F10A83-4543-4CF4-BC06-DF83220CBBA1}</b:Guid>
    <b:Title>Economic choices</b:Title>
    <b:Year>2001</b:Year>
    <b:Author>
      <b:Author>
        <b:NameList>
          <b:Person>
            <b:Last>McFadden</b:Last>
            <b:First>D.</b:First>
          </b:Person>
        </b:NameList>
      </b:Author>
    </b:Author>
    <b:JournalName>American economic review</b:JournalName>
    <b:RefOrder>2</b:RefOrder>
  </b:Source>
  <b:Source>
    <b:Tag>Bat85</b:Tag>
    <b:SourceType>JournalArticle</b:SourceType>
    <b:Guid>{29DA6BFC-3E2C-42AB-B949-241D6892665B}</b:Guid>
    <b:Author>
      <b:Author>
        <b:NameList>
          <b:Person>
            <b:Last>Batsell</b:Last>
            <b:First>R.</b:First>
            <b:Middle>R., &amp; Polking, J. C.</b:Middle>
          </b:Person>
        </b:NameList>
      </b:Author>
    </b:Author>
    <b:Title>A new class of market share models</b:Title>
    <b:JournalName>Marketing Science</b:JournalName>
    <b:Year>1985</b:Year>
    <b:RefOrder>5</b:RefOrder>
  </b:Source>
</b:Sources>
</file>

<file path=customXml/itemProps1.xml><?xml version="1.0" encoding="utf-8"?>
<ds:datastoreItem xmlns:ds="http://schemas.openxmlformats.org/officeDocument/2006/customXml" ds:itemID="{67AF8242-0075-4A18-844A-E96391800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Application>LibreOffice/25.8.3.2$Linux_X86_64 LibreOffice_project/8ca8d55c161d602844f5428fa4b58097424e324e</Application>
  <AppVersion>15.0000</AppVersion>
  <Pages>6</Pages>
  <Words>4369</Words>
  <Characters>25444</Characters>
  <CharactersWithSpaces>30017</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2025-12-27T13:28:00Z</dcterms:created>
  <dc:creator>Will Lewis</dc:creator>
  <dc:description/>
  <dc:language>en-GB</dc:language>
  <cp:lastModifiedBy>Will Lewis</cp:lastModifiedBy>
  <dcterms:modified xsi:type="dcterms:W3CDTF">2025-12-27T13:38:00Z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