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186" w14:textId="77777777" w:rsidR="00D566B1" w:rsidRDefault="00BF75A4" w:rsidP="00A257D3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6"/>
        </w:rPr>
        <w:t xml:space="preserve"> </w:t>
      </w:r>
    </w:p>
    <w:p w14:paraId="4E6079CB" w14:textId="77777777" w:rsidR="00D566B1" w:rsidRDefault="00BF75A4" w:rsidP="00BF75A4">
      <w:pPr>
        <w:pStyle w:val="Titre1"/>
        <w:numPr>
          <w:ilvl w:val="0"/>
          <w:numId w:val="3"/>
        </w:numPr>
        <w:ind w:left="284"/>
      </w:pPr>
      <w:r>
        <w:t xml:space="preserve">Quizz </w:t>
      </w:r>
      <w:r w:rsidR="00A257D3">
        <w:t>3</w:t>
      </w:r>
      <w:r>
        <w:t xml:space="preserve"> – </w:t>
      </w:r>
      <w:r w:rsidR="00A257D3">
        <w:t>6</w:t>
      </w:r>
      <w:r>
        <w:t xml:space="preserve">0 mn </w:t>
      </w:r>
    </w:p>
    <w:p w14:paraId="662D51F6" w14:textId="77777777" w:rsidR="00BF75A4" w:rsidRPr="00BF75A4" w:rsidRDefault="00BF75A4" w:rsidP="00ED38AB">
      <w:pPr>
        <w:spacing w:after="185" w:line="259" w:lineRule="auto"/>
        <w:ind w:left="0" w:firstLine="0"/>
        <w:rPr>
          <w:b/>
          <w:i/>
        </w:rPr>
      </w:pPr>
      <w:r>
        <w:t xml:space="preserve"> </w:t>
      </w:r>
    </w:p>
    <w:p w14:paraId="73AE35D0" w14:textId="77777777" w:rsidR="00D566B1" w:rsidRPr="00E445F3" w:rsidRDefault="00A257D3" w:rsidP="00BF75A4">
      <w:pPr>
        <w:numPr>
          <w:ilvl w:val="0"/>
          <w:numId w:val="1"/>
        </w:numPr>
        <w:spacing w:line="250" w:lineRule="auto"/>
        <w:ind w:hanging="360"/>
      </w:pPr>
      <w:r w:rsidRPr="00A257D3">
        <w:rPr>
          <w:b/>
          <w:i/>
        </w:rPr>
        <w:t>PP/WP est structuré autour de trois objectifs spécifiques, lesquel</w:t>
      </w:r>
      <w:r>
        <w:rPr>
          <w:b/>
          <w:i/>
        </w:rPr>
        <w:t>s ?</w:t>
      </w:r>
    </w:p>
    <w:p w14:paraId="7D535888" w14:textId="77777777" w:rsidR="00E445F3" w:rsidRPr="00BF75A4" w:rsidRDefault="00E445F3" w:rsidP="00E445F3">
      <w:pPr>
        <w:spacing w:line="250" w:lineRule="auto"/>
        <w:ind w:left="706" w:firstLine="0"/>
      </w:pPr>
    </w:p>
    <w:p w14:paraId="01784FDF" w14:textId="77777777" w:rsidR="00BF75A4" w:rsidRDefault="00FF5277" w:rsidP="00BF75A4">
      <w:pPr>
        <w:spacing w:line="250" w:lineRule="auto"/>
        <w:ind w:left="706" w:firstLine="0"/>
      </w:pPr>
      <w:r>
        <w:t xml:space="preserve">Les trois objectifs spécifiques </w:t>
      </w:r>
      <w:r w:rsidR="00AB66C5">
        <w:t>« </w:t>
      </w:r>
      <w:proofErr w:type="spellStart"/>
      <w:r w:rsidR="00AB66C5">
        <w:t>Specific</w:t>
      </w:r>
      <w:proofErr w:type="spellEnd"/>
      <w:r w:rsidR="00AB66C5">
        <w:t xml:space="preserve"> Goals » (SG) </w:t>
      </w:r>
      <w:r>
        <w:t>sur lesquels est structuré</w:t>
      </w:r>
      <w:r w:rsidR="00ED38AB">
        <w:t>e la planification de projet « Planning Project / Work Planning » (</w:t>
      </w:r>
      <w:r>
        <w:t>PP/WP</w:t>
      </w:r>
      <w:r w:rsidR="00ED38AB">
        <w:t>)</w:t>
      </w:r>
      <w:r>
        <w:t xml:space="preserve"> sont les suivants :</w:t>
      </w:r>
    </w:p>
    <w:p w14:paraId="7F9CD83A" w14:textId="77777777" w:rsidR="00C34258" w:rsidRDefault="00C34258" w:rsidP="00BF75A4">
      <w:pPr>
        <w:spacing w:line="250" w:lineRule="auto"/>
        <w:ind w:left="706" w:firstLine="0"/>
      </w:pPr>
    </w:p>
    <w:p w14:paraId="3F202E72" w14:textId="77777777" w:rsidR="00FF5277" w:rsidRDefault="00FF5277" w:rsidP="00FF5277">
      <w:pPr>
        <w:pStyle w:val="Paragraphedeliste"/>
        <w:numPr>
          <w:ilvl w:val="0"/>
          <w:numId w:val="6"/>
        </w:numPr>
        <w:spacing w:line="250" w:lineRule="auto"/>
      </w:pPr>
      <w:r w:rsidRPr="00FF5277">
        <w:rPr>
          <w:b/>
          <w:bCs/>
        </w:rPr>
        <w:t>PP/WP-SG1</w:t>
      </w:r>
      <w:r>
        <w:t> :</w:t>
      </w:r>
      <w:r w:rsidR="00E445F3">
        <w:t xml:space="preserve"> </w:t>
      </w:r>
      <w:r>
        <w:t>Définir les paramètres de planification, qui sont les estimations attachées à la réalisation du projet (coûts, délais, dimensionnements et charges de travail).</w:t>
      </w:r>
    </w:p>
    <w:p w14:paraId="50A296B7" w14:textId="77777777" w:rsidR="00FF5277" w:rsidRDefault="00E445F3" w:rsidP="00FF5277">
      <w:pPr>
        <w:pStyle w:val="Paragraphedeliste"/>
        <w:numPr>
          <w:ilvl w:val="0"/>
          <w:numId w:val="6"/>
        </w:numPr>
        <w:spacing w:line="250" w:lineRule="auto"/>
      </w:pPr>
      <w:r w:rsidRPr="00FF5277">
        <w:rPr>
          <w:b/>
          <w:bCs/>
        </w:rPr>
        <w:t>PP/WP-SG</w:t>
      </w:r>
      <w:r>
        <w:rPr>
          <w:b/>
          <w:bCs/>
        </w:rPr>
        <w:t>2</w:t>
      </w:r>
      <w:r>
        <w:t xml:space="preserve"> : </w:t>
      </w:r>
      <w:r w:rsidR="00FF5277">
        <w:t xml:space="preserve">Transcrire les paramètres de planification </w:t>
      </w:r>
      <w:r>
        <w:t>identifiés</w:t>
      </w:r>
      <w:r w:rsidR="00FF5277">
        <w:t xml:space="preserve"> par PP</w:t>
      </w:r>
      <w:r>
        <w:t>/WP-SG1 dans un plan.</w:t>
      </w:r>
    </w:p>
    <w:p w14:paraId="087CD961" w14:textId="77777777" w:rsidR="00E445F3" w:rsidRDefault="00E445F3" w:rsidP="00FF5277">
      <w:pPr>
        <w:pStyle w:val="Paragraphedeliste"/>
        <w:numPr>
          <w:ilvl w:val="0"/>
          <w:numId w:val="6"/>
        </w:numPr>
        <w:spacing w:line="250" w:lineRule="auto"/>
      </w:pPr>
      <w:r w:rsidRPr="00FF5277">
        <w:rPr>
          <w:b/>
          <w:bCs/>
        </w:rPr>
        <w:t>PP/WP-SG</w:t>
      </w:r>
      <w:r>
        <w:rPr>
          <w:b/>
          <w:bCs/>
        </w:rPr>
        <w:t>3</w:t>
      </w:r>
      <w:r>
        <w:t> :</w:t>
      </w:r>
      <w:r>
        <w:t xml:space="preserve"> Définir les pratiques nécessaires à l’obtention de l’engagement des parties prenantes sur le plan. Sans cet objectif, PP/WP-SG2 ne vaut rien.</w:t>
      </w:r>
    </w:p>
    <w:p w14:paraId="38AC0B1F" w14:textId="77777777" w:rsidR="00FF5277" w:rsidRDefault="00FF5277" w:rsidP="00FF5277">
      <w:pPr>
        <w:spacing w:line="250" w:lineRule="auto"/>
        <w:ind w:left="0" w:firstLine="0"/>
      </w:pPr>
    </w:p>
    <w:p w14:paraId="3B337689" w14:textId="77777777" w:rsidR="00C34258" w:rsidRDefault="00C34258" w:rsidP="00FF5277">
      <w:pPr>
        <w:spacing w:line="250" w:lineRule="auto"/>
        <w:ind w:left="0" w:firstLine="0"/>
      </w:pPr>
    </w:p>
    <w:p w14:paraId="40572A2E" w14:textId="77777777" w:rsidR="00D566B1" w:rsidRDefault="00D566B1">
      <w:pPr>
        <w:spacing w:after="11" w:line="259" w:lineRule="auto"/>
        <w:ind w:left="721" w:firstLine="0"/>
      </w:pPr>
    </w:p>
    <w:p w14:paraId="6AF9FA54" w14:textId="77777777" w:rsidR="00D566B1" w:rsidRPr="00E445F3" w:rsidRDefault="00A257D3">
      <w:pPr>
        <w:numPr>
          <w:ilvl w:val="0"/>
          <w:numId w:val="1"/>
        </w:numPr>
        <w:spacing w:line="250" w:lineRule="auto"/>
        <w:ind w:left="705" w:hanging="360"/>
      </w:pPr>
      <w:r w:rsidRPr="00A257D3">
        <w:rPr>
          <w:b/>
          <w:i/>
        </w:rPr>
        <w:t>PMC/WMC est structuré autour de deux objectifs spécifiques, lesquels ?</w:t>
      </w:r>
    </w:p>
    <w:p w14:paraId="13055DA2" w14:textId="77777777" w:rsidR="00E445F3" w:rsidRDefault="00E445F3" w:rsidP="00E445F3">
      <w:pPr>
        <w:spacing w:line="250" w:lineRule="auto"/>
        <w:ind w:left="705" w:firstLine="0"/>
      </w:pPr>
    </w:p>
    <w:p w14:paraId="4FE5BFBB" w14:textId="77777777" w:rsidR="00E445F3" w:rsidRDefault="00E445F3" w:rsidP="00E445F3">
      <w:pPr>
        <w:spacing w:line="250" w:lineRule="auto"/>
        <w:ind w:left="706" w:firstLine="0"/>
      </w:pPr>
      <w:r>
        <w:t xml:space="preserve">Les </w:t>
      </w:r>
      <w:r>
        <w:t>deux</w:t>
      </w:r>
      <w:r>
        <w:t xml:space="preserve"> objectifs spécifiques</w:t>
      </w:r>
      <w:r w:rsidR="00AB66C5">
        <w:t xml:space="preserve"> </w:t>
      </w:r>
      <w:proofErr w:type="spellStart"/>
      <w:r w:rsidR="00AB66C5">
        <w:t>« Specific</w:t>
      </w:r>
      <w:proofErr w:type="spellEnd"/>
      <w:r w:rsidR="00AB66C5">
        <w:t xml:space="preserve"> Goals » (S</w:t>
      </w:r>
      <w:r w:rsidR="00AB66C5">
        <w:t>G</w:t>
      </w:r>
      <w:r w:rsidR="00AB66C5">
        <w:t>)</w:t>
      </w:r>
      <w:r>
        <w:t xml:space="preserve"> sur lesquels est structuré</w:t>
      </w:r>
      <w:r w:rsidR="00ED38AB">
        <w:t xml:space="preserve">e </w:t>
      </w:r>
      <w:r w:rsidR="00ED38AB">
        <w:t>la surveillance et le contrôle du projet</w:t>
      </w:r>
      <w:r w:rsidR="00ED38AB">
        <w:t xml:space="preserve"> « Project Monitoring and Control / Work Monitoring and Control » (</w:t>
      </w:r>
      <w:r>
        <w:t>P</w:t>
      </w:r>
      <w:r>
        <w:t>MC</w:t>
      </w:r>
      <w:r>
        <w:t>/W</w:t>
      </w:r>
      <w:r>
        <w:t>MC</w:t>
      </w:r>
      <w:r w:rsidR="00ED38AB">
        <w:t>)</w:t>
      </w:r>
      <w:r>
        <w:t xml:space="preserve"> sont les suivants :</w:t>
      </w:r>
    </w:p>
    <w:p w14:paraId="3BF94565" w14:textId="77777777" w:rsidR="00C34258" w:rsidRDefault="00C34258" w:rsidP="00E445F3">
      <w:pPr>
        <w:spacing w:line="250" w:lineRule="auto"/>
        <w:ind w:left="706" w:firstLine="0"/>
      </w:pPr>
    </w:p>
    <w:p w14:paraId="64E81313" w14:textId="77777777" w:rsidR="00E445F3" w:rsidRDefault="00E445F3" w:rsidP="00E445F3">
      <w:pPr>
        <w:pStyle w:val="Paragraphedeliste"/>
        <w:numPr>
          <w:ilvl w:val="0"/>
          <w:numId w:val="6"/>
        </w:numPr>
        <w:spacing w:line="250" w:lineRule="auto"/>
      </w:pPr>
      <w:r w:rsidRPr="00FF5277">
        <w:rPr>
          <w:b/>
          <w:bCs/>
        </w:rPr>
        <w:t>P</w:t>
      </w:r>
      <w:r>
        <w:rPr>
          <w:b/>
          <w:bCs/>
        </w:rPr>
        <w:t>MC</w:t>
      </w:r>
      <w:r w:rsidRPr="00FF5277">
        <w:rPr>
          <w:b/>
          <w:bCs/>
        </w:rPr>
        <w:t>/W</w:t>
      </w:r>
      <w:r>
        <w:rPr>
          <w:b/>
          <w:bCs/>
        </w:rPr>
        <w:t>MC</w:t>
      </w:r>
      <w:r w:rsidRPr="00FF5277">
        <w:rPr>
          <w:b/>
          <w:bCs/>
        </w:rPr>
        <w:t>-SG1</w:t>
      </w:r>
      <w:r>
        <w:t xml:space="preserve"> : </w:t>
      </w:r>
      <w:r>
        <w:t xml:space="preserve">Identifier les </w:t>
      </w:r>
      <w:r w:rsidR="00ED38AB">
        <w:t>écarts existants entre la réalité du projet et ce qui était prévu selon le plan à cette même date.</w:t>
      </w:r>
    </w:p>
    <w:p w14:paraId="3630A282" w14:textId="77777777" w:rsidR="00E445F3" w:rsidRDefault="00E445F3" w:rsidP="00E445F3">
      <w:pPr>
        <w:pStyle w:val="Paragraphedeliste"/>
        <w:numPr>
          <w:ilvl w:val="0"/>
          <w:numId w:val="6"/>
        </w:numPr>
        <w:spacing w:line="250" w:lineRule="auto"/>
      </w:pPr>
      <w:r w:rsidRPr="00FF5277">
        <w:rPr>
          <w:b/>
          <w:bCs/>
        </w:rPr>
        <w:t>P</w:t>
      </w:r>
      <w:r>
        <w:rPr>
          <w:b/>
          <w:bCs/>
        </w:rPr>
        <w:t>MC</w:t>
      </w:r>
      <w:r w:rsidRPr="00FF5277">
        <w:rPr>
          <w:b/>
          <w:bCs/>
        </w:rPr>
        <w:t>/W</w:t>
      </w:r>
      <w:r>
        <w:rPr>
          <w:b/>
          <w:bCs/>
        </w:rPr>
        <w:t>MC</w:t>
      </w:r>
      <w:r w:rsidRPr="00FF5277">
        <w:rPr>
          <w:b/>
          <w:bCs/>
        </w:rPr>
        <w:t>-SG</w:t>
      </w:r>
      <w:r>
        <w:rPr>
          <w:b/>
          <w:bCs/>
        </w:rPr>
        <w:t>2</w:t>
      </w:r>
      <w:r>
        <w:t xml:space="preserve"> : </w:t>
      </w:r>
      <w:r w:rsidR="00ED38AB">
        <w:t>Réduire les écarts identifiés par la mise en œuvre d’actions correctives.</w:t>
      </w:r>
    </w:p>
    <w:p w14:paraId="02D73091" w14:textId="77777777" w:rsidR="00D566B1" w:rsidRDefault="00D566B1">
      <w:pPr>
        <w:spacing w:after="0" w:line="259" w:lineRule="auto"/>
        <w:ind w:left="721" w:firstLine="0"/>
      </w:pPr>
    </w:p>
    <w:p w14:paraId="146EEE44" w14:textId="77777777" w:rsidR="00D566B1" w:rsidRDefault="00BF75A4">
      <w:pPr>
        <w:spacing w:after="11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7EB75409" w14:textId="77777777" w:rsidR="00C34258" w:rsidRDefault="00C34258">
      <w:pPr>
        <w:spacing w:after="11" w:line="259" w:lineRule="auto"/>
        <w:ind w:left="721" w:firstLine="0"/>
      </w:pPr>
    </w:p>
    <w:p w14:paraId="5A1FC9FD" w14:textId="77777777" w:rsidR="00D566B1" w:rsidRPr="00ED38AB" w:rsidRDefault="00A257D3">
      <w:pPr>
        <w:numPr>
          <w:ilvl w:val="0"/>
          <w:numId w:val="1"/>
        </w:numPr>
        <w:spacing w:line="250" w:lineRule="auto"/>
        <w:ind w:left="705" w:hanging="360"/>
      </w:pPr>
      <w: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REQM ?</w:t>
      </w:r>
    </w:p>
    <w:p w14:paraId="1094DE55" w14:textId="77777777" w:rsidR="00ED38AB" w:rsidRDefault="00ED38AB" w:rsidP="00ED38AB">
      <w:pPr>
        <w:spacing w:line="250" w:lineRule="auto"/>
        <w:ind w:left="705" w:firstLine="0"/>
      </w:pPr>
    </w:p>
    <w:p w14:paraId="3A221A2D" w14:textId="77777777" w:rsidR="00C16F60" w:rsidRDefault="00ED38AB" w:rsidP="00ED38AB">
      <w:pPr>
        <w:spacing w:line="250" w:lineRule="auto"/>
        <w:ind w:left="705" w:firstLine="0"/>
      </w:pPr>
      <w:r>
        <w:t>Le seul objectif de la gestion des exigences « </w:t>
      </w:r>
      <w:proofErr w:type="spellStart"/>
      <w:r>
        <w:t>Requirements</w:t>
      </w:r>
      <w:proofErr w:type="spellEnd"/>
      <w:r>
        <w:t xml:space="preserve"> Management » (REQM) est</w:t>
      </w:r>
      <w:r w:rsidR="00C16F60">
        <w:t xml:space="preserve"> de gérer les exigences et les incohérences entre elles, et d’identifier les plans et produits d’activité. </w:t>
      </w:r>
    </w:p>
    <w:p w14:paraId="49530C22" w14:textId="77777777" w:rsidR="00C34258" w:rsidRDefault="00C34258" w:rsidP="00ED38AB">
      <w:pPr>
        <w:spacing w:line="250" w:lineRule="auto"/>
        <w:ind w:left="705" w:firstLine="0"/>
      </w:pPr>
    </w:p>
    <w:p w14:paraId="120561C0" w14:textId="77777777" w:rsidR="00ED38AB" w:rsidRDefault="00C16F60" w:rsidP="00ED38AB">
      <w:pPr>
        <w:spacing w:line="250" w:lineRule="auto"/>
        <w:ind w:left="705" w:firstLine="0"/>
      </w:pPr>
      <w:r>
        <w:t>Cet objectif (</w:t>
      </w:r>
      <w:r w:rsidRPr="00C16F60">
        <w:rPr>
          <w:b/>
          <w:bCs/>
        </w:rPr>
        <w:t>REQM-SG1</w:t>
      </w:r>
      <w:r>
        <w:t>) est défini par la mise en application de cinq pratiques spécifiques (SP) :</w:t>
      </w:r>
    </w:p>
    <w:p w14:paraId="7383BDB7" w14:textId="77777777" w:rsidR="00ED38AB" w:rsidRDefault="00C16F60" w:rsidP="00ED38AB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SP</w:t>
      </w:r>
      <w:r w:rsidR="00ED38AB" w:rsidRPr="00FF5277">
        <w:rPr>
          <w:b/>
          <w:bCs/>
        </w:rPr>
        <w:t>1</w:t>
      </w:r>
      <w:r>
        <w:rPr>
          <w:b/>
          <w:bCs/>
        </w:rPr>
        <w:t>.1</w:t>
      </w:r>
      <w:r w:rsidR="00ED38AB">
        <w:t> :</w:t>
      </w:r>
      <w:r>
        <w:t xml:space="preserve"> Obtenir une compréhension des exigences.</w:t>
      </w:r>
    </w:p>
    <w:p w14:paraId="201213D0" w14:textId="77777777" w:rsidR="00C16F60" w:rsidRDefault="00C16F60" w:rsidP="00ED38AB">
      <w:pPr>
        <w:pStyle w:val="Paragraphedeliste"/>
        <w:numPr>
          <w:ilvl w:val="0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> : Obtenir l’engagement sur les exigences.</w:t>
      </w:r>
    </w:p>
    <w:p w14:paraId="708ECFA0" w14:textId="77777777" w:rsidR="00C16F60" w:rsidRDefault="00C16F60" w:rsidP="00ED38AB">
      <w:pPr>
        <w:pStyle w:val="Paragraphedeliste"/>
        <w:numPr>
          <w:ilvl w:val="0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 xml:space="preserve"> : Gérer les modifications aux </w:t>
      </w:r>
      <w:r w:rsidR="0094175D">
        <w:t>exigences</w:t>
      </w:r>
      <w:r>
        <w:t>.</w:t>
      </w:r>
    </w:p>
    <w:p w14:paraId="31C02EC1" w14:textId="77777777" w:rsidR="00C16F60" w:rsidRDefault="00C16F60" w:rsidP="00ED38AB">
      <w:pPr>
        <w:pStyle w:val="Paragraphedeliste"/>
        <w:numPr>
          <w:ilvl w:val="0"/>
          <w:numId w:val="6"/>
        </w:numPr>
        <w:spacing w:line="250" w:lineRule="auto"/>
      </w:pPr>
      <w:r w:rsidRPr="00C16F60">
        <w:rPr>
          <w:b/>
          <w:bCs/>
        </w:rPr>
        <w:t>SP1.4</w:t>
      </w:r>
      <w:r>
        <w:t> : Maintenir la traçabilité directionnelle des exigences.</w:t>
      </w:r>
    </w:p>
    <w:p w14:paraId="34CE5EE2" w14:textId="77777777" w:rsidR="00C16F60" w:rsidRDefault="00C16F60" w:rsidP="00C16F60">
      <w:pPr>
        <w:pStyle w:val="Paragraphedeliste"/>
        <w:numPr>
          <w:ilvl w:val="0"/>
          <w:numId w:val="6"/>
        </w:numPr>
        <w:spacing w:line="250" w:lineRule="auto"/>
      </w:pPr>
      <w:r w:rsidRPr="0094175D">
        <w:rPr>
          <w:b/>
          <w:bCs/>
        </w:rPr>
        <w:t>SP1.5</w:t>
      </w:r>
      <w:r>
        <w:t xml:space="preserve"> : </w:t>
      </w:r>
      <w:r>
        <w:t xml:space="preserve">Identifier les incohérences entre le travail </w:t>
      </w:r>
      <w:r w:rsidR="0094175D">
        <w:t>fourni</w:t>
      </w:r>
      <w:r>
        <w:t xml:space="preserve"> et les exigences</w:t>
      </w:r>
      <w:r w:rsidR="0094175D">
        <w:t>.</w:t>
      </w:r>
    </w:p>
    <w:p w14:paraId="6C1AC37D" w14:textId="77777777" w:rsidR="00D566B1" w:rsidRDefault="00D566B1">
      <w:pPr>
        <w:spacing w:after="0" w:line="259" w:lineRule="auto"/>
        <w:ind w:left="721" w:firstLine="0"/>
      </w:pPr>
    </w:p>
    <w:p w14:paraId="59CA85E0" w14:textId="77777777" w:rsidR="00D566B1" w:rsidRDefault="00D566B1">
      <w:pPr>
        <w:spacing w:after="0" w:line="259" w:lineRule="auto"/>
        <w:ind w:left="0" w:firstLine="0"/>
      </w:pPr>
    </w:p>
    <w:p w14:paraId="497EB8C4" w14:textId="77777777" w:rsidR="0094175D" w:rsidRDefault="0094175D">
      <w:pPr>
        <w:spacing w:after="0" w:line="259" w:lineRule="auto"/>
        <w:ind w:left="0" w:firstLine="0"/>
      </w:pPr>
    </w:p>
    <w:p w14:paraId="1D83219B" w14:textId="77777777" w:rsidR="0094175D" w:rsidRDefault="0094175D">
      <w:pPr>
        <w:spacing w:after="0" w:line="259" w:lineRule="auto"/>
        <w:ind w:left="0" w:firstLine="0"/>
      </w:pPr>
    </w:p>
    <w:p w14:paraId="4AACE816" w14:textId="77777777" w:rsidR="0094175D" w:rsidRDefault="0094175D">
      <w:pPr>
        <w:spacing w:after="0" w:line="259" w:lineRule="auto"/>
        <w:ind w:left="0" w:firstLine="0"/>
      </w:pPr>
    </w:p>
    <w:p w14:paraId="66507758" w14:textId="77777777"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14:paraId="37FF65A1" w14:textId="77777777" w:rsidR="00D566B1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>
        <w:rPr>
          <w:b/>
          <w:i/>
        </w:rPr>
        <w:t>SAM</w:t>
      </w:r>
      <w:r w:rsidRPr="00A257D3">
        <w:rPr>
          <w:b/>
          <w:i/>
        </w:rPr>
        <w:t xml:space="preserve"> ?</w:t>
      </w:r>
    </w:p>
    <w:p w14:paraId="5BEA923A" w14:textId="77777777"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50F89283" w14:textId="77777777" w:rsidR="0094175D" w:rsidRDefault="0094175D" w:rsidP="0094175D">
      <w:pPr>
        <w:spacing w:line="250" w:lineRule="auto"/>
        <w:ind w:left="706" w:firstLine="0"/>
      </w:pPr>
      <w:r>
        <w:t xml:space="preserve">Les </w:t>
      </w:r>
      <w:r>
        <w:t>deux</w:t>
      </w:r>
      <w:r>
        <w:t xml:space="preserve"> objectifs </w:t>
      </w:r>
      <w:r w:rsidR="00AB66C5">
        <w:t>spécifiques « </w:t>
      </w:r>
      <w:proofErr w:type="spellStart"/>
      <w:r w:rsidR="00AB66C5">
        <w:t>Specific</w:t>
      </w:r>
      <w:proofErr w:type="spellEnd"/>
      <w:r w:rsidR="00AB66C5">
        <w:t xml:space="preserve"> Goals » (S</w:t>
      </w:r>
      <w:r w:rsidR="00AB66C5">
        <w:t>G</w:t>
      </w:r>
      <w:r w:rsidR="00AB66C5">
        <w:t>)</w:t>
      </w:r>
      <w:r w:rsidR="00AB66C5">
        <w:t xml:space="preserve"> </w:t>
      </w:r>
      <w:r>
        <w:t>sur lesquels est structurée la gestion des accords avec le fournisseur « </w:t>
      </w:r>
      <w:r w:rsidRPr="0094175D">
        <w:t>Supplier Agreement Management</w:t>
      </w:r>
      <w:r>
        <w:t xml:space="preserve"> » (SAM)</w:t>
      </w:r>
      <w:r>
        <w:t xml:space="preserve"> </w:t>
      </w:r>
      <w:r>
        <w:t>sont les suivants :</w:t>
      </w:r>
    </w:p>
    <w:p w14:paraId="6B198474" w14:textId="77777777" w:rsidR="00C34258" w:rsidRDefault="00C34258" w:rsidP="0094175D">
      <w:pPr>
        <w:spacing w:line="250" w:lineRule="auto"/>
        <w:ind w:left="706" w:firstLine="0"/>
      </w:pPr>
    </w:p>
    <w:p w14:paraId="4CFB4050" w14:textId="77777777" w:rsidR="00AB66C5" w:rsidRDefault="00AB66C5" w:rsidP="0094175D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SAM</w:t>
      </w:r>
      <w:r w:rsidR="0094175D" w:rsidRPr="00FF5277">
        <w:rPr>
          <w:b/>
          <w:bCs/>
        </w:rPr>
        <w:t>-SG1</w:t>
      </w:r>
      <w:r w:rsidR="0094175D">
        <w:t xml:space="preserve"> : </w:t>
      </w:r>
      <w:r>
        <w:t>Établir et maintenir les accords avec les fournisseurs</w:t>
      </w:r>
      <w:r>
        <w:t>.</w:t>
      </w:r>
    </w:p>
    <w:p w14:paraId="5DDF25BC" w14:textId="77777777" w:rsidR="00AB66C5" w:rsidRDefault="00AB66C5" w:rsidP="005D01CB">
      <w:pPr>
        <w:spacing w:line="250" w:lineRule="auto"/>
        <w:ind w:left="1416" w:firstLine="355"/>
      </w:pPr>
      <w:r>
        <w:t>Cet objectif est atteint par la mise en œuvre de trois pratiques spécifiques (SP) :</w:t>
      </w:r>
    </w:p>
    <w:p w14:paraId="54B793FB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> : Déterminer le type d’acquisition</w:t>
      </w:r>
      <w:r>
        <w:t>.</w:t>
      </w:r>
    </w:p>
    <w:p w14:paraId="21B4F999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> : Choisir des fournisseurs.</w:t>
      </w:r>
    </w:p>
    <w:p w14:paraId="36D82E43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> : Établir et</w:t>
      </w:r>
      <w:r>
        <w:t xml:space="preserve"> </w:t>
      </w:r>
      <w:r>
        <w:t>maintenir des accords formels avec le fournisseur</w:t>
      </w:r>
      <w:r>
        <w:t>.</w:t>
      </w:r>
    </w:p>
    <w:p w14:paraId="1E73855A" w14:textId="77777777" w:rsidR="00AB66C5" w:rsidRDefault="00AB66C5" w:rsidP="00AB66C5">
      <w:pPr>
        <w:pStyle w:val="Paragraphedeliste"/>
        <w:spacing w:line="250" w:lineRule="auto"/>
        <w:ind w:left="2491" w:firstLine="0"/>
      </w:pPr>
    </w:p>
    <w:p w14:paraId="50CF8C56" w14:textId="77777777" w:rsidR="00AB66C5" w:rsidRDefault="00AB66C5" w:rsidP="00AB66C5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SAM</w:t>
      </w:r>
      <w:r w:rsidRPr="00FF5277">
        <w:rPr>
          <w:b/>
          <w:bCs/>
        </w:rPr>
        <w:t>-SG</w:t>
      </w:r>
      <w:r>
        <w:rPr>
          <w:b/>
          <w:bCs/>
        </w:rPr>
        <w:t>2</w:t>
      </w:r>
      <w:r>
        <w:t> :</w:t>
      </w:r>
      <w:r>
        <w:t xml:space="preserve"> Faire respecter les accords projet - fournisseur</w:t>
      </w:r>
    </w:p>
    <w:p w14:paraId="45479363" w14:textId="77777777" w:rsidR="00AB66C5" w:rsidRDefault="00AB66C5" w:rsidP="005D01CB">
      <w:pPr>
        <w:spacing w:line="250" w:lineRule="auto"/>
        <w:ind w:left="1416" w:firstLine="355"/>
      </w:pPr>
      <w:r>
        <w:t>Cet objectif est atteint par la mise en œuvre de trois pratiques spécifiques (SP) :</w:t>
      </w:r>
    </w:p>
    <w:p w14:paraId="65EE1621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>
        <w:rPr>
          <w:b/>
          <w:bCs/>
        </w:rPr>
        <w:t>2</w:t>
      </w:r>
      <w:r>
        <w:rPr>
          <w:b/>
          <w:bCs/>
        </w:rPr>
        <w:t>.1</w:t>
      </w:r>
      <w:r>
        <w:t xml:space="preserve"> : </w:t>
      </w:r>
      <w:r w:rsidRPr="00AB66C5">
        <w:t>Exécuter l’accord avec le fournisseur</w:t>
      </w:r>
      <w:r>
        <w:t>.</w:t>
      </w:r>
    </w:p>
    <w:p w14:paraId="79D3CFAB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>
        <w:t>Accepter le produit acquis</w:t>
      </w:r>
      <w:r>
        <w:t>.</w:t>
      </w:r>
    </w:p>
    <w:p w14:paraId="4DD2D199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.3</w:t>
      </w:r>
      <w:r>
        <w:t xml:space="preserve"> : </w:t>
      </w:r>
      <w:r>
        <w:t>Transférer les produits acquis du fournisseur</w:t>
      </w:r>
      <w:r>
        <w:t>.</w:t>
      </w:r>
    </w:p>
    <w:p w14:paraId="2BBFCBCD" w14:textId="77777777" w:rsidR="00AB66C5" w:rsidRDefault="00AB66C5" w:rsidP="00AB66C5">
      <w:pPr>
        <w:pStyle w:val="Paragraphedeliste"/>
        <w:spacing w:line="250" w:lineRule="auto"/>
        <w:ind w:left="1771" w:firstLine="0"/>
      </w:pPr>
    </w:p>
    <w:p w14:paraId="77FA3C8E" w14:textId="77777777" w:rsidR="00D566B1" w:rsidRDefault="00BF75A4">
      <w:pPr>
        <w:spacing w:after="12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55F1FF8E" w14:textId="77777777" w:rsidR="00C34258" w:rsidRDefault="00C34258">
      <w:pPr>
        <w:spacing w:after="12" w:line="259" w:lineRule="auto"/>
        <w:ind w:left="721" w:firstLine="0"/>
      </w:pPr>
    </w:p>
    <w:p w14:paraId="3FE5E10C" w14:textId="77777777" w:rsidR="00D566B1" w:rsidRPr="00AB66C5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>
        <w:rPr>
          <w:b/>
          <w:i/>
        </w:rPr>
        <w:t>RSKM</w:t>
      </w:r>
      <w:r w:rsidRPr="00A257D3">
        <w:rPr>
          <w:b/>
          <w:i/>
        </w:rPr>
        <w:t xml:space="preserve"> ?</w:t>
      </w:r>
    </w:p>
    <w:p w14:paraId="70F769DD" w14:textId="77777777" w:rsidR="00AB66C5" w:rsidRDefault="00AB66C5" w:rsidP="00AB66C5">
      <w:pPr>
        <w:spacing w:line="250" w:lineRule="auto"/>
        <w:ind w:left="706" w:firstLine="0"/>
      </w:pPr>
    </w:p>
    <w:p w14:paraId="5EA541B0" w14:textId="77777777" w:rsidR="00AB66C5" w:rsidRDefault="00BF75A4" w:rsidP="00AB66C5">
      <w:pPr>
        <w:spacing w:line="250" w:lineRule="auto"/>
        <w:ind w:left="706" w:firstLine="0"/>
      </w:pPr>
      <w:r>
        <w:rPr>
          <w:b/>
          <w:i/>
        </w:rPr>
        <w:t xml:space="preserve"> </w:t>
      </w:r>
      <w:r w:rsidR="00AB66C5">
        <w:t xml:space="preserve">Les </w:t>
      </w:r>
      <w:r w:rsidR="005D01CB">
        <w:t>trois</w:t>
      </w:r>
      <w:r w:rsidR="00AB66C5">
        <w:t xml:space="preserve"> objectifs spécifiques « </w:t>
      </w:r>
      <w:proofErr w:type="spellStart"/>
      <w:r w:rsidR="00AB66C5">
        <w:t>Specific</w:t>
      </w:r>
      <w:proofErr w:type="spellEnd"/>
      <w:r w:rsidR="00AB66C5">
        <w:t xml:space="preserve"> Goals » (SG) sur lesquels est structurée la gestion des </w:t>
      </w:r>
      <w:r w:rsidR="005D01CB">
        <w:t xml:space="preserve">risques </w:t>
      </w:r>
      <w:r w:rsidR="00AB66C5">
        <w:t>« </w:t>
      </w:r>
      <w:r w:rsidR="005D01CB" w:rsidRPr="005D01CB">
        <w:t xml:space="preserve">Risk </w:t>
      </w:r>
      <w:r w:rsidR="005D01CB" w:rsidRPr="005D01CB">
        <w:t>Management</w:t>
      </w:r>
      <w:r w:rsidR="005D01CB">
        <w:t xml:space="preserve"> »</w:t>
      </w:r>
      <w:r w:rsidR="00AB66C5">
        <w:t xml:space="preserve"> (</w:t>
      </w:r>
      <w:r w:rsidR="005D01CB">
        <w:t>RSKM</w:t>
      </w:r>
      <w:r w:rsidR="00AB66C5">
        <w:t>) sont les suivants :</w:t>
      </w:r>
    </w:p>
    <w:p w14:paraId="04D5E744" w14:textId="77777777" w:rsidR="00C34258" w:rsidRDefault="00C34258" w:rsidP="00AB66C5">
      <w:pPr>
        <w:spacing w:line="250" w:lineRule="auto"/>
        <w:ind w:left="706" w:firstLine="0"/>
      </w:pPr>
    </w:p>
    <w:p w14:paraId="1D15C584" w14:textId="77777777" w:rsidR="00AB66C5" w:rsidRDefault="005D01CB" w:rsidP="00AB66C5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>RSKM</w:t>
      </w:r>
      <w:r w:rsidR="00AB66C5" w:rsidRPr="00FF5277">
        <w:rPr>
          <w:b/>
          <w:bCs/>
        </w:rPr>
        <w:t>-SG1</w:t>
      </w:r>
      <w:r w:rsidR="00AB66C5">
        <w:t xml:space="preserve"> : </w:t>
      </w:r>
      <w:r>
        <w:t>Mener une préparation pour la gestion des risques</w:t>
      </w:r>
      <w:r w:rsidR="00AB66C5">
        <w:t>.</w:t>
      </w:r>
    </w:p>
    <w:p w14:paraId="67471A10" w14:textId="77777777" w:rsidR="00AB66C5" w:rsidRDefault="00AB66C5" w:rsidP="005D01CB">
      <w:pPr>
        <w:spacing w:line="250" w:lineRule="auto"/>
        <w:ind w:left="1416" w:firstLine="355"/>
      </w:pPr>
      <w:r>
        <w:t>Cet objectif est atteint par la mise en œuvre de trois pratiques spécifiques (SP) :</w:t>
      </w:r>
    </w:p>
    <w:p w14:paraId="2DBFD219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 xml:space="preserve"> : </w:t>
      </w:r>
      <w:r w:rsidR="005D01CB" w:rsidRPr="005D01CB">
        <w:t>Déterminer les sources et les catégories de risques</w:t>
      </w:r>
      <w:r>
        <w:t>.</w:t>
      </w:r>
    </w:p>
    <w:p w14:paraId="32EBCD58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 xml:space="preserve"> : </w:t>
      </w:r>
      <w:r w:rsidR="005D01CB" w:rsidRPr="005D01CB">
        <w:t>Définir les paramètres des risques</w:t>
      </w:r>
      <w:r>
        <w:t>.</w:t>
      </w:r>
    </w:p>
    <w:p w14:paraId="1B316EA8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 xml:space="preserve"> : </w:t>
      </w:r>
      <w:r w:rsidR="005D01CB" w:rsidRPr="005D01CB">
        <w:t>Établir une stratégie de gestion des risques</w:t>
      </w:r>
      <w:r>
        <w:t>.</w:t>
      </w:r>
    </w:p>
    <w:p w14:paraId="526ED3A9" w14:textId="77777777" w:rsidR="00AB66C5" w:rsidRDefault="00AB66C5" w:rsidP="00AB66C5">
      <w:pPr>
        <w:pStyle w:val="Paragraphedeliste"/>
        <w:spacing w:line="250" w:lineRule="auto"/>
        <w:ind w:left="2491" w:firstLine="0"/>
      </w:pPr>
    </w:p>
    <w:p w14:paraId="00BACFD1" w14:textId="77777777" w:rsidR="00AB66C5" w:rsidRDefault="005D01CB" w:rsidP="00AB66C5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>RSKM</w:t>
      </w:r>
      <w:r w:rsidRPr="005D01CB">
        <w:rPr>
          <w:b/>
          <w:bCs/>
        </w:rPr>
        <w:t xml:space="preserve"> </w:t>
      </w:r>
      <w:r w:rsidR="00AB66C5" w:rsidRPr="00FF5277">
        <w:rPr>
          <w:b/>
          <w:bCs/>
        </w:rPr>
        <w:t>-SG</w:t>
      </w:r>
      <w:r w:rsidR="00AB66C5">
        <w:rPr>
          <w:b/>
          <w:bCs/>
        </w:rPr>
        <w:t>2</w:t>
      </w:r>
      <w:r w:rsidR="00AB66C5">
        <w:t> : Faire respecter les accords projet - fournisseur</w:t>
      </w:r>
    </w:p>
    <w:p w14:paraId="19C33B1A" w14:textId="77777777" w:rsidR="00AB66C5" w:rsidRDefault="00AB66C5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5D01CB">
        <w:t>deux</w:t>
      </w:r>
      <w:r>
        <w:t xml:space="preserve"> pratiques spécifiques (SP) :</w:t>
      </w:r>
    </w:p>
    <w:p w14:paraId="71BF146F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="005D01CB">
        <w:t>Identifier les risques</w:t>
      </w:r>
      <w:r>
        <w:t>.</w:t>
      </w:r>
    </w:p>
    <w:p w14:paraId="4A7FD04F" w14:textId="77777777" w:rsidR="00AB66C5" w:rsidRDefault="00AB66C5" w:rsidP="00AB66C5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="005D01CB" w:rsidRPr="005D01CB">
        <w:t>Évaluer, catégoriser et prioriser les risques</w:t>
      </w:r>
      <w:r>
        <w:t>.</w:t>
      </w:r>
    </w:p>
    <w:p w14:paraId="2467512D" w14:textId="77777777" w:rsidR="005D01CB" w:rsidRDefault="005D01CB" w:rsidP="005D01CB">
      <w:pPr>
        <w:pStyle w:val="Paragraphedeliste"/>
        <w:spacing w:line="250" w:lineRule="auto"/>
        <w:ind w:left="2491" w:firstLine="0"/>
      </w:pPr>
    </w:p>
    <w:p w14:paraId="2AA1E319" w14:textId="77777777" w:rsidR="005D01CB" w:rsidRDefault="005D01CB" w:rsidP="005D01CB">
      <w:pPr>
        <w:pStyle w:val="Paragraphedeliste"/>
        <w:numPr>
          <w:ilvl w:val="0"/>
          <w:numId w:val="6"/>
        </w:numPr>
        <w:spacing w:line="250" w:lineRule="auto"/>
      </w:pPr>
      <w:r w:rsidRPr="005D01CB">
        <w:rPr>
          <w:b/>
          <w:bCs/>
        </w:rPr>
        <w:t xml:space="preserve">RSKM </w:t>
      </w:r>
      <w:r w:rsidRPr="00FF5277">
        <w:rPr>
          <w:b/>
          <w:bCs/>
        </w:rPr>
        <w:t>-SG</w:t>
      </w:r>
      <w:r>
        <w:rPr>
          <w:b/>
          <w:bCs/>
        </w:rPr>
        <w:t>3</w:t>
      </w:r>
      <w:r>
        <w:t xml:space="preserve"> : </w:t>
      </w:r>
      <w:r>
        <w:t>Gérer et atténuer les risques lorsque nécessaire afin de diminuer les impacts qui peuvent nuire à leur atteinte.</w:t>
      </w:r>
    </w:p>
    <w:p w14:paraId="1F91EEF4" w14:textId="77777777" w:rsidR="005D01CB" w:rsidRDefault="005D01CB" w:rsidP="005D01CB">
      <w:pPr>
        <w:spacing w:line="250" w:lineRule="auto"/>
        <w:ind w:left="1416" w:firstLine="355"/>
      </w:pPr>
      <w:r>
        <w:t>Cet objectif est atteint par la mise en œuvre de deux pratiques spécifiques (SP) :</w:t>
      </w:r>
    </w:p>
    <w:p w14:paraId="3C88DB4F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>
        <w:rPr>
          <w:b/>
          <w:bCs/>
        </w:rPr>
        <w:t>3</w:t>
      </w:r>
      <w:r>
        <w:rPr>
          <w:b/>
          <w:bCs/>
        </w:rPr>
        <w:t>.1</w:t>
      </w:r>
      <w:r>
        <w:t xml:space="preserve"> : </w:t>
      </w:r>
      <w:r>
        <w:t>Développer les plans d’atténuation des risques</w:t>
      </w:r>
      <w:r>
        <w:t>.</w:t>
      </w:r>
    </w:p>
    <w:p w14:paraId="69524947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3</w:t>
      </w:r>
      <w:r w:rsidRPr="00C16F60">
        <w:rPr>
          <w:b/>
          <w:bCs/>
        </w:rPr>
        <w:t>.2</w:t>
      </w:r>
      <w:r>
        <w:t xml:space="preserve"> : </w:t>
      </w:r>
      <w:r>
        <w:t>Mettre en œuvre</w:t>
      </w:r>
      <w:r>
        <w:t xml:space="preserve"> les plans d’atténuation des risques.</w:t>
      </w:r>
    </w:p>
    <w:p w14:paraId="14D211FF" w14:textId="77777777" w:rsidR="00AB66C5" w:rsidRDefault="00AB66C5" w:rsidP="00AB66C5">
      <w:pPr>
        <w:pStyle w:val="Paragraphedeliste"/>
        <w:spacing w:line="250" w:lineRule="auto"/>
        <w:ind w:left="1771" w:firstLine="0"/>
      </w:pPr>
    </w:p>
    <w:p w14:paraId="5A091803" w14:textId="77777777" w:rsidR="00D566B1" w:rsidRDefault="00BF75A4">
      <w:pPr>
        <w:spacing w:after="0" w:line="259" w:lineRule="auto"/>
        <w:ind w:left="721" w:firstLine="0"/>
        <w:rPr>
          <w:b/>
          <w:i/>
        </w:rPr>
      </w:pPr>
      <w:r>
        <w:rPr>
          <w:b/>
          <w:i/>
        </w:rPr>
        <w:t xml:space="preserve"> </w:t>
      </w:r>
    </w:p>
    <w:p w14:paraId="29EB03A8" w14:textId="77777777" w:rsidR="00C34258" w:rsidRDefault="00C34258">
      <w:pPr>
        <w:spacing w:after="0" w:line="259" w:lineRule="auto"/>
        <w:ind w:left="721" w:firstLine="0"/>
        <w:rPr>
          <w:b/>
          <w:i/>
        </w:rPr>
      </w:pPr>
    </w:p>
    <w:p w14:paraId="37F81255" w14:textId="77777777" w:rsidR="000B5DC4" w:rsidRDefault="000B5DC4">
      <w:pPr>
        <w:spacing w:after="0" w:line="259" w:lineRule="auto"/>
        <w:ind w:left="721" w:firstLine="0"/>
        <w:rPr>
          <w:b/>
          <w:i/>
        </w:rPr>
      </w:pPr>
    </w:p>
    <w:p w14:paraId="42E4199A" w14:textId="77777777" w:rsidR="00C34258" w:rsidRDefault="00C34258">
      <w:pPr>
        <w:spacing w:after="0" w:line="259" w:lineRule="auto"/>
        <w:ind w:left="721" w:firstLine="0"/>
      </w:pPr>
    </w:p>
    <w:p w14:paraId="43B6F0CD" w14:textId="77777777" w:rsidR="00D566B1" w:rsidRDefault="00BF75A4">
      <w:pPr>
        <w:spacing w:after="158" w:line="250" w:lineRule="auto"/>
        <w:ind w:left="355"/>
        <w:rPr>
          <w:b/>
          <w:i/>
        </w:rPr>
      </w:pPr>
      <w:r>
        <w:rPr>
          <w:b/>
          <w:i/>
        </w:rPr>
        <w:lastRenderedPageBreak/>
        <w:t xml:space="preserve">6- </w:t>
      </w:r>
      <w:r w:rsidR="00A257D3">
        <w:rPr>
          <w:b/>
          <w:i/>
        </w:rPr>
        <w:t>Q</w:t>
      </w:r>
      <w:r w:rsidR="00A257D3" w:rsidRPr="00A257D3">
        <w:rPr>
          <w:b/>
          <w:i/>
        </w:rPr>
        <w:t>uel</w:t>
      </w:r>
      <w:r w:rsidR="00A257D3">
        <w:rPr>
          <w:b/>
          <w:i/>
        </w:rPr>
        <w:t>s</w:t>
      </w:r>
      <w:r w:rsidR="00A257D3" w:rsidRPr="00A257D3">
        <w:rPr>
          <w:b/>
          <w:i/>
        </w:rPr>
        <w:t xml:space="preserve"> sont les objectifs de </w:t>
      </w:r>
      <w:r w:rsidR="00A257D3">
        <w:rPr>
          <w:b/>
          <w:i/>
        </w:rPr>
        <w:t>IPM</w:t>
      </w:r>
      <w:r w:rsidR="00A257D3" w:rsidRPr="00A257D3">
        <w:rPr>
          <w:b/>
          <w:i/>
        </w:rPr>
        <w:t xml:space="preserve"> ?</w:t>
      </w:r>
    </w:p>
    <w:p w14:paraId="5C40C9BA" w14:textId="77777777" w:rsidR="005D01CB" w:rsidRDefault="005D01CB" w:rsidP="005D01CB">
      <w:pPr>
        <w:spacing w:line="250" w:lineRule="auto"/>
        <w:ind w:left="706" w:firstLine="0"/>
      </w:pPr>
      <w:r>
        <w:t xml:space="preserve">Les </w:t>
      </w:r>
      <w:r>
        <w:t>deux</w:t>
      </w:r>
      <w:r>
        <w:t xml:space="preserve"> objectifs spécifiques « </w:t>
      </w:r>
      <w:proofErr w:type="spellStart"/>
      <w:r>
        <w:t>Specific</w:t>
      </w:r>
      <w:proofErr w:type="spellEnd"/>
      <w:r>
        <w:t xml:space="preserve"> Goals » (SG) sur lesquels est structurée la gestion de </w:t>
      </w:r>
      <w:r>
        <w:t xml:space="preserve">projet intégrée </w:t>
      </w:r>
      <w:r>
        <w:t>« </w:t>
      </w:r>
      <w:r w:rsidRPr="005D01CB">
        <w:t>Integrated Project Management</w:t>
      </w:r>
      <w:r>
        <w:t xml:space="preserve"> </w:t>
      </w:r>
      <w:r>
        <w:t>» (</w:t>
      </w:r>
      <w:r>
        <w:t>IPM</w:t>
      </w:r>
      <w:r>
        <w:t>) sont les suivants :</w:t>
      </w:r>
    </w:p>
    <w:p w14:paraId="3C87DBEE" w14:textId="77777777" w:rsidR="00C34258" w:rsidRDefault="00C34258" w:rsidP="005D01CB">
      <w:pPr>
        <w:spacing w:line="250" w:lineRule="auto"/>
        <w:ind w:left="706" w:firstLine="0"/>
      </w:pPr>
    </w:p>
    <w:p w14:paraId="430D20DD" w14:textId="77777777" w:rsidR="005D01CB" w:rsidRDefault="005D01CB" w:rsidP="005D01CB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IPM</w:t>
      </w:r>
      <w:r w:rsidRPr="00FF5277">
        <w:rPr>
          <w:b/>
          <w:bCs/>
        </w:rPr>
        <w:t>-SG1</w:t>
      </w:r>
      <w:r>
        <w:t xml:space="preserve"> : Mener </w:t>
      </w:r>
      <w:r>
        <w:t>le projet en utilisant un processus ajusté,</w:t>
      </w:r>
      <w:r w:rsidR="00C34258">
        <w:t xml:space="preserve"> dérivé de l’ensemble des processus standards de l’organisation</w:t>
      </w:r>
      <w:r>
        <w:t>.</w:t>
      </w:r>
    </w:p>
    <w:p w14:paraId="69B28B3C" w14:textId="77777777" w:rsidR="005D01CB" w:rsidRDefault="005D01CB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C34258">
        <w:t>sept</w:t>
      </w:r>
      <w:r>
        <w:t xml:space="preserve"> pratiques spécifiques (SP) :</w:t>
      </w:r>
    </w:p>
    <w:p w14:paraId="01946B8C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.1</w:t>
      </w:r>
      <w:r>
        <w:t xml:space="preserve"> : </w:t>
      </w:r>
      <w:r w:rsidR="00C34258" w:rsidRPr="00C34258">
        <w:t>Établir le processus ajusté du projet</w:t>
      </w:r>
      <w:r>
        <w:t>.</w:t>
      </w:r>
    </w:p>
    <w:p w14:paraId="35EE78CE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SP1.2</w:t>
      </w:r>
      <w:r>
        <w:t xml:space="preserve"> : </w:t>
      </w:r>
      <w:r w:rsidR="00C34258">
        <w:t>Utiliser les actifs de processus organisationnels</w:t>
      </w:r>
      <w:r w:rsidR="00C34258">
        <w:t xml:space="preserve"> </w:t>
      </w:r>
      <w:r w:rsidR="00C34258">
        <w:t>pour planifier les activités du projet</w:t>
      </w:r>
      <w:r>
        <w:t>.</w:t>
      </w:r>
    </w:p>
    <w:p w14:paraId="189D515A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SP1.3</w:t>
      </w:r>
      <w:r>
        <w:t xml:space="preserve"> : </w:t>
      </w:r>
      <w:r w:rsidR="00C34258" w:rsidRPr="00C34258">
        <w:t>Établi</w:t>
      </w:r>
      <w:r w:rsidR="00C34258">
        <w:t>r l’environnement</w:t>
      </w:r>
      <w:r w:rsidR="00C34258">
        <w:t xml:space="preserve"> </w:t>
      </w:r>
      <w:r w:rsidR="00C34258">
        <w:t>de travail du projet</w:t>
      </w:r>
      <w:r>
        <w:t>.</w:t>
      </w:r>
    </w:p>
    <w:p w14:paraId="6646B8D1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</w:t>
      </w:r>
      <w:r w:rsidRPr="00FF5277"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4</w:t>
      </w:r>
      <w:r>
        <w:t xml:space="preserve"> : </w:t>
      </w:r>
      <w:r w:rsidRPr="00C34258">
        <w:t>Intégrer les plans</w:t>
      </w:r>
      <w:r>
        <w:t>.</w:t>
      </w:r>
    </w:p>
    <w:p w14:paraId="422D22EF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5</w:t>
      </w:r>
      <w:r>
        <w:t xml:space="preserve"> : </w:t>
      </w:r>
      <w:r w:rsidRPr="00C34258">
        <w:t>Gérer le projet en utilisant les plans intégrés</w:t>
      </w:r>
      <w:r>
        <w:t>.</w:t>
      </w:r>
    </w:p>
    <w:p w14:paraId="58A21213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6</w:t>
      </w:r>
      <w:r>
        <w:t xml:space="preserve"> : </w:t>
      </w:r>
      <w:r w:rsidRPr="00C34258">
        <w:t>Établir et maintenir les équipes</w:t>
      </w:r>
      <w:r>
        <w:t>.</w:t>
      </w:r>
    </w:p>
    <w:p w14:paraId="5C9C4847" w14:textId="77777777" w:rsidR="00C34258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SP1.</w:t>
      </w:r>
      <w:r>
        <w:rPr>
          <w:b/>
          <w:bCs/>
        </w:rPr>
        <w:t>7</w:t>
      </w:r>
      <w:r>
        <w:t xml:space="preserve"> : </w:t>
      </w:r>
      <w:r w:rsidRPr="00C34258">
        <w:t>Contribuer aux actifs de processus organisationnels</w:t>
      </w:r>
      <w:r>
        <w:t>.</w:t>
      </w:r>
    </w:p>
    <w:p w14:paraId="728DC2C7" w14:textId="77777777" w:rsidR="00C34258" w:rsidRDefault="00C34258" w:rsidP="00C34258">
      <w:pPr>
        <w:pStyle w:val="Paragraphedeliste"/>
        <w:numPr>
          <w:ilvl w:val="2"/>
          <w:numId w:val="6"/>
        </w:numPr>
        <w:spacing w:line="250" w:lineRule="auto"/>
      </w:pPr>
      <w:r>
        <w:t>Invoque</w:t>
      </w:r>
      <w:r>
        <w:rPr>
          <w:b/>
          <w:bCs/>
        </w:rPr>
        <w:t xml:space="preserve"> </w:t>
      </w:r>
      <w:r w:rsidRPr="00C34258">
        <w:rPr>
          <w:b/>
          <w:bCs/>
        </w:rPr>
        <w:t>GP3.2</w:t>
      </w:r>
      <w:r w:rsidRPr="00C34258">
        <w:t xml:space="preserve"> : </w:t>
      </w:r>
      <w:r>
        <w:t xml:space="preserve">Faire apporter par les projets un retour d’expérience à l’organisation. </w:t>
      </w:r>
    </w:p>
    <w:p w14:paraId="43763737" w14:textId="77777777" w:rsidR="00C34258" w:rsidRDefault="00C34258" w:rsidP="00C34258">
      <w:pPr>
        <w:pStyle w:val="Paragraphedeliste"/>
        <w:spacing w:line="250" w:lineRule="auto"/>
        <w:ind w:left="2491" w:firstLine="0"/>
      </w:pPr>
    </w:p>
    <w:p w14:paraId="29311A9D" w14:textId="77777777" w:rsidR="005D01CB" w:rsidRDefault="00C34258" w:rsidP="005D01CB">
      <w:pPr>
        <w:pStyle w:val="Paragraphedeliste"/>
        <w:numPr>
          <w:ilvl w:val="0"/>
          <w:numId w:val="6"/>
        </w:numPr>
        <w:spacing w:line="250" w:lineRule="auto"/>
      </w:pPr>
      <w:r>
        <w:rPr>
          <w:b/>
          <w:bCs/>
        </w:rPr>
        <w:t>IPM</w:t>
      </w:r>
      <w:r w:rsidRPr="00FF5277">
        <w:rPr>
          <w:b/>
          <w:bCs/>
        </w:rPr>
        <w:t xml:space="preserve"> </w:t>
      </w:r>
      <w:r w:rsidR="005D01CB" w:rsidRPr="00FF5277">
        <w:rPr>
          <w:b/>
          <w:bCs/>
        </w:rPr>
        <w:t>-SG</w:t>
      </w:r>
      <w:r w:rsidR="005D01CB">
        <w:rPr>
          <w:b/>
          <w:bCs/>
        </w:rPr>
        <w:t>2</w:t>
      </w:r>
      <w:r w:rsidR="005D01CB">
        <w:t> : Faire respecter les accords projet - fournisseur</w:t>
      </w:r>
    </w:p>
    <w:p w14:paraId="5BD6C682" w14:textId="508F257C" w:rsidR="005D01CB" w:rsidRDefault="005D01CB" w:rsidP="005D01CB">
      <w:pPr>
        <w:spacing w:line="250" w:lineRule="auto"/>
        <w:ind w:left="1416" w:firstLine="355"/>
      </w:pPr>
      <w:r>
        <w:t xml:space="preserve">Cet objectif est atteint par la mise en œuvre de </w:t>
      </w:r>
      <w:r w:rsidR="000B5DC4">
        <w:t>trois</w:t>
      </w:r>
      <w:r>
        <w:t xml:space="preserve"> pratiques spécifiques (SP) :</w:t>
      </w:r>
    </w:p>
    <w:p w14:paraId="598A6262" w14:textId="77777777" w:rsidR="005D01CB" w:rsidRDefault="005D01CB" w:rsidP="00C34258">
      <w:pPr>
        <w:pStyle w:val="Paragraphedeliste"/>
        <w:numPr>
          <w:ilvl w:val="1"/>
          <w:numId w:val="6"/>
        </w:numPr>
        <w:spacing w:line="250" w:lineRule="auto"/>
      </w:pPr>
      <w:r>
        <w:rPr>
          <w:b/>
          <w:bCs/>
        </w:rPr>
        <w:t>SP2.1</w:t>
      </w:r>
      <w:r>
        <w:t xml:space="preserve"> : </w:t>
      </w:r>
      <w:r w:rsidR="00C34258">
        <w:t>Gérer l’implication dans le projet des parties prenantes</w:t>
      </w:r>
      <w:r w:rsidR="00C34258">
        <w:t xml:space="preserve"> </w:t>
      </w:r>
      <w:r w:rsidR="00C34258">
        <w:t>concernées</w:t>
      </w:r>
      <w:r>
        <w:t>.</w:t>
      </w:r>
    </w:p>
    <w:p w14:paraId="2CED3ECA" w14:textId="77777777" w:rsidR="005D01CB" w:rsidRDefault="005D01CB" w:rsidP="005D01CB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.2</w:t>
      </w:r>
      <w:r>
        <w:t xml:space="preserve"> : </w:t>
      </w:r>
      <w:r w:rsidR="00C34258" w:rsidRPr="00C34258">
        <w:t>Gérer les dépendances</w:t>
      </w:r>
      <w:r>
        <w:t>.</w:t>
      </w:r>
    </w:p>
    <w:p w14:paraId="248EA885" w14:textId="77777777" w:rsidR="005D01CB" w:rsidRDefault="00C34258" w:rsidP="00C34258">
      <w:pPr>
        <w:pStyle w:val="Paragraphedeliste"/>
        <w:numPr>
          <w:ilvl w:val="1"/>
          <w:numId w:val="6"/>
        </w:numPr>
        <w:spacing w:line="250" w:lineRule="auto"/>
      </w:pPr>
      <w:r w:rsidRPr="00C16F60">
        <w:rPr>
          <w:b/>
          <w:bCs/>
        </w:rPr>
        <w:t>SP</w:t>
      </w:r>
      <w:r>
        <w:rPr>
          <w:b/>
          <w:bCs/>
        </w:rPr>
        <w:t>2</w:t>
      </w:r>
      <w:r w:rsidRPr="00C16F60">
        <w:rPr>
          <w:b/>
          <w:bCs/>
        </w:rPr>
        <w:t>.</w:t>
      </w:r>
      <w:r>
        <w:rPr>
          <w:b/>
          <w:bCs/>
        </w:rPr>
        <w:t>3</w:t>
      </w:r>
      <w:r>
        <w:t xml:space="preserve"> : </w:t>
      </w:r>
      <w:r>
        <w:t>R</w:t>
      </w:r>
      <w:r>
        <w:t>égler les problèmes avec les parties</w:t>
      </w:r>
      <w:r>
        <w:t xml:space="preserve"> </w:t>
      </w:r>
      <w:r>
        <w:t>prenantes con</w:t>
      </w:r>
      <w:bookmarkStart w:id="0" w:name="_GoBack"/>
      <w:bookmarkEnd w:id="0"/>
      <w:r>
        <w:t>cernées.</w:t>
      </w:r>
    </w:p>
    <w:sectPr w:rsidR="005D01CB">
      <w:headerReference w:type="default" r:id="rId7"/>
      <w:footerReference w:type="default" r:id="rId8"/>
      <w:pgSz w:w="11904" w:h="16838"/>
      <w:pgMar w:top="1440" w:right="1448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00E0" w14:textId="77777777" w:rsidR="00BE373D" w:rsidRDefault="00BE373D" w:rsidP="00C34258">
      <w:pPr>
        <w:spacing w:after="0" w:line="240" w:lineRule="auto"/>
      </w:pPr>
      <w:r>
        <w:separator/>
      </w:r>
    </w:p>
  </w:endnote>
  <w:endnote w:type="continuationSeparator" w:id="0">
    <w:p w14:paraId="5949EEA7" w14:textId="77777777" w:rsidR="00BE373D" w:rsidRDefault="00BE373D" w:rsidP="00C3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9F97" w14:textId="77777777" w:rsidR="00C34258" w:rsidRDefault="00C34258" w:rsidP="00C34258">
    <w:pPr>
      <w:pStyle w:val="Pieddepage"/>
      <w:ind w:left="0" w:firstLine="0"/>
    </w:pPr>
    <w:r>
      <w:t>31 octobre 2019</w:t>
    </w:r>
    <w:r>
      <w:tab/>
    </w:r>
    <w:r>
      <w:tab/>
    </w:r>
    <w:r w:rsidR="000B5DC4">
      <w:fldChar w:fldCharType="begin"/>
    </w:r>
    <w:r w:rsidR="000B5DC4">
      <w:instrText>PAGE   \* MERGEFORMAT</w:instrText>
    </w:r>
    <w:r w:rsidR="000B5DC4">
      <w:fldChar w:fldCharType="separate"/>
    </w:r>
    <w:r w:rsidR="000B5DC4">
      <w:t>1</w:t>
    </w:r>
    <w:r w:rsidR="000B5D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7CFC" w14:textId="77777777" w:rsidR="00BE373D" w:rsidRDefault="00BE373D" w:rsidP="00C34258">
      <w:pPr>
        <w:spacing w:after="0" w:line="240" w:lineRule="auto"/>
      </w:pPr>
      <w:r>
        <w:separator/>
      </w:r>
    </w:p>
  </w:footnote>
  <w:footnote w:type="continuationSeparator" w:id="0">
    <w:p w14:paraId="50567A96" w14:textId="77777777" w:rsidR="00BE373D" w:rsidRDefault="00BE373D" w:rsidP="00C3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A081" w14:textId="77777777" w:rsidR="000B5DC4" w:rsidRDefault="000B5DC4" w:rsidP="000B5DC4">
    <w:pPr>
      <w:tabs>
        <w:tab w:val="center" w:pos="1417"/>
        <w:tab w:val="center" w:pos="2123"/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right" w:pos="9039"/>
      </w:tabs>
      <w:spacing w:after="0" w:line="259" w:lineRule="auto"/>
      <w:ind w:left="-15" w:firstLine="0"/>
    </w:pPr>
    <w:r>
      <w:rPr>
        <w:rFonts w:ascii="Arial" w:eastAsia="Arial" w:hAnsi="Arial" w:cs="Arial"/>
        <w:color w:val="767171"/>
        <w:sz w:val="20"/>
      </w:rPr>
      <w:t xml:space="preserve">CMMI V1.3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ORT MS2I 2019-2020 </w:t>
    </w:r>
  </w:p>
  <w:p w14:paraId="5EAB6448" w14:textId="77777777" w:rsidR="000B5DC4" w:rsidRDefault="000B5DC4" w:rsidP="000B5DC4">
    <w:pPr>
      <w:tabs>
        <w:tab w:val="center" w:pos="2834"/>
        <w:tab w:val="center" w:pos="3539"/>
        <w:tab w:val="center" w:pos="4250"/>
        <w:tab w:val="center" w:pos="4956"/>
        <w:tab w:val="center" w:pos="5666"/>
        <w:tab w:val="center" w:pos="6373"/>
        <w:tab w:val="center" w:pos="7941"/>
      </w:tabs>
      <w:spacing w:after="87" w:line="259" w:lineRule="auto"/>
      <w:ind w:left="-15" w:firstLine="0"/>
      <w:rPr>
        <w:rFonts w:ascii="Arial" w:eastAsia="Arial" w:hAnsi="Arial" w:cs="Arial"/>
        <w:color w:val="767171"/>
        <w:sz w:val="20"/>
      </w:rPr>
    </w:pPr>
    <w:r>
      <w:rPr>
        <w:rFonts w:ascii="Arial" w:eastAsia="Arial" w:hAnsi="Arial" w:cs="Arial"/>
        <w:color w:val="767171"/>
        <w:sz w:val="20"/>
      </w:rPr>
      <w:t xml:space="preserve">Chapitre 3 – Management de projet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</w:t>
    </w:r>
    <w:r>
      <w:rPr>
        <w:rFonts w:ascii="Arial" w:eastAsia="Arial" w:hAnsi="Arial" w:cs="Arial"/>
        <w:color w:val="767171"/>
        <w:sz w:val="20"/>
      </w:rPr>
      <w:tab/>
      <w:t xml:space="preserve"> William BASSONVILLE</w:t>
    </w:r>
  </w:p>
  <w:p w14:paraId="7032FBD0" w14:textId="77777777" w:rsidR="000B5DC4" w:rsidRDefault="000B5D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466"/>
    <w:multiLevelType w:val="hybridMultilevel"/>
    <w:tmpl w:val="86E6C01E"/>
    <w:lvl w:ilvl="0" w:tplc="FEEEBE28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3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16304"/>
    <w:multiLevelType w:val="hybridMultilevel"/>
    <w:tmpl w:val="9F60AA84"/>
    <w:lvl w:ilvl="0" w:tplc="493033C0">
      <w:start w:val="6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0B5DC4"/>
    <w:rsid w:val="005D01CB"/>
    <w:rsid w:val="0094175D"/>
    <w:rsid w:val="00A257D3"/>
    <w:rsid w:val="00AB66C5"/>
    <w:rsid w:val="00BE373D"/>
    <w:rsid w:val="00BF75A4"/>
    <w:rsid w:val="00C16F60"/>
    <w:rsid w:val="00C34258"/>
    <w:rsid w:val="00D566B1"/>
    <w:rsid w:val="00E445F3"/>
    <w:rsid w:val="00ED38AB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DF99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FF52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258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34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2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2</cp:revision>
  <cp:lastPrinted>2019-10-31T10:29:00Z</cp:lastPrinted>
  <dcterms:created xsi:type="dcterms:W3CDTF">2019-10-31T10:36:00Z</dcterms:created>
  <dcterms:modified xsi:type="dcterms:W3CDTF">2019-10-31T10:36:00Z</dcterms:modified>
</cp:coreProperties>
</file>