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3E7A" w14:textId="77777777" w:rsidR="00D566B1" w:rsidRDefault="00F871CB">
      <w:pPr>
        <w:tabs>
          <w:tab w:val="center" w:pos="1417"/>
          <w:tab w:val="center" w:pos="2123"/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right" w:pos="9039"/>
        </w:tabs>
        <w:spacing w:after="0" w:line="259" w:lineRule="auto"/>
        <w:ind w:left="-15" w:firstLine="0"/>
      </w:pPr>
      <w:r>
        <w:rPr>
          <w:rFonts w:ascii="Arial" w:eastAsia="Arial" w:hAnsi="Arial" w:cs="Arial"/>
          <w:color w:val="767171"/>
          <w:sz w:val="20"/>
        </w:rPr>
        <w:t xml:space="preserve">CMMI V1.3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ORT MS2I 2019-2020 </w:t>
      </w:r>
    </w:p>
    <w:p w14:paraId="2B3CA83C" w14:textId="77777777" w:rsidR="00D566B1" w:rsidRDefault="00F21FE7" w:rsidP="00F21FE7">
      <w:pPr>
        <w:tabs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center" w:pos="7941"/>
        </w:tabs>
        <w:spacing w:after="87" w:line="259" w:lineRule="auto"/>
        <w:ind w:left="-15" w:firstLine="0"/>
      </w:pPr>
      <w:r>
        <w:rPr>
          <w:rFonts w:ascii="Arial" w:eastAsia="Arial" w:hAnsi="Arial" w:cs="Arial"/>
          <w:color w:val="767171"/>
          <w:sz w:val="20"/>
        </w:rPr>
        <w:t>Chapitre</w:t>
      </w:r>
      <w:r w:rsidR="00F871CB">
        <w:rPr>
          <w:rFonts w:ascii="Arial" w:eastAsia="Arial" w:hAnsi="Arial" w:cs="Arial"/>
          <w:color w:val="767171"/>
          <w:sz w:val="20"/>
        </w:rPr>
        <w:t xml:space="preserve"> </w:t>
      </w:r>
      <w:r>
        <w:rPr>
          <w:rFonts w:ascii="Arial" w:eastAsia="Arial" w:hAnsi="Arial" w:cs="Arial"/>
          <w:color w:val="767171"/>
          <w:sz w:val="20"/>
        </w:rPr>
        <w:t>2</w:t>
      </w:r>
      <w:r w:rsidR="00F871CB">
        <w:rPr>
          <w:rFonts w:ascii="Arial" w:eastAsia="Arial" w:hAnsi="Arial" w:cs="Arial"/>
          <w:color w:val="767171"/>
          <w:sz w:val="20"/>
        </w:rPr>
        <w:t xml:space="preserve"> – </w:t>
      </w:r>
      <w:r>
        <w:rPr>
          <w:rFonts w:ascii="Arial" w:eastAsia="Arial" w:hAnsi="Arial" w:cs="Arial"/>
          <w:color w:val="767171"/>
          <w:sz w:val="20"/>
        </w:rPr>
        <w:t>Les niveaux de maturité</w:t>
      </w:r>
      <w:r w:rsidR="00F871CB">
        <w:rPr>
          <w:rFonts w:ascii="Arial" w:eastAsia="Arial" w:hAnsi="Arial" w:cs="Arial"/>
          <w:color w:val="767171"/>
          <w:sz w:val="20"/>
        </w:rPr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</w:r>
      <w:r>
        <w:rPr>
          <w:rFonts w:ascii="Arial" w:eastAsia="Arial" w:hAnsi="Arial" w:cs="Arial"/>
          <w:color w:val="767171"/>
          <w:sz w:val="20"/>
        </w:rPr>
        <w:t>William BASSONVILLE</w:t>
      </w:r>
      <w:r w:rsidR="00F871CB">
        <w:rPr>
          <w:rFonts w:ascii="Arial" w:eastAsia="Arial" w:hAnsi="Arial" w:cs="Arial"/>
          <w:color w:val="767171"/>
          <w:sz w:val="20"/>
        </w:rPr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F871CB">
        <w:rPr>
          <w:rFonts w:ascii="Arial" w:eastAsia="Arial" w:hAnsi="Arial" w:cs="Arial"/>
          <w:color w:val="767171"/>
          <w:sz w:val="20"/>
        </w:rPr>
        <w:tab/>
      </w:r>
      <w:r w:rsidR="00F871CB">
        <w:rPr>
          <w:rFonts w:ascii="Arial" w:eastAsia="Arial" w:hAnsi="Arial" w:cs="Arial"/>
          <w:color w:val="767171"/>
          <w:sz w:val="26"/>
        </w:rPr>
        <w:t xml:space="preserve"> </w:t>
      </w:r>
    </w:p>
    <w:p w14:paraId="510EDE70" w14:textId="1F52F58F" w:rsidR="00D566B1" w:rsidRDefault="00EB44CF" w:rsidP="00BF75A4">
      <w:pPr>
        <w:pStyle w:val="Titre1"/>
        <w:numPr>
          <w:ilvl w:val="0"/>
          <w:numId w:val="3"/>
        </w:numPr>
        <w:ind w:left="284"/>
      </w:pPr>
      <w:r>
        <w:t>Plan prévisionnel de mise en place du CMMI dans une organisation de maturité 1.</w:t>
      </w:r>
    </w:p>
    <w:p w14:paraId="427843F5" w14:textId="0ED6FC29" w:rsidR="00D566B1" w:rsidRDefault="00F871CB">
      <w:pPr>
        <w:spacing w:after="185" w:line="259" w:lineRule="auto"/>
        <w:ind w:left="0" w:firstLine="0"/>
      </w:pPr>
      <w:r>
        <w:t xml:space="preserve"> </w:t>
      </w:r>
    </w:p>
    <w:p w14:paraId="68947168" w14:textId="33EA83BE" w:rsidR="00C716EC" w:rsidRDefault="00C716EC">
      <w:pPr>
        <w:spacing w:after="185" w:line="259" w:lineRule="auto"/>
        <w:ind w:left="0" w:firstLine="0"/>
      </w:pPr>
      <w:r>
        <w:t xml:space="preserve">En amont, il conviendra d’évaluer le statut initial et prendre connaissance de la méthodologie </w:t>
      </w:r>
      <w:r w:rsidR="00DA169E">
        <w:t>utilisée</w:t>
      </w:r>
      <w:r>
        <w:t xml:space="preserve"> pour l’ensemble des processus de l’organisation, afin de faire un bilan sur ce qui devra être mis en place dans le cadre de la mise en œuvre du CMMI.</w:t>
      </w:r>
    </w:p>
    <w:p w14:paraId="46CCD735" w14:textId="4DC28C44" w:rsidR="00B50818" w:rsidRDefault="00B50818">
      <w:pPr>
        <w:spacing w:after="185" w:line="259" w:lineRule="auto"/>
        <w:ind w:left="0" w:firstLine="0"/>
      </w:pPr>
      <w:r>
        <w:t xml:space="preserve">Un questionnaire à été envoyé par mail à tous les collaborateurs afin de prendre connaissance de leur rôle, de leur responsabilité, et des tâches qu’ils sont </w:t>
      </w:r>
      <w:r w:rsidR="00F871CB">
        <w:t>amenés</w:t>
      </w:r>
      <w:r>
        <w:t xml:space="preserve"> à effectuer.</w:t>
      </w:r>
    </w:p>
    <w:p w14:paraId="1AD3DC9B" w14:textId="6C24BE9E" w:rsidR="00BF75A4" w:rsidRDefault="00DA169E" w:rsidP="00DA169E">
      <w:pPr>
        <w:spacing w:line="250" w:lineRule="auto"/>
        <w:ind w:left="0" w:firstLine="0"/>
        <w:rPr>
          <w:bCs/>
          <w:iCs/>
        </w:rPr>
      </w:pPr>
      <w:r>
        <w:rPr>
          <w:bCs/>
          <w:iCs/>
        </w:rPr>
        <w:t>La mise en application du CMMI se fait pour l’ensemble des processus de l’organisation, à savoir :</w:t>
      </w:r>
    </w:p>
    <w:p w14:paraId="58B19434" w14:textId="28F8AAEC" w:rsidR="00DA169E" w:rsidRDefault="00DA169E" w:rsidP="00DA169E">
      <w:pPr>
        <w:pStyle w:val="Paragraphedeliste"/>
        <w:numPr>
          <w:ilvl w:val="0"/>
          <w:numId w:val="8"/>
        </w:numPr>
        <w:spacing w:line="250" w:lineRule="auto"/>
        <w:rPr>
          <w:bCs/>
          <w:iCs/>
        </w:rPr>
      </w:pPr>
      <w:r>
        <w:rPr>
          <w:bCs/>
          <w:iCs/>
        </w:rPr>
        <w:t>Le management de projet</w:t>
      </w:r>
    </w:p>
    <w:p w14:paraId="66C1F287" w14:textId="5AC6BFF6" w:rsidR="00B50818" w:rsidRDefault="00B50818" w:rsidP="00DA169E">
      <w:pPr>
        <w:pStyle w:val="Paragraphedeliste"/>
        <w:numPr>
          <w:ilvl w:val="0"/>
          <w:numId w:val="8"/>
        </w:numPr>
        <w:spacing w:line="250" w:lineRule="auto"/>
        <w:rPr>
          <w:bCs/>
          <w:iCs/>
        </w:rPr>
      </w:pPr>
      <w:r>
        <w:rPr>
          <w:bCs/>
          <w:iCs/>
        </w:rPr>
        <w:t>L’ingénierie</w:t>
      </w:r>
    </w:p>
    <w:p w14:paraId="15BF13FD" w14:textId="23435E05" w:rsidR="00B50818" w:rsidRDefault="00B50818" w:rsidP="00DA169E">
      <w:pPr>
        <w:pStyle w:val="Paragraphedeliste"/>
        <w:numPr>
          <w:ilvl w:val="0"/>
          <w:numId w:val="8"/>
        </w:numPr>
        <w:spacing w:line="250" w:lineRule="auto"/>
        <w:rPr>
          <w:bCs/>
          <w:iCs/>
        </w:rPr>
      </w:pPr>
      <w:r>
        <w:rPr>
          <w:bCs/>
          <w:iCs/>
        </w:rPr>
        <w:t>Le support</w:t>
      </w:r>
    </w:p>
    <w:p w14:paraId="6A7AAC9F" w14:textId="26955C76" w:rsidR="00B50818" w:rsidRDefault="00B50818" w:rsidP="00DA169E">
      <w:pPr>
        <w:pStyle w:val="Paragraphedeliste"/>
        <w:numPr>
          <w:ilvl w:val="0"/>
          <w:numId w:val="8"/>
        </w:numPr>
        <w:spacing w:line="250" w:lineRule="auto"/>
        <w:rPr>
          <w:bCs/>
          <w:iCs/>
        </w:rPr>
      </w:pPr>
      <w:r>
        <w:rPr>
          <w:bCs/>
          <w:iCs/>
        </w:rPr>
        <w:t>Le management des processus.</w:t>
      </w:r>
    </w:p>
    <w:p w14:paraId="4B08EE30" w14:textId="77777777" w:rsidR="00B50818" w:rsidRDefault="00B50818" w:rsidP="00B50818">
      <w:pPr>
        <w:pStyle w:val="Paragraphedeliste"/>
        <w:spacing w:line="250" w:lineRule="auto"/>
        <w:ind w:left="1065" w:firstLine="0"/>
        <w:rPr>
          <w:bCs/>
          <w:iCs/>
        </w:rPr>
      </w:pPr>
    </w:p>
    <w:p w14:paraId="6184D357" w14:textId="7B81BDDA" w:rsidR="00B50818" w:rsidRDefault="00B50818" w:rsidP="00B50818">
      <w:pPr>
        <w:spacing w:line="250" w:lineRule="auto"/>
        <w:ind w:left="0" w:firstLine="0"/>
        <w:rPr>
          <w:bCs/>
          <w:iCs/>
        </w:rPr>
      </w:pPr>
      <w:r>
        <w:rPr>
          <w:bCs/>
          <w:iCs/>
        </w:rPr>
        <w:t>Le présent document constitue le plan de mise en application du CMMI au sein de l’organisation, dans une démarche d’amélioration continue. Il pourra être revu et adapté selon l</w:t>
      </w:r>
      <w:r w:rsidR="006D7EB1">
        <w:rPr>
          <w:bCs/>
          <w:iCs/>
        </w:rPr>
        <w:t>’évolution de cette mise en œuvre.</w:t>
      </w:r>
    </w:p>
    <w:p w14:paraId="7EA3537F" w14:textId="77777777" w:rsidR="00B50818" w:rsidRPr="00B50818" w:rsidRDefault="00B50818" w:rsidP="00B50818">
      <w:pPr>
        <w:spacing w:line="250" w:lineRule="auto"/>
        <w:ind w:left="0" w:firstLine="0"/>
        <w:rPr>
          <w:bCs/>
          <w:iCs/>
        </w:rPr>
      </w:pPr>
    </w:p>
    <w:p w14:paraId="4CC2EE8A" w14:textId="3D32A3AD" w:rsidR="00D566B1" w:rsidRPr="006D7EB1" w:rsidRDefault="00EB44CF" w:rsidP="00BF75A4">
      <w:pPr>
        <w:numPr>
          <w:ilvl w:val="0"/>
          <w:numId w:val="1"/>
        </w:numPr>
        <w:spacing w:line="250" w:lineRule="auto"/>
        <w:ind w:hanging="360"/>
      </w:pPr>
      <w:r>
        <w:rPr>
          <w:b/>
          <w:i/>
        </w:rPr>
        <w:t>Passage de maturité 1 à 2</w:t>
      </w:r>
    </w:p>
    <w:p w14:paraId="5ABDF658" w14:textId="069A296E" w:rsidR="006D7EB1" w:rsidRPr="006D7EB1" w:rsidRDefault="00891D89" w:rsidP="006D7EB1">
      <w:pPr>
        <w:numPr>
          <w:ilvl w:val="1"/>
          <w:numId w:val="1"/>
        </w:numPr>
        <w:spacing w:line="250" w:lineRule="auto"/>
        <w:ind w:hanging="360"/>
      </w:pPr>
      <w:r>
        <w:rPr>
          <w:b/>
          <w:i/>
        </w:rPr>
        <w:t>Planification de</w:t>
      </w:r>
      <w:r w:rsidR="006D7EB1">
        <w:rPr>
          <w:b/>
          <w:i/>
        </w:rPr>
        <w:t xml:space="preserve"> Projet</w:t>
      </w:r>
      <w:r>
        <w:rPr>
          <w:b/>
          <w:i/>
        </w:rPr>
        <w:t xml:space="preserve"> (destiné aux chefs de projets)</w:t>
      </w:r>
    </w:p>
    <w:p w14:paraId="65570880" w14:textId="7401EB81" w:rsidR="00C716EC" w:rsidRDefault="00B50818" w:rsidP="006D7EB1">
      <w:pPr>
        <w:pStyle w:val="Paragraphedeliste"/>
        <w:numPr>
          <w:ilvl w:val="1"/>
          <w:numId w:val="8"/>
        </w:numPr>
        <w:spacing w:line="250" w:lineRule="auto"/>
      </w:pPr>
      <w:r>
        <w:t>Mise en place d’une politique d’organisation</w:t>
      </w:r>
      <w:r w:rsidR="00891D89">
        <w:t> :</w:t>
      </w:r>
    </w:p>
    <w:p w14:paraId="29E199EF" w14:textId="6BE5F1B6" w:rsidR="006D7EB1" w:rsidRDefault="006D7EB1" w:rsidP="006D7EB1">
      <w:pPr>
        <w:pStyle w:val="Paragraphedeliste"/>
        <w:numPr>
          <w:ilvl w:val="2"/>
          <w:numId w:val="8"/>
        </w:numPr>
        <w:spacing w:line="250" w:lineRule="auto"/>
      </w:pPr>
      <w:r>
        <w:t>Estimation de la portée du projet</w:t>
      </w:r>
    </w:p>
    <w:p w14:paraId="788B3344" w14:textId="6F76BEB6" w:rsidR="006D7EB1" w:rsidRDefault="006D7EB1" w:rsidP="006D7EB1">
      <w:pPr>
        <w:pStyle w:val="Paragraphedeliste"/>
        <w:numPr>
          <w:ilvl w:val="2"/>
          <w:numId w:val="8"/>
        </w:numPr>
        <w:spacing w:line="250" w:lineRule="auto"/>
      </w:pPr>
      <w:r>
        <w:t xml:space="preserve">Planification </w:t>
      </w:r>
    </w:p>
    <w:p w14:paraId="397F4607" w14:textId="5855C532" w:rsidR="006D7EB1" w:rsidRDefault="006D7EB1" w:rsidP="006D7EB1">
      <w:pPr>
        <w:pStyle w:val="Paragraphedeliste"/>
        <w:numPr>
          <w:ilvl w:val="2"/>
          <w:numId w:val="8"/>
        </w:numPr>
        <w:spacing w:line="250" w:lineRule="auto"/>
      </w:pPr>
      <w:r>
        <w:t>Définition des phases du cycle de vie</w:t>
      </w:r>
    </w:p>
    <w:p w14:paraId="0C438889" w14:textId="47CFF601" w:rsidR="006D7EB1" w:rsidRDefault="006D7EB1" w:rsidP="006D7EB1">
      <w:pPr>
        <w:pStyle w:val="Paragraphedeliste"/>
        <w:numPr>
          <w:ilvl w:val="2"/>
          <w:numId w:val="8"/>
        </w:numPr>
        <w:spacing w:line="250" w:lineRule="auto"/>
      </w:pPr>
      <w:r>
        <w:t>Estimation des charges/coûts</w:t>
      </w:r>
    </w:p>
    <w:p w14:paraId="101D72A9" w14:textId="19CB5463" w:rsidR="00891D89" w:rsidRDefault="00891D89" w:rsidP="006D7EB1">
      <w:pPr>
        <w:pStyle w:val="Paragraphedeliste"/>
        <w:numPr>
          <w:ilvl w:val="2"/>
          <w:numId w:val="8"/>
        </w:numPr>
        <w:spacing w:line="250" w:lineRule="auto"/>
      </w:pPr>
      <w:r>
        <w:t>Prévision des ressources</w:t>
      </w:r>
    </w:p>
    <w:p w14:paraId="28710E31" w14:textId="0E3F4E22" w:rsidR="00891D89" w:rsidRDefault="00891D89" w:rsidP="006D7EB1">
      <w:pPr>
        <w:pStyle w:val="Paragraphedeliste"/>
        <w:numPr>
          <w:ilvl w:val="2"/>
          <w:numId w:val="8"/>
        </w:numPr>
        <w:spacing w:line="250" w:lineRule="auto"/>
      </w:pPr>
      <w:r>
        <w:t>Prévision des compétences nécessaires</w:t>
      </w:r>
    </w:p>
    <w:p w14:paraId="264436D4" w14:textId="11258203" w:rsidR="00891D89" w:rsidRDefault="00891D89" w:rsidP="00891D89">
      <w:pPr>
        <w:pStyle w:val="Paragraphedeliste"/>
        <w:numPr>
          <w:ilvl w:val="1"/>
          <w:numId w:val="8"/>
        </w:numPr>
        <w:spacing w:line="250" w:lineRule="auto"/>
      </w:pPr>
      <w:r>
        <w:t>Mise en place de la gestion des exigences</w:t>
      </w:r>
    </w:p>
    <w:p w14:paraId="36727186" w14:textId="75970B18" w:rsidR="006D7EB1" w:rsidRDefault="006D7EB1" w:rsidP="006D7EB1">
      <w:pPr>
        <w:pStyle w:val="Paragraphedeliste"/>
        <w:numPr>
          <w:ilvl w:val="1"/>
          <w:numId w:val="8"/>
        </w:numPr>
        <w:spacing w:line="250" w:lineRule="auto"/>
      </w:pPr>
      <w:r>
        <w:t>Mise en place d’un contrôle qualité.</w:t>
      </w:r>
    </w:p>
    <w:p w14:paraId="3E917E72" w14:textId="66F97A57" w:rsidR="006D7EB1" w:rsidRDefault="006D7EB1" w:rsidP="006D7EB1">
      <w:pPr>
        <w:pStyle w:val="Paragraphedeliste"/>
        <w:numPr>
          <w:ilvl w:val="1"/>
          <w:numId w:val="8"/>
        </w:numPr>
        <w:spacing w:line="250" w:lineRule="auto"/>
      </w:pPr>
      <w:r>
        <w:t>Mise en place d’un suivi de processus.</w:t>
      </w:r>
    </w:p>
    <w:p w14:paraId="0BD73FDD" w14:textId="02A55208" w:rsidR="00891D89" w:rsidRPr="00BF75A4" w:rsidRDefault="00891D89" w:rsidP="006D7EB1">
      <w:pPr>
        <w:pStyle w:val="Paragraphedeliste"/>
        <w:numPr>
          <w:ilvl w:val="1"/>
          <w:numId w:val="8"/>
        </w:numPr>
        <w:spacing w:line="250" w:lineRule="auto"/>
      </w:pPr>
      <w:r>
        <w:t>Assurer la capitalisation des savoir-faire</w:t>
      </w:r>
      <w:r w:rsidR="00FD1415">
        <w:t xml:space="preserve"> afin d’établir une base applicable à l’ensemble des processus de l’organisation.</w:t>
      </w:r>
    </w:p>
    <w:p w14:paraId="33755FD5" w14:textId="77777777" w:rsidR="00C716EC" w:rsidRDefault="00C716EC" w:rsidP="00C716EC">
      <w:pPr>
        <w:spacing w:after="11" w:line="259" w:lineRule="auto"/>
        <w:ind w:left="721" w:firstLine="0"/>
      </w:pPr>
    </w:p>
    <w:p w14:paraId="488068F4" w14:textId="05D9C83B" w:rsidR="00D566B1" w:rsidRPr="00C716EC" w:rsidRDefault="00EB44CF">
      <w:pPr>
        <w:numPr>
          <w:ilvl w:val="0"/>
          <w:numId w:val="1"/>
        </w:numPr>
        <w:spacing w:line="250" w:lineRule="auto"/>
        <w:ind w:left="705" w:hanging="360"/>
      </w:pPr>
      <w:r>
        <w:rPr>
          <w:b/>
          <w:i/>
        </w:rPr>
        <w:t>Passage de maturité 2 à 3</w:t>
      </w:r>
    </w:p>
    <w:p w14:paraId="0EE32F04" w14:textId="6D122AAE" w:rsidR="00C716EC" w:rsidRDefault="00FD1415" w:rsidP="00FD1415">
      <w:pPr>
        <w:pStyle w:val="Paragraphedeliste"/>
        <w:numPr>
          <w:ilvl w:val="0"/>
          <w:numId w:val="8"/>
        </w:numPr>
        <w:spacing w:line="250" w:lineRule="auto"/>
      </w:pPr>
      <w:r>
        <w:t>Standardisation de la méthodologie appliquée au processus de management projet</w:t>
      </w:r>
    </w:p>
    <w:p w14:paraId="6CFC581C" w14:textId="0B9EBBE0" w:rsidR="00FD1415" w:rsidRDefault="00FD1415" w:rsidP="00FD1415">
      <w:pPr>
        <w:pStyle w:val="Paragraphedeliste"/>
        <w:numPr>
          <w:ilvl w:val="0"/>
          <w:numId w:val="8"/>
        </w:numPr>
        <w:spacing w:line="250" w:lineRule="auto"/>
      </w:pPr>
      <w:r>
        <w:t>Mise en place des normes génériques applicables à l’ensemble de l’organisation</w:t>
      </w:r>
    </w:p>
    <w:p w14:paraId="2F3A6B06" w14:textId="77777777" w:rsidR="00FD1415" w:rsidRDefault="00FD1415" w:rsidP="00FD1415">
      <w:pPr>
        <w:pStyle w:val="Paragraphedeliste"/>
        <w:numPr>
          <w:ilvl w:val="0"/>
          <w:numId w:val="8"/>
        </w:numPr>
        <w:spacing w:line="250" w:lineRule="auto"/>
      </w:pPr>
      <w:r>
        <w:t>Assurer la formation de l’ensemble du personnel</w:t>
      </w:r>
    </w:p>
    <w:p w14:paraId="342566FB" w14:textId="3BCE0623" w:rsidR="00FD1415" w:rsidRDefault="00FD1415" w:rsidP="00FD1415">
      <w:pPr>
        <w:pStyle w:val="Paragraphedeliste"/>
        <w:numPr>
          <w:ilvl w:val="0"/>
          <w:numId w:val="8"/>
        </w:numPr>
        <w:spacing w:line="250" w:lineRule="auto"/>
      </w:pPr>
      <w:r>
        <w:t>Assurer un suivi de la mise en application du CMMI par des réunions dédiées</w:t>
      </w:r>
    </w:p>
    <w:p w14:paraId="2C32B0CB" w14:textId="67CDA610" w:rsidR="00FD1415" w:rsidRDefault="00FD1415" w:rsidP="00FD1415">
      <w:pPr>
        <w:pStyle w:val="Paragraphedeliste"/>
        <w:numPr>
          <w:ilvl w:val="0"/>
          <w:numId w:val="8"/>
        </w:numPr>
        <w:spacing w:line="250" w:lineRule="auto"/>
      </w:pPr>
      <w:r>
        <w:t>Mise en place d’un plan d’amélioration</w:t>
      </w:r>
    </w:p>
    <w:p w14:paraId="45BFF974" w14:textId="0DAD9B95" w:rsidR="00C716EC" w:rsidRDefault="00C716EC" w:rsidP="00FD1415">
      <w:pPr>
        <w:spacing w:after="11" w:line="259" w:lineRule="auto"/>
        <w:ind w:left="0" w:firstLine="0"/>
      </w:pPr>
    </w:p>
    <w:p w14:paraId="583648F8" w14:textId="3B8BF4EE" w:rsidR="00C716EC" w:rsidRDefault="00C716EC" w:rsidP="00C716EC">
      <w:pPr>
        <w:spacing w:after="11" w:line="259" w:lineRule="auto"/>
      </w:pPr>
    </w:p>
    <w:p w14:paraId="03401B57" w14:textId="4D659A04" w:rsidR="00F871CB" w:rsidRDefault="00F871CB" w:rsidP="00C716EC">
      <w:pPr>
        <w:spacing w:after="11" w:line="259" w:lineRule="auto"/>
      </w:pPr>
    </w:p>
    <w:p w14:paraId="4DD27B3F" w14:textId="77777777" w:rsidR="00F871CB" w:rsidRDefault="00F871CB" w:rsidP="00C716EC">
      <w:pPr>
        <w:spacing w:after="11" w:line="259" w:lineRule="auto"/>
      </w:pPr>
      <w:bookmarkStart w:id="0" w:name="_GoBack"/>
      <w:bookmarkEnd w:id="0"/>
    </w:p>
    <w:p w14:paraId="17897FA6" w14:textId="0FB15337" w:rsidR="00D566B1" w:rsidRDefault="00EB44CF">
      <w:pPr>
        <w:numPr>
          <w:ilvl w:val="0"/>
          <w:numId w:val="1"/>
        </w:numPr>
        <w:spacing w:line="250" w:lineRule="auto"/>
        <w:ind w:left="705" w:hanging="360"/>
      </w:pPr>
      <w:r>
        <w:rPr>
          <w:b/>
          <w:i/>
        </w:rPr>
        <w:lastRenderedPageBreak/>
        <w:t>Passage de maturité 3 à 4</w:t>
      </w:r>
    </w:p>
    <w:p w14:paraId="10F2CF53" w14:textId="731AA67B" w:rsidR="00D566B1" w:rsidRDefault="00D24F27" w:rsidP="00FD1415">
      <w:pPr>
        <w:pStyle w:val="Paragraphedeliste"/>
        <w:numPr>
          <w:ilvl w:val="0"/>
          <w:numId w:val="8"/>
        </w:numPr>
        <w:spacing w:after="0" w:line="259" w:lineRule="auto"/>
        <w:rPr>
          <w:bCs/>
          <w:iCs/>
        </w:rPr>
      </w:pPr>
      <w:r>
        <w:rPr>
          <w:bCs/>
          <w:iCs/>
        </w:rPr>
        <w:t>Assurer l’application des bonnes pratiques au sein de l’organisation</w:t>
      </w:r>
    </w:p>
    <w:p w14:paraId="6071B458" w14:textId="24748A7E" w:rsidR="00D24F27" w:rsidRDefault="00D24F27" w:rsidP="00FD1415">
      <w:pPr>
        <w:pStyle w:val="Paragraphedeliste"/>
        <w:numPr>
          <w:ilvl w:val="0"/>
          <w:numId w:val="8"/>
        </w:numPr>
        <w:spacing w:after="0" w:line="259" w:lineRule="auto"/>
        <w:rPr>
          <w:bCs/>
          <w:iCs/>
        </w:rPr>
      </w:pPr>
      <w:r>
        <w:rPr>
          <w:bCs/>
          <w:iCs/>
        </w:rPr>
        <w:t>Assurer de la collecte des compétences sur une plateforme de documentation dédiée</w:t>
      </w:r>
    </w:p>
    <w:p w14:paraId="25F1BC7F" w14:textId="247A1269" w:rsidR="00D24F27" w:rsidRDefault="00D24F27" w:rsidP="00FD1415">
      <w:pPr>
        <w:pStyle w:val="Paragraphedeliste"/>
        <w:numPr>
          <w:ilvl w:val="0"/>
          <w:numId w:val="8"/>
        </w:numPr>
        <w:spacing w:after="0" w:line="259" w:lineRule="auto"/>
        <w:rPr>
          <w:bCs/>
          <w:iCs/>
        </w:rPr>
      </w:pPr>
      <w:r>
        <w:rPr>
          <w:bCs/>
          <w:iCs/>
        </w:rPr>
        <w:t>Analyser les performances de l’entreprise</w:t>
      </w:r>
    </w:p>
    <w:p w14:paraId="7A211DF5" w14:textId="6CE1858E" w:rsidR="00D24F27" w:rsidRDefault="00D24F27" w:rsidP="00FD1415">
      <w:pPr>
        <w:pStyle w:val="Paragraphedeliste"/>
        <w:numPr>
          <w:ilvl w:val="0"/>
          <w:numId w:val="8"/>
        </w:numPr>
        <w:spacing w:after="0" w:line="259" w:lineRule="auto"/>
        <w:rPr>
          <w:bCs/>
          <w:iCs/>
        </w:rPr>
      </w:pPr>
      <w:r>
        <w:rPr>
          <w:bCs/>
          <w:iCs/>
        </w:rPr>
        <w:t>Analyser la qualité ressortant des pratiques mises en place</w:t>
      </w:r>
    </w:p>
    <w:p w14:paraId="22CD85C2" w14:textId="07AAC389" w:rsidR="00D24F27" w:rsidRDefault="00D24F27" w:rsidP="00FD1415">
      <w:pPr>
        <w:pStyle w:val="Paragraphedeliste"/>
        <w:numPr>
          <w:ilvl w:val="0"/>
          <w:numId w:val="8"/>
        </w:numPr>
        <w:spacing w:after="0" w:line="259" w:lineRule="auto"/>
        <w:rPr>
          <w:bCs/>
          <w:iCs/>
        </w:rPr>
      </w:pPr>
      <w:r>
        <w:rPr>
          <w:bCs/>
          <w:iCs/>
        </w:rPr>
        <w:t>Analyser les risques à des fin d’anticipation</w:t>
      </w:r>
    </w:p>
    <w:p w14:paraId="3D1C2547" w14:textId="1F0B678F" w:rsidR="00D24F27" w:rsidRPr="00FD1415" w:rsidRDefault="00D24F27" w:rsidP="00FD1415">
      <w:pPr>
        <w:pStyle w:val="Paragraphedeliste"/>
        <w:numPr>
          <w:ilvl w:val="0"/>
          <w:numId w:val="8"/>
        </w:numPr>
        <w:spacing w:after="0" w:line="259" w:lineRule="auto"/>
        <w:rPr>
          <w:bCs/>
          <w:iCs/>
        </w:rPr>
      </w:pPr>
      <w:r>
        <w:rPr>
          <w:bCs/>
          <w:iCs/>
        </w:rPr>
        <w:t>Maintenir les objectifs et les bonnes pratiques édictées</w:t>
      </w:r>
    </w:p>
    <w:p w14:paraId="6F1B5005" w14:textId="359A3886" w:rsidR="00C716EC" w:rsidRDefault="00C716EC" w:rsidP="00C716EC">
      <w:pPr>
        <w:spacing w:after="11" w:line="259" w:lineRule="auto"/>
        <w:ind w:left="721" w:firstLine="0"/>
      </w:pPr>
    </w:p>
    <w:p w14:paraId="78772BC4" w14:textId="77777777" w:rsidR="00C716EC" w:rsidRDefault="00C716EC" w:rsidP="00C716EC">
      <w:pPr>
        <w:spacing w:after="11" w:line="259" w:lineRule="auto"/>
        <w:ind w:left="721" w:firstLine="0"/>
      </w:pPr>
    </w:p>
    <w:p w14:paraId="48AFA7F3" w14:textId="70D1A211" w:rsidR="00D566B1" w:rsidRPr="00C716EC" w:rsidRDefault="00EB44CF" w:rsidP="00BF75A4">
      <w:pPr>
        <w:numPr>
          <w:ilvl w:val="0"/>
          <w:numId w:val="1"/>
        </w:numPr>
        <w:spacing w:line="250" w:lineRule="auto"/>
        <w:ind w:hanging="360"/>
      </w:pPr>
      <w:r>
        <w:rPr>
          <w:b/>
          <w:i/>
        </w:rPr>
        <w:t>Passage de maturité 4 à 5</w:t>
      </w:r>
    </w:p>
    <w:p w14:paraId="35435898" w14:textId="77777777" w:rsidR="00C716EC" w:rsidRPr="00C716EC" w:rsidRDefault="00C716EC" w:rsidP="00C716EC">
      <w:pPr>
        <w:spacing w:line="250" w:lineRule="auto"/>
        <w:ind w:left="706" w:firstLine="0"/>
      </w:pPr>
    </w:p>
    <w:p w14:paraId="06831240" w14:textId="0E2DF957" w:rsidR="00D24F27" w:rsidRDefault="00D24F27" w:rsidP="00D24F27">
      <w:pPr>
        <w:pStyle w:val="Paragraphedeliste"/>
        <w:numPr>
          <w:ilvl w:val="0"/>
          <w:numId w:val="8"/>
        </w:numPr>
        <w:spacing w:line="250" w:lineRule="auto"/>
      </w:pPr>
      <w:r>
        <w:t>Evaluer les analyses de performance quantitatives et qualitatives</w:t>
      </w:r>
    </w:p>
    <w:p w14:paraId="77BD58B5" w14:textId="71F3A97A" w:rsidR="00C716EC" w:rsidRDefault="00D24F27" w:rsidP="00D24F27">
      <w:pPr>
        <w:pStyle w:val="Paragraphedeliste"/>
        <w:numPr>
          <w:ilvl w:val="0"/>
          <w:numId w:val="8"/>
        </w:numPr>
        <w:spacing w:line="250" w:lineRule="auto"/>
      </w:pPr>
      <w:r>
        <w:t>Anticiper les besoins pour les projets futures</w:t>
      </w:r>
    </w:p>
    <w:p w14:paraId="2BB9A4D5" w14:textId="1168AD03" w:rsidR="00D24F27" w:rsidRDefault="00D24F27" w:rsidP="00D24F27">
      <w:pPr>
        <w:pStyle w:val="Paragraphedeliste"/>
        <w:numPr>
          <w:ilvl w:val="0"/>
          <w:numId w:val="8"/>
        </w:numPr>
        <w:spacing w:line="250" w:lineRule="auto"/>
      </w:pPr>
      <w:r>
        <w:t>Optimiser les processus au besoin</w:t>
      </w:r>
    </w:p>
    <w:p w14:paraId="082C53CF" w14:textId="510E244B" w:rsidR="00D24F27" w:rsidRDefault="00D24F27" w:rsidP="00D24F27">
      <w:pPr>
        <w:pStyle w:val="Paragraphedeliste"/>
        <w:numPr>
          <w:ilvl w:val="0"/>
          <w:numId w:val="8"/>
        </w:numPr>
        <w:spacing w:line="250" w:lineRule="auto"/>
      </w:pPr>
      <w:r>
        <w:t>Maintenir l’application des bonnes pratiques</w:t>
      </w:r>
    </w:p>
    <w:p w14:paraId="26934397" w14:textId="293B19AA" w:rsidR="00D24F27" w:rsidRDefault="00D24F27" w:rsidP="00D24F27">
      <w:pPr>
        <w:pStyle w:val="Paragraphedeliste"/>
        <w:spacing w:line="250" w:lineRule="auto"/>
        <w:ind w:left="1065" w:firstLine="0"/>
      </w:pPr>
    </w:p>
    <w:p w14:paraId="15CAF543" w14:textId="77777777" w:rsidR="00D566B1" w:rsidRDefault="00D566B1" w:rsidP="0022669E">
      <w:pPr>
        <w:spacing w:after="0" w:line="259" w:lineRule="auto"/>
        <w:ind w:left="706" w:firstLine="0"/>
      </w:pPr>
    </w:p>
    <w:sectPr w:rsidR="00D566B1">
      <w:pgSz w:w="11904" w:h="16838"/>
      <w:pgMar w:top="1440" w:right="14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0CB"/>
    <w:multiLevelType w:val="hybridMultilevel"/>
    <w:tmpl w:val="8162FB14"/>
    <w:lvl w:ilvl="0" w:tplc="E870B8AE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ABE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A17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293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476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C97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2BF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AE2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CA8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97511"/>
    <w:multiLevelType w:val="hybridMultilevel"/>
    <w:tmpl w:val="59629120"/>
    <w:lvl w:ilvl="0" w:tplc="B8286648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0C17"/>
    <w:multiLevelType w:val="hybridMultilevel"/>
    <w:tmpl w:val="ED4ABFC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51571"/>
    <w:multiLevelType w:val="hybridMultilevel"/>
    <w:tmpl w:val="0AEA26DA"/>
    <w:lvl w:ilvl="0" w:tplc="C338DCAA">
      <w:start w:val="6"/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7104B25"/>
    <w:multiLevelType w:val="hybridMultilevel"/>
    <w:tmpl w:val="49663D4C"/>
    <w:lvl w:ilvl="0" w:tplc="07C8F6CA">
      <w:start w:val="6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54C1C1B"/>
    <w:multiLevelType w:val="hybridMultilevel"/>
    <w:tmpl w:val="26A8447E"/>
    <w:lvl w:ilvl="0" w:tplc="0C0EF0C8">
      <w:start w:val="6"/>
      <w:numFmt w:val="bullet"/>
      <w:lvlText w:val="-"/>
      <w:lvlJc w:val="left"/>
      <w:pPr>
        <w:ind w:left="1771" w:hanging="360"/>
      </w:pPr>
      <w:rPr>
        <w:rFonts w:ascii="Calibri" w:eastAsia="Calibr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2491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6" w15:restartNumberingAfterBreak="0">
    <w:nsid w:val="695E0C3C"/>
    <w:multiLevelType w:val="hybridMultilevel"/>
    <w:tmpl w:val="AD7E3CA2"/>
    <w:lvl w:ilvl="0" w:tplc="2F2899DC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CD7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6C6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616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42C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CE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CA6A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08A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00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B12316"/>
    <w:multiLevelType w:val="hybridMultilevel"/>
    <w:tmpl w:val="77DCB766"/>
    <w:lvl w:ilvl="0" w:tplc="90E4FFD0">
      <w:start w:val="6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B1"/>
    <w:rsid w:val="0022669E"/>
    <w:rsid w:val="004035EF"/>
    <w:rsid w:val="0040534C"/>
    <w:rsid w:val="00423F97"/>
    <w:rsid w:val="006D7EB1"/>
    <w:rsid w:val="00891D89"/>
    <w:rsid w:val="008A2C13"/>
    <w:rsid w:val="009174E0"/>
    <w:rsid w:val="00B50818"/>
    <w:rsid w:val="00BF75A4"/>
    <w:rsid w:val="00C716EC"/>
    <w:rsid w:val="00D24F27"/>
    <w:rsid w:val="00D566B1"/>
    <w:rsid w:val="00DA169E"/>
    <w:rsid w:val="00EB44CF"/>
    <w:rsid w:val="00F21FE7"/>
    <w:rsid w:val="00F871CB"/>
    <w:rsid w:val="00F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79C5"/>
  <w15:docId w15:val="{C4CDFF75-7250-4C13-89BF-CF65D07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38" w:lineRule="auto"/>
      <w:ind w:left="731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60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28"/>
    </w:rPr>
  </w:style>
  <w:style w:type="paragraph" w:styleId="Paragraphedeliste">
    <w:name w:val="List Paragraph"/>
    <w:basedOn w:val="Normal"/>
    <w:uiPriority w:val="34"/>
    <w:qFormat/>
    <w:rsid w:val="00F2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BASSONVILLE</dc:creator>
  <cp:keywords/>
  <cp:lastModifiedBy>William Bassonville</cp:lastModifiedBy>
  <cp:revision>4</cp:revision>
  <cp:lastPrinted>2019-10-29T12:02:00Z</cp:lastPrinted>
  <dcterms:created xsi:type="dcterms:W3CDTF">2019-10-29T10:54:00Z</dcterms:created>
  <dcterms:modified xsi:type="dcterms:W3CDTF">2019-10-29T12:02:00Z</dcterms:modified>
</cp:coreProperties>
</file>