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PHPExcel是PHP操作Excel文档的方法,能实现Excel文件的生成，读取。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PHPExcel工作流程图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240280"/>
            <wp:effectExtent l="0" t="0" r="9525" b="7620"/>
            <wp:docPr id="1" name="图片 1" descr="1346409828_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46409828_9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PHPExcel加载文档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1.引入读写类。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require_once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/Classes/PHPExcel/IOFactory.php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-----&gt;创建读取对象。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//创建读取对象，需要填写加载的文档类型，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//Excel5是后缀为xls的文件，Excel2007是后缀为xlsx的文件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$objReader = PHPExcel_IOFactory::createReader();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$objWrite = PHPExcel_IOFactory::createWriter();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直接调用IOFactory.php中的load方法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-------&gt;创建对象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//load方法中会自动判断文件的类型（主要根据文件的后缀名进行判断，详见源码）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$objExcel = PHPExcel_IOFactory::load($name);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2.引入PHPExcel初始化类库文件。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require_once '/Classes/PHPExcel.php';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-----&gt;创建对象。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$objPHPExcel = new PHPExcel();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3.引入PHPExcel初始化类库文件错误。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因为PHPExcel自己实现的自动加载，有一定概率与框架中的自动加载冲突。当出现大量文件无法引入（确保不是路径问题），需要修改该文件的自动加载类。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//修改PHPExcel/Autoloader.php文件中的Register方法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$functions = spl_autoload_functions();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 $functions as  $function){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spl_autoload_unregister($function);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$functions = array_merge(array(array('PHPExcel_Autoloader','Load')),$functions);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 $functions as $function){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$x = spl_autoload_register($function);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$x;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4.初始化PHPExcel类与初始化IOFactory类的区别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PHPExcel类中没有load() 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IOFactory中有load()方法。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5.创建类的方法区别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PHPExcel_IOFactory::**  （依次向下调用）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|-&gt;Load(文件路径)              没有setReadDataOnly(true)方法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|-&gt;createReaderForFile(文件路径)  此方法可以自动确认文件类型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|-&gt;createReader(文件类型)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PHPExcel：工作簿对象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getActiveSheet()：获得当前活动状态的工作表，返回工作表对象。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setActiveSheetIndex()：设置当前活动状态工作表的索引，返回工作表对象。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getSheetByName()：通过工作表名称得到当前工作表对象，返回工作表对象。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getDefaultStyle()：获得excel文档默认的样式（设置默认样式），返回样式对象。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------------工作表对象（以上）--------------------------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getActiveSheetIndex()：获得当前活动状态工作表的索引值，返回int。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getSheetCount()：获得excel文档中工作表的数量，返回int。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getSheetNames()：获得excel文档中所有工作表名称组成的数组。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-----------其他对象（以下）-------------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createSheet():在当前活动工作表后创建一个新的工作表。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getProperties()：获得当前活动状态工作表的属性对象，返回属性对象。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PHPExcel_Worksheet：工作表对象（需要获取工作簿对象）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getCell(“坐标”)：获得单元格对象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--&gt;getValue(): 获取单元格的值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getStyle():获得指定单元格的样式，返回样式对象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getDefaultStyle()：获得工作表默认的样式，返回样式对象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getCellByColumnAndRow()：通过列索引和行索引获得指定单元格，返回单元格对象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getColumnDimension():获得当前列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getHighestColumn()：获得工作表的最大列，返回列的名称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getParent()：获得父类对象，返回excel文档对象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---------得到列，行的个数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getHighestRow()</w:t>
      </w:r>
      <w:r>
        <w:rPr>
          <w:rFonts w:hint="eastAsia"/>
          <w:lang w:val="en-US" w:eastAsia="zh-CN"/>
        </w:rPr>
        <w:t>:得到有几行（1,2,3,4..）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getHighestColumn()</w:t>
      </w:r>
      <w:r>
        <w:rPr>
          <w:rFonts w:hint="eastAsia"/>
          <w:lang w:val="en-US" w:eastAsia="zh-CN"/>
        </w:rPr>
        <w:t>:得到有多少列（A，B，C.....）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getRowDimension()：获取行（1,2,3）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getColumnDimension(): 获取列（A，B，C）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getDefaultColumnDimension()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getDefaultRowDimension()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fromArray():从数组中获取数据填充到工作表，返回工作表对象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toArray()：把工作表中的数据转换成数组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setCellValue():设置单元格的值，返回工作表对象或单元格对象，完全取决于参数的值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setCellValueExplicit()：设置单元格的值，并显示指定数据类型，返回工作表对象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setCellValueByColumnAndRow()：通过列索引和行索引设置单元格的值，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setCellValueExplicitByColumnAndRow()：通过列和行索引设置单元格值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setTitle():设置工作表标题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getTitle()：获得工作表的标题或名称，返回字符串类型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PHPExcel_Style：样式对象(需要工作表对象)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getActiveCell()：获得当前活动的单元格的名称，返回string；如，A1。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getActiveSheet()：获得当前活动的工作表，返回工作表对象。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getAlignment()：获得对齐方式对象，返回对齐方式对象。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getBorders()：获得边框对象，返回边框对象。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getFill()：获得填充对象。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getFont()：获得字体对象。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setFont()：设置字体，返回样式对象。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PHPExcel_Style_Alignment：对齐方式对象(需要样式对象)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getHorizontal()：获得水平居中方式。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getVertical()：获得垂直居中方式。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setHorizontal()：设置水平居中方式，返回对齐方式对象。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setVertical()：设置垂直居中方式，返回对齐方式对象。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HORIZONTAL_CENTER（水平居中）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HORIZONTAL_CENTER_CONTINUOUS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HORIZONTAL_GENERAL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HORIZONTAL_JUSTIFY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HORIZONTAL_LEFT（水平靠左）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HORIZONTAL_RIGHT（水平靠右）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VERTICAL_BOTTOM（垂直靠低）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VERTICAL_CENTER（垂直居中）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VERTICAL_JUSTIFY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VERTICAL_TOP（垂直靠顶部）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PHPExcel_Style_Font：字体对象(需要样式对象)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setBold（）：设置字体加粗。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setColor（）：设置字体颜色。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与setColor等效：getColor()-&gt;setARGB(PHPExcel_Style_Color::COLOR_WHITE)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setItalic（）：设置字体倾斜。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setName（）：设置字体名。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setSize（）：设置字体大小。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setUnderline（）：设置字体下划线。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//填充类型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『样式对象』-&gt;getFill()-&gt;setFillType(PHPExcel_Style_Fill::FILL_SOLID);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//填充颜色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『样式对象』-&gt;getFill()-&gt;getStartColor()-&gt;setARGB('00558bb6');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设置间距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『工作表对象』-&gt;getRowDimension("2")-&gt;setRowHeight('15');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『工作表对象』-&gt;getDefaultColumnDimension()-&gt;setWidth('30');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设置样式类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//样式数组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$styleBorderTop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"borders" =&gt;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"right" =&gt;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"style" =&gt; PHPExcel_Style_Border::BORDER_THIN,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"color" =&gt; array("rgb" =&gt; "000000"),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"bottom" =&gt;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"style" =&gt; PHPExcel_Style_Border::BORDER_THIN,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"color" =&gt; array("rgb" =&gt; "000000"),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"left"=&gt;array(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"style" =&gt; PHPExcel_Style_Border::BORDER_THIN,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"color" =&gt; array("rgb" =&gt; "000000"),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//$styleBorderButton样式的集合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『工作表对象』-&gt;getStyle("A1:F1")-&gt;applyFromArray($styleBorderButton);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$objPHPExcel 工作对象；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Excel2007    保存的文件格式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$patchExcel   保存的文件路径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$name       文件名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$objWriter = PHPExcel_IOFactory::createWriter($objPHPExcel, 'Excel2007');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$objWriter-&gt;save($patchExcel . $name);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9C5B"/>
    <w:multiLevelType w:val="multilevel"/>
    <w:tmpl w:val="57C79C5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C7D7C6"/>
    <w:multiLevelType w:val="singleLevel"/>
    <w:tmpl w:val="57C7D7C6"/>
    <w:lvl w:ilvl="0" w:tentative="0">
      <w:start w:val="1"/>
      <w:numFmt w:val="upperLetter"/>
      <w:suff w:val="nothing"/>
      <w:lvlText w:val="%1)"/>
      <w:lvlJc w:val="left"/>
    </w:lvl>
  </w:abstractNum>
  <w:abstractNum w:abstractNumId="2">
    <w:nsid w:val="57C7DA8D"/>
    <w:multiLevelType w:val="singleLevel"/>
    <w:tmpl w:val="57C7DA8D"/>
    <w:lvl w:ilvl="0" w:tentative="0">
      <w:start w:val="1"/>
      <w:numFmt w:val="upperLetter"/>
      <w:suff w:val="nothing"/>
      <w:lvlText w:val="%1)"/>
      <w:lvlJc w:val="left"/>
    </w:lvl>
  </w:abstractNum>
  <w:abstractNum w:abstractNumId="3">
    <w:nsid w:val="57C7DE0C"/>
    <w:multiLevelType w:val="singleLevel"/>
    <w:tmpl w:val="57C7DE0C"/>
    <w:lvl w:ilvl="0" w:tentative="0">
      <w:start w:val="1"/>
      <w:numFmt w:val="upperLetter"/>
      <w:suff w:val="nothing"/>
      <w:lvlText w:val="%1)"/>
      <w:lvlJc w:val="left"/>
    </w:lvl>
  </w:abstractNum>
  <w:abstractNum w:abstractNumId="4">
    <w:nsid w:val="57C7DE68"/>
    <w:multiLevelType w:val="singleLevel"/>
    <w:tmpl w:val="57C7DE68"/>
    <w:lvl w:ilvl="0" w:tentative="0">
      <w:start w:val="1"/>
      <w:numFmt w:val="upperLetter"/>
      <w:suff w:val="nothing"/>
      <w:lvlText w:val="%1)"/>
      <w:lvlJc w:val="left"/>
    </w:lvl>
  </w:abstractNum>
  <w:abstractNum w:abstractNumId="5">
    <w:nsid w:val="57C7DEDB"/>
    <w:multiLevelType w:val="singleLevel"/>
    <w:tmpl w:val="57C7DEDB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1768"/>
    <w:rsid w:val="054A3280"/>
    <w:rsid w:val="08072C9E"/>
    <w:rsid w:val="08983A21"/>
    <w:rsid w:val="0C6E5E5A"/>
    <w:rsid w:val="0D5846DF"/>
    <w:rsid w:val="111F147A"/>
    <w:rsid w:val="13364E08"/>
    <w:rsid w:val="16B351F2"/>
    <w:rsid w:val="1E0E24A1"/>
    <w:rsid w:val="1E1D1283"/>
    <w:rsid w:val="1EF53E5D"/>
    <w:rsid w:val="1F0D5263"/>
    <w:rsid w:val="231274A5"/>
    <w:rsid w:val="2F6E20BA"/>
    <w:rsid w:val="2FE616DF"/>
    <w:rsid w:val="2FF901C5"/>
    <w:rsid w:val="384D1BB9"/>
    <w:rsid w:val="39157FB1"/>
    <w:rsid w:val="3A8D3990"/>
    <w:rsid w:val="3D343395"/>
    <w:rsid w:val="3E4C7AA4"/>
    <w:rsid w:val="442C7F72"/>
    <w:rsid w:val="47F42014"/>
    <w:rsid w:val="495C3A56"/>
    <w:rsid w:val="4B7E4DF4"/>
    <w:rsid w:val="4BBF7DD1"/>
    <w:rsid w:val="4D357C30"/>
    <w:rsid w:val="4E542D28"/>
    <w:rsid w:val="54F12E1A"/>
    <w:rsid w:val="55811E59"/>
    <w:rsid w:val="55CF02CE"/>
    <w:rsid w:val="578E5BD5"/>
    <w:rsid w:val="59C64E9C"/>
    <w:rsid w:val="5A0C34D3"/>
    <w:rsid w:val="5A4A60D0"/>
    <w:rsid w:val="5A977E61"/>
    <w:rsid w:val="63B63EF8"/>
    <w:rsid w:val="63E06D43"/>
    <w:rsid w:val="64873659"/>
    <w:rsid w:val="658177E9"/>
    <w:rsid w:val="65E94F99"/>
    <w:rsid w:val="66A210A9"/>
    <w:rsid w:val="69B56715"/>
    <w:rsid w:val="6E351BC8"/>
    <w:rsid w:val="776A4926"/>
    <w:rsid w:val="7F5E04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2017-02-16T06:54:35Z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