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A365D"/>
          <w:sz w:val="36"/>
        </w:rPr>
        <w:t>UNIVERSIDAD POPULAR DEL CESAR</w:t>
        <w:br/>
      </w:r>
      <w:r>
        <w:rPr>
          <w:rFonts w:ascii="Arial" w:hAnsi="Arial"/>
          <w:b/>
          <w:color w:val="0D9488"/>
          <w:sz w:val="26"/>
        </w:rPr>
        <w:t>FACULTAD DE INGENIERÍAS Y TECNOLÓGICAS</w:t>
        <w:br/>
        <w:t>DEPARTAMENTO DE INGENIERÍA DE SISTEMAS</w:t>
        <w:br/>
      </w:r>
      <w:r>
        <w:rPr>
          <w:rFonts w:ascii="Arial" w:hAnsi="Arial"/>
          <w:b/>
          <w:color w:val="4A5568"/>
          <w:sz w:val="24"/>
        </w:rPr>
        <w:t>ASIGNATURA: ESTRUCTURA DE DATOS</w:t>
        <w:br/>
      </w:r>
    </w:p>
    <w:p/>
    <w:p/>
    <w:p/>
    <w:p>
      <w:pPr>
        <w:jc w:val="center"/>
      </w:pPr>
      <w:r>
        <w:rPr>
          <w:rFonts w:ascii="Arial" w:hAnsi="Arial"/>
          <w:b/>
          <w:color w:val="1A365D"/>
          <w:sz w:val="40"/>
        </w:rPr>
        <w:t>PEA-i: PROGRAMA ESTADÍSTICO DE ANÁLISIS DE INVESTIGACIÓN</w:t>
        <w:br/>
      </w:r>
      <w:r>
        <w:rPr>
          <w:rFonts w:ascii="Arial" w:hAnsi="Arial"/>
          <w:b/>
          <w:color w:val="2B6CB0"/>
          <w:sz w:val="24"/>
        </w:rPr>
        <w:t>DOCUMENTO MAESTRO DE ESPECIFICACIÓN TÉCNICA, ARQUITECTURA,</w:t>
        <w:br/>
        <w:t>MODELO DE DATOS Y CUMPLIMIENTO DEL PARCIAL 2</w:t>
        <w:br/>
      </w:r>
    </w:p>
    <w:p/>
    <w:p/>
    <w:p/>
    <w:p/>
    <w:p>
      <w:pPr>
        <w:jc w:val="center"/>
      </w:pPr>
      <w:r>
        <w:rPr>
          <w:b/>
          <w:color w:val="718096"/>
          <w:sz w:val="20"/>
        </w:rPr>
        <w:t>DOCENTE:</w:t>
        <w:br/>
      </w:r>
      <w:r>
        <w:rPr>
          <w:b/>
          <w:color w:val="1A202C"/>
          <w:sz w:val="24"/>
        </w:rPr>
        <w:t>ING. ADITH PÉREZ</w:t>
        <w:br/>
        <w:br/>
      </w:r>
      <w:r>
        <w:rPr>
          <w:b/>
          <w:color w:val="718096"/>
          <w:sz w:val="20"/>
        </w:rPr>
        <w:t>INTEGRANTES DEL GRUPO (INICIALES: WP - DN - EO):</w:t>
        <w:br/>
      </w:r>
      <w:r>
        <w:rPr>
          <w:b/>
          <w:color w:val="0D9488"/>
          <w:sz w:val="22"/>
        </w:rPr>
        <w:t>WILLIAM ANDRÉS PEÑARANDA OÑATE (WP)</w:t>
        <w:br/>
        <w:t>DONALDO DAVID NORIEGA PALOMINO (DN)</w:t>
        <w:br/>
        <w:t>EDINSON JOSÉ OLIVERO ROJAS (EO)</w:t>
        <w:br/>
        <w:br/>
        <w:t>(Grupo Oficial Parcial 2 — 2026)</w:t>
        <w:br/>
      </w:r>
    </w:p>
    <w:p/>
    <w:p/>
    <w:p>
      <w:pPr>
        <w:jc w:val="center"/>
      </w:pPr>
      <w:r>
        <w:rPr>
          <w:rFonts w:ascii="Arial" w:hAnsi="Arial"/>
          <w:b/>
          <w:color w:val="4A5568"/>
          <w:sz w:val="22"/>
        </w:rPr>
        <w:t>VALLEDUPAR, CESAR, COLOMBIA</w:t>
        <w:br/>
        <w:t>OCTUBRE DE 2026</w:t>
      </w:r>
    </w:p>
    <w:p>
      <w:r>
        <w:br w:type="page"/>
      </w:r>
    </w:p>
    <w:p>
      <w:pPr>
        <w:pStyle w:val="Heading1"/>
        <w:spacing w:before="360" w:after="120"/>
      </w:pPr>
      <w:r>
        <w:rPr>
          <w:rFonts w:ascii="Arial" w:hAnsi="Arial"/>
          <w:b/>
          <w:color w:val="1A365D"/>
          <w:sz w:val="32"/>
        </w:rPr>
        <w:t>PEA-i: Especificación integral, arquitectura, dominio y cumplimiento del Parcial 2</w:t>
      </w:r>
    </w:p>
    <w:tbl>
      <w:tblPr>
        <w:tblW w:type="auto" w:w="0"/>
        <w:jc w:val="center"/>
        <w:tblLayout w:type="fixed"/>
        <w:tblLook w:firstColumn="1" w:firstRow="1" w:lastColumn="0" w:lastRow="0" w:noHBand="0" w:noVBand="1" w:val="04A0"/>
        <w:tblBorders>
          <w:top w:val="none"/>
          <w:left w:val="single" w:sz="24" w:space="0" w:color="0D9488"/>
          <w:bottom w:val="none"/>
          <w:right w:val="none"/>
          <w:insideH w:val="none"/>
          <w:insideV w:val="none"/>
        </w:tblBorders>
      </w:tblPr>
      <w:tblGrid>
        <w:gridCol w:w="9360"/>
      </w:tblGrid>
      <w:tr>
        <w:tc>
          <w:tcPr>
            <w:tcW w:type="dxa" w:w="9360"/>
            <w:shd w:fill="F0FDFA"/>
            <w:tcMar>
              <w:top w:w="110" w:type="dxa"/>
              <w:bottom w:w="110" w:type="dxa"/>
              <w:left w:w="150" w:type="dxa"/>
              <w:right w:w="140" w:type="dxa"/>
            </w:tcMar>
          </w:tcPr>
          <w:p>
            <w:pPr>
              <w:spacing w:before="0" w:after="40" w:line="276" w:lineRule="auto"/>
            </w:pPr>
            <w:r>
              <w:rPr>
                <w:rFonts w:ascii="Arial" w:hAnsi="Arial"/>
                <w:b/>
                <w:color w:val="0F766E"/>
                <w:sz w:val="19"/>
              </w:rPr>
              <w:t>PROGRAMA ESTADÍSTICO DE ANÁLISIS DE INVESTIGACIÓN (PEA-I / KHEMIA)</w:t>
              <w:br/>
            </w:r>
            <w:r>
              <w:rPr>
                <w:rFonts w:ascii="Calibri" w:hAnsi="Calibri"/>
                <w:color w:val="134E4A"/>
                <w:sz w:val="18"/>
              </w:rPr>
              <w:t>Universidad Popular del Cesar — Facultad de Ingenierías y Tecnológicas Asignatura: Estructura de Datos | Docente: Ing. Adith Pérez Grupo de Trabajo (WP - DN - EO): William Andrés Peñaranda Oñate · Donaldo David Noriega Palomino · Edinson José Olivero Rojas Octubre de 2026 — Entrega Final Oficial Parcial 2</w:t>
            </w:r>
          </w:p>
        </w:tc>
      </w:tr>
    </w:tbl>
    <w:p>
      <w:pPr>
        <w:spacing w:before="0" w:after="120"/>
      </w:pPr>
    </w:p>
    <w:p>
      <w:pPr>
        <w:pStyle w:val="Heading2"/>
        <w:spacing w:before="280" w:after="80"/>
      </w:pPr>
      <w:r>
        <w:rPr>
          <w:rFonts w:ascii="Arial" w:hAnsi="Arial"/>
          <w:b/>
          <w:color w:val="2B6CB0"/>
          <w:sz w:val="27"/>
        </w:rPr>
        <w:t>Estado del documento</w:t>
      </w:r>
    </w:p>
    <w:p>
      <w:pPr>
        <w:spacing w:before="40" w:after="80" w:line="276" w:lineRule="auto"/>
      </w:pPr>
      <w:r>
        <w:rPr>
          <w:rFonts w:ascii="Calibri" w:hAnsi="Calibri"/>
          <w:color w:val="1E293B"/>
          <w:sz w:val="20"/>
        </w:rPr>
        <w:t>Este archivo sustituye la versión anterior y consolida en un solo lugar:</w:t>
      </w:r>
    </w:p>
    <w:p>
      <w:pPr>
        <w:pStyle w:val="ListBullet"/>
        <w:spacing w:before="20" w:after="40"/>
        <w:ind w:left="360"/>
      </w:pPr>
      <w:r>
        <w:rPr>
          <w:rFonts w:ascii="Calibri" w:hAnsi="Calibri"/>
          <w:color w:val="2D3748"/>
          <w:sz w:val="19"/>
        </w:rPr>
        <w:t>El contexto funcional de PEA-i.</w:t>
      </w:r>
    </w:p>
    <w:p>
      <w:pPr>
        <w:pStyle w:val="ListBullet"/>
        <w:spacing w:before="20" w:after="40"/>
        <w:ind w:left="360"/>
      </w:pPr>
      <w:r>
        <w:rPr>
          <w:rFonts w:ascii="Calibri" w:hAnsi="Calibri"/>
          <w:color w:val="2D3748"/>
          <w:sz w:val="19"/>
        </w:rPr>
        <w:t>La arquitectura React, FastAPI, Python, pybind11, C++ y SQL Server.</w:t>
      </w:r>
    </w:p>
    <w:p>
      <w:pPr>
        <w:pStyle w:val="ListBullet"/>
        <w:spacing w:before="20" w:after="40"/>
        <w:ind w:left="360"/>
      </w:pPr>
      <w:r>
        <w:rPr>
          <w:rFonts w:ascii="Calibri" w:hAnsi="Calibri"/>
          <w:color w:val="2D3748"/>
          <w:sz w:val="19"/>
        </w:rPr>
        <w:t>El dominio, las entidades y el modelo relacional.</w:t>
      </w:r>
    </w:p>
    <w:p>
      <w:pPr>
        <w:pStyle w:val="ListBullet"/>
        <w:spacing w:before="20" w:after="40"/>
        <w:ind w:left="360"/>
      </w:pPr>
      <w:r>
        <w:rPr>
          <w:rFonts w:ascii="Calibri" w:hAnsi="Calibri"/>
          <w:color w:val="2D3748"/>
          <w:sz w:val="19"/>
        </w:rPr>
        <w:t>Las reglas de negocio.</w:t>
      </w:r>
    </w:p>
    <w:p>
      <w:pPr>
        <w:pStyle w:val="ListBullet"/>
        <w:spacing w:before="20" w:after="40"/>
        <w:ind w:left="360"/>
      </w:pPr>
      <w:r>
        <w:rPr>
          <w:rFonts w:ascii="Calibri" w:hAnsi="Calibri"/>
          <w:color w:val="2D3748"/>
          <w:sz w:val="19"/>
        </w:rPr>
        <w:t>Las estructuras de datos obligatorias.</w:t>
      </w:r>
    </w:p>
    <w:p>
      <w:pPr>
        <w:pStyle w:val="ListBullet"/>
        <w:spacing w:before="20" w:after="40"/>
        <w:ind w:left="360"/>
      </w:pPr>
      <w:r>
        <w:rPr>
          <w:rFonts w:ascii="Calibri" w:hAnsi="Calibri"/>
          <w:color w:val="2D3748"/>
          <w:sz w:val="19"/>
        </w:rPr>
        <w:t>Las variables de entrada y salida.</w:t>
      </w:r>
    </w:p>
    <w:p>
      <w:pPr>
        <w:pStyle w:val="ListBullet"/>
        <w:spacing w:before="20" w:after="40"/>
        <w:ind w:left="360"/>
      </w:pPr>
      <w:r>
        <w:rPr>
          <w:rFonts w:ascii="Calibri" w:hAnsi="Calibri"/>
          <w:color w:val="2D3748"/>
          <w:sz w:val="19"/>
        </w:rPr>
        <w:t>La aproximación de hipercubo.</w:t>
      </w:r>
    </w:p>
    <w:p>
      <w:pPr>
        <w:pStyle w:val="ListBullet"/>
        <w:spacing w:before="20" w:after="40"/>
        <w:ind w:left="360"/>
      </w:pPr>
      <w:r>
        <w:rPr>
          <w:rFonts w:ascii="Calibri" w:hAnsi="Calibri"/>
          <w:color w:val="2D3748"/>
          <w:sz w:val="19"/>
        </w:rPr>
        <w:t>Las dos soluciones ejecutables exigidas, una en C++ y otra en Python.</w:t>
      </w:r>
    </w:p>
    <w:p>
      <w:pPr>
        <w:pStyle w:val="ListBullet"/>
        <w:spacing w:before="20" w:after="40"/>
        <w:ind w:left="360"/>
      </w:pPr>
      <w:r>
        <w:rPr>
          <w:rFonts w:ascii="Calibri" w:hAnsi="Calibri"/>
          <w:color w:val="2D3748"/>
          <w:sz w:val="19"/>
        </w:rPr>
        <w:t>La aplicación web integrada.</w:t>
      </w:r>
    </w:p>
    <w:p>
      <w:pPr>
        <w:pStyle w:val="ListBullet"/>
        <w:spacing w:before="20" w:after="40"/>
        <w:ind w:left="360"/>
      </w:pPr>
      <w:r>
        <w:rPr>
          <w:rFonts w:ascii="Calibri" w:hAnsi="Calibri"/>
          <w:color w:val="2D3748"/>
          <w:sz w:val="19"/>
        </w:rPr>
        <w:t>La persistencia en SQL Server y en archivo JSON.</w:t>
      </w:r>
    </w:p>
    <w:p>
      <w:pPr>
        <w:pStyle w:val="ListBullet"/>
        <w:spacing w:before="20" w:after="40"/>
        <w:ind w:left="360"/>
      </w:pPr>
      <w:r>
        <w:rPr>
          <w:rFonts w:ascii="Calibri" w:hAnsi="Calibri"/>
          <w:color w:val="2D3748"/>
          <w:sz w:val="19"/>
        </w:rPr>
        <w:t>Los entregables académicos y administrativos.</w:t>
      </w:r>
    </w:p>
    <w:p>
      <w:pPr>
        <w:pStyle w:val="ListBullet"/>
        <w:spacing w:before="20" w:after="40"/>
        <w:ind w:left="360"/>
      </w:pPr>
      <w:r>
        <w:rPr>
          <w:rFonts w:ascii="Calibri" w:hAnsi="Calibri"/>
          <w:color w:val="2D3748"/>
          <w:sz w:val="19"/>
        </w:rPr>
        <w:t>La matriz de cumplimiento requisito por requisito.</w:t>
      </w:r>
    </w:p>
    <w:p>
      <w:pPr>
        <w:pStyle w:val="ListBullet"/>
        <w:spacing w:before="20" w:after="40"/>
        <w:ind w:left="360"/>
      </w:pPr>
      <w:r>
        <w:rPr>
          <w:rFonts w:ascii="Calibri" w:hAnsi="Calibri"/>
          <w:color w:val="2D3748"/>
          <w:sz w:val="19"/>
        </w:rPr>
        <w:t>Las decisiones de alcance del equipo y su justificación (sección 26.1).</w:t>
      </w:r>
    </w:p>
    <w:p>
      <w:pPr>
        <w:pStyle w:val="ListBullet"/>
        <w:spacing w:before="20" w:after="40"/>
        <w:ind w:left="360"/>
      </w:pPr>
      <w:r>
        <w:rPr>
          <w:rFonts w:ascii="Calibri" w:hAnsi="Calibri"/>
          <w:color w:val="2D3748"/>
          <w:sz w:val="19"/>
        </w:rPr>
        <w:t>Las pruebas y evidencias necesarias para afirmar cumplimiento total.</w:t>
      </w:r>
    </w:p>
    <w:tbl>
      <w:tblPr>
        <w:tblW w:type="auto" w:w="0"/>
        <w:jc w:val="center"/>
        <w:tblLayout w:type="fixed"/>
        <w:tblLook w:firstColumn="1" w:firstRow="1" w:lastColumn="0" w:lastRow="0" w:noHBand="0" w:noVBand="1" w:val="04A0"/>
        <w:tblBorders>
          <w:top w:val="none"/>
          <w:left w:val="single" w:sz="24" w:space="0" w:color="0D9488"/>
          <w:bottom w:val="none"/>
          <w:right w:val="none"/>
          <w:insideH w:val="none"/>
          <w:insideV w:val="none"/>
        </w:tblBorders>
      </w:tblPr>
      <w:tblGrid>
        <w:gridCol w:w="9360"/>
      </w:tblGrid>
      <w:tr>
        <w:tc>
          <w:tcPr>
            <w:tcW w:type="dxa" w:w="9360"/>
            <w:shd w:fill="F0FDFA"/>
            <w:tcMar>
              <w:top w:w="110" w:type="dxa"/>
              <w:bottom w:w="110" w:type="dxa"/>
              <w:left w:w="150" w:type="dxa"/>
              <w:right w:w="140" w:type="dxa"/>
            </w:tcMar>
          </w:tcPr>
          <w:p>
            <w:pPr>
              <w:spacing w:before="0" w:after="40" w:line="276" w:lineRule="auto"/>
            </w:pPr>
            <w:r>
              <w:rPr>
                <w:rFonts w:ascii="Arial" w:hAnsi="Arial"/>
                <w:b/>
                <w:color w:val="0F766E"/>
                <w:sz w:val="19"/>
              </w:rPr>
              <w:t>NOTA DE ALCANCE:</w:t>
              <w:br/>
            </w:r>
            <w:r>
              <w:rPr>
                <w:rFonts w:ascii="Calibri" w:hAnsi="Calibri"/>
                <w:color w:val="134E4A"/>
                <w:sz w:val="18"/>
              </w:rPr>
              <w:t>este documento distingue entre diseño, implementación y evidencia. Que una función esté diseñada no significa que ya esté implementada o probada.</w:t>
            </w:r>
          </w:p>
        </w:tc>
      </w:tr>
    </w:tbl>
    <w:p>
      <w:pPr>
        <w:spacing w:before="0" w:after="120"/>
      </w:pPr>
    </w:p>
    <w:p>
      <w:pPr>
        <w:pStyle w:val="Heading2"/>
        <w:spacing w:before="280" w:after="80"/>
      </w:pPr>
      <w:r>
        <w:rPr>
          <w:rFonts w:ascii="Arial" w:hAnsi="Arial"/>
          <w:b/>
          <w:color w:val="2B6CB0"/>
          <w:sz w:val="27"/>
        </w:rPr>
        <w:t>Tabla de contenido general</w:t>
      </w:r>
    </w:p>
    <w:p>
      <w:pPr>
        <w:pStyle w:val="ListNumber"/>
        <w:spacing w:before="20" w:after="40"/>
      </w:pPr>
      <w:r>
        <w:rPr>
          <w:rFonts w:ascii="Calibri" w:hAnsi="Calibri"/>
          <w:color w:val="2D3748"/>
          <w:sz w:val="19"/>
        </w:rPr>
        <w:t>Contexto, dominio y especificación funcional</w:t>
      </w:r>
    </w:p>
    <w:p>
      <w:pPr>
        <w:pStyle w:val="ListNumber"/>
        <w:spacing w:before="20" w:after="40"/>
      </w:pPr>
      <w:r>
        <w:rPr>
          <w:rFonts w:ascii="Calibri" w:hAnsi="Calibri"/>
          <w:color w:val="2D3748"/>
          <w:sz w:val="19"/>
        </w:rPr>
        <w:t>Correcciones de cobertura del Parcial 2</w:t>
      </w:r>
    </w:p>
    <w:p>
      <w:pPr>
        <w:pStyle w:val="ListNumber"/>
        <w:spacing w:before="20" w:after="40"/>
      </w:pPr>
      <w:r>
        <w:rPr>
          <w:rFonts w:ascii="Calibri" w:hAnsi="Calibri"/>
          <w:color w:val="2D3748"/>
          <w:sz w:val="19"/>
        </w:rPr>
        <w:t>Matriz de cumplimiento completa</w:t>
      </w:r>
    </w:p>
    <w:p>
      <w:pPr>
        <w:pStyle w:val="ListNumber"/>
        <w:spacing w:before="20" w:after="40"/>
      </w:pPr>
      <w:r>
        <w:rPr>
          <w:rFonts w:ascii="Calibri" w:hAnsi="Calibri"/>
          <w:color w:val="2D3748"/>
          <w:sz w:val="19"/>
        </w:rPr>
        <w:t>Hipercubo de información</w:t>
      </w:r>
    </w:p>
    <w:p>
      <w:pPr>
        <w:pStyle w:val="ListNumber"/>
        <w:spacing w:before="20" w:after="40"/>
      </w:pPr>
      <w:r>
        <w:rPr>
          <w:rFonts w:ascii="Calibri" w:hAnsi="Calibri"/>
          <w:color w:val="2D3748"/>
          <w:sz w:val="19"/>
        </w:rPr>
        <w:t>Variables de entrada y salida</w:t>
      </w:r>
    </w:p>
    <w:p>
      <w:pPr>
        <w:pStyle w:val="ListNumber"/>
        <w:spacing w:before="20" w:after="40"/>
      </w:pPr>
      <w:r>
        <w:rPr>
          <w:rFonts w:ascii="Calibri" w:hAnsi="Calibri"/>
          <w:color w:val="2D3748"/>
          <w:sz w:val="19"/>
        </w:rPr>
        <w:t>CRUD y persistencia por estructura</w:t>
      </w:r>
    </w:p>
    <w:p>
      <w:pPr>
        <w:pStyle w:val="ListNumber"/>
        <w:spacing w:before="20" w:after="40"/>
      </w:pPr>
      <w:r>
        <w:rPr>
          <w:rFonts w:ascii="Calibri" w:hAnsi="Calibri"/>
          <w:color w:val="2D3748"/>
          <w:sz w:val="19"/>
        </w:rPr>
        <w:t>Dos soluciones ejecutables e integración</w:t>
      </w:r>
    </w:p>
    <w:p>
      <w:pPr>
        <w:pStyle w:val="ListNumber"/>
        <w:spacing w:before="20" w:after="40"/>
      </w:pPr>
      <w:r>
        <w:rPr>
          <w:rFonts w:ascii="Calibri" w:hAnsi="Calibri"/>
          <w:color w:val="2D3748"/>
          <w:sz w:val="19"/>
        </w:rPr>
        <w:t>Persistencia dual e inicialización</w:t>
      </w:r>
    </w:p>
    <w:p>
      <w:pPr>
        <w:pStyle w:val="ListNumber"/>
        <w:spacing w:before="20" w:after="40"/>
      </w:pPr>
      <w:r>
        <w:rPr>
          <w:rFonts w:ascii="Calibri" w:hAnsi="Calibri"/>
          <w:color w:val="2D3748"/>
          <w:sz w:val="19"/>
        </w:rPr>
        <w:t>Dashboard estadístico integrado y resumen C++</w:t>
      </w:r>
    </w:p>
    <w:p>
      <w:pPr>
        <w:pStyle w:val="ListNumber"/>
        <w:spacing w:before="20" w:after="40"/>
      </w:pPr>
      <w:r>
        <w:rPr>
          <w:rFonts w:ascii="Calibri" w:hAnsi="Calibri"/>
          <w:color w:val="2D3748"/>
          <w:sz w:val="19"/>
        </w:rPr>
        <w:t>Entregables obligatorios</w:t>
      </w:r>
    </w:p>
    <w:p>
      <w:pPr>
        <w:pStyle w:val="ListNumber"/>
        <w:spacing w:before="20" w:after="40"/>
      </w:pPr>
      <w:r>
        <w:rPr>
          <w:rFonts w:ascii="Calibri" w:hAnsi="Calibri"/>
          <w:color w:val="2D3748"/>
          <w:sz w:val="19"/>
        </w:rPr>
        <w:t>Diagramas y documentación pendientes</w:t>
      </w:r>
    </w:p>
    <w:p>
      <w:pPr>
        <w:pStyle w:val="ListNumber"/>
        <w:spacing w:before="20" w:after="40"/>
      </w:pPr>
      <w:r>
        <w:rPr>
          <w:rFonts w:ascii="Calibri" w:hAnsi="Calibri"/>
          <w:color w:val="2D3748"/>
          <w:sz w:val="19"/>
        </w:rPr>
        <w:t>Matriz de trazabilidad y pruebas</w:t>
      </w:r>
    </w:p>
    <w:p>
      <w:pPr>
        <w:pStyle w:val="ListNumber"/>
        <w:spacing w:before="20" w:after="40"/>
      </w:pPr>
      <w:r>
        <w:rPr>
          <w:rFonts w:ascii="Calibri" w:hAnsi="Calibri"/>
          <w:color w:val="2D3748"/>
          <w:sz w:val="19"/>
        </w:rPr>
        <w:t>Alcance obligatorio y complementario</w:t>
      </w:r>
    </w:p>
    <w:p>
      <w:pPr>
        <w:pStyle w:val="ListNumber"/>
        <w:spacing w:before="20" w:after="40"/>
      </w:pPr>
      <w:r>
        <w:rPr>
          <w:rFonts w:ascii="Calibri" w:hAnsi="Calibri"/>
          <w:color w:val="2D3748"/>
          <w:sz w:val="19"/>
        </w:rPr>
        <w:t>Estructura final del repositorio</w:t>
      </w:r>
    </w:p>
    <w:p>
      <w:pPr>
        <w:pStyle w:val="ListNumber"/>
        <w:spacing w:before="20" w:after="40"/>
      </w:pPr>
      <w:r>
        <w:rPr>
          <w:rFonts w:ascii="Calibri" w:hAnsi="Calibri"/>
          <w:color w:val="2D3748"/>
          <w:sz w:val="19"/>
        </w:rPr>
        <w:t>Lista de comprobación de entrega</w:t>
      </w:r>
    </w:p>
    <w:p>
      <w:pPr>
        <w:pStyle w:val="Heading1"/>
        <w:spacing w:before="360" w:after="120"/>
      </w:pPr>
      <w:r>
        <w:rPr>
          <w:rFonts w:ascii="Arial" w:hAnsi="Arial"/>
          <w:b/>
          <w:color w:val="1A365D"/>
          <w:sz w:val="32"/>
        </w:rPr>
        <w:t>PARTE I. ESPECIFICACIÓN FUNCIONAL Y TÉCNICA CONSOLIDADA</w:t>
      </w:r>
    </w:p>
    <w:p>
      <w:pPr>
        <w:pStyle w:val="Heading2"/>
        <w:spacing w:before="280" w:after="80"/>
      </w:pPr>
      <w:r>
        <w:rPr>
          <w:rFonts w:ascii="Arial" w:hAnsi="Arial"/>
          <w:b/>
          <w:color w:val="2B6CB0"/>
          <w:sz w:val="27"/>
        </w:rPr>
        <w:t>1. Contexto, dominio y especificación funcional</w:t>
      </w:r>
    </w:p>
    <w:p>
      <w:pPr>
        <w:pStyle w:val="Heading3"/>
        <w:spacing w:before="200" w:after="60"/>
      </w:pPr>
      <w:r>
        <w:rPr>
          <w:rFonts w:ascii="Arial" w:hAnsi="Arial"/>
          <w:b/>
          <w:color w:val="0D9488"/>
          <w:sz w:val="23"/>
        </w:rPr>
        <w:t>1.1 Contexto institucional y motivación</w:t>
      </w:r>
    </w:p>
    <w:p>
      <w:pPr>
        <w:spacing w:before="40" w:after="80" w:line="276" w:lineRule="auto"/>
      </w:pPr>
      <w:r>
        <w:rPr>
          <w:rFonts w:ascii="Calibri" w:hAnsi="Calibri"/>
          <w:color w:val="1E293B"/>
          <w:sz w:val="20"/>
        </w:rPr>
        <w:t>La Universidad Popular del Cesar (UPC), a través de sus grupos e institutos de investigación adscritos a las diferentes facultades (Ingenierías y Tecnologías, Ciencias de la Salud, Ciencias Básicas y de la Educación, Ciencias Administrativas, Contables y Económicas, y Derecho y Ciencias Políticas), participa activamente en el Sistema Nacional de Ciencia, Tecnología e Innovación (SNCTeI) de Colombia, coordinado por el Ministerio de Ciencia, Tecnología e Innovación (Minciencias).</w:t>
      </w:r>
    </w:p>
    <w:p>
      <w:pPr>
        <w:spacing w:before="40" w:after="80" w:line="276" w:lineRule="auto"/>
      </w:pPr>
      <w:r>
        <w:rPr>
          <w:rFonts w:ascii="Calibri" w:hAnsi="Calibri"/>
          <w:color w:val="1E293B"/>
          <w:sz w:val="20"/>
        </w:rPr>
        <w:t>En este marco, la categorización institucional y la asignación de recursos dependen críticamente del reconocimiento y medición de grupos de investigación e investigadores bajo los términos de referencia vigentes (Convocatoria 957 de 2024). Históricamente, las instituciones de educación superior enfrentan serias dificultades:</w:t>
      </w:r>
    </w:p>
    <w:p>
      <w:pPr>
        <w:pStyle w:val="ListBullet"/>
        <w:spacing w:before="20" w:after="40"/>
        <w:ind w:left="360"/>
      </w:pPr>
      <w:r>
        <w:rPr>
          <w:rFonts w:ascii="Calibri" w:hAnsi="Calibri"/>
          <w:b/>
          <w:color w:val="2D3748"/>
          <w:sz w:val="19"/>
        </w:rPr>
        <w:t>Dispersión de la información:</w:t>
      </w:r>
      <w:r>
        <w:rPr>
          <w:rFonts w:ascii="Calibri" w:hAnsi="Calibri"/>
          <w:color w:val="2D3748"/>
          <w:sz w:val="19"/>
        </w:rPr>
        <w:t xml:space="preserve"> Los datos de producción académica residen en plataformas heterogéneas (plataforma Scienti: aplicativos GrupLAC para grupos y CvLAC para hojas de vida de investigadores, portales de revistas indexadas, repositorios de patentes y sistemas de datos abiertos institucionales).</w:t>
      </w:r>
    </w:p>
    <w:p>
      <w:pPr>
        <w:pStyle w:val="ListBullet"/>
        <w:spacing w:before="20" w:after="40"/>
        <w:ind w:left="360"/>
      </w:pPr>
      <w:r>
        <w:rPr>
          <w:rFonts w:ascii="Calibri" w:hAnsi="Calibri"/>
          <w:b/>
          <w:color w:val="2D3748"/>
          <w:sz w:val="19"/>
        </w:rPr>
        <w:t>Inconsistencia y duplicidad:</w:t>
      </w:r>
      <w:r>
        <w:rPr>
          <w:rFonts w:ascii="Calibri" w:hAnsi="Calibri"/>
          <w:color w:val="2D3748"/>
          <w:sz w:val="19"/>
        </w:rPr>
        <w:t xml:space="preserve"> Un mismo artículo, libro o desarrollo de software suele ser reportado simultáneamente por múltiples coautores vinculados a distintos grupos o departamentos, distorsionando las estadísticas si no existe conciliación determinista de duplicados.</w:t>
      </w:r>
    </w:p>
    <w:p>
      <w:pPr>
        <w:pStyle w:val="ListBullet"/>
        <w:spacing w:before="20" w:after="40"/>
        <w:ind w:left="360"/>
      </w:pPr>
      <w:r>
        <w:rPr>
          <w:rFonts w:ascii="Calibri" w:hAnsi="Calibri"/>
          <w:b/>
          <w:color w:val="2D3748"/>
          <w:sz w:val="19"/>
        </w:rPr>
        <w:t>Falta de trazabilidad y auditoría:</w:t>
      </w:r>
      <w:r>
        <w:rPr>
          <w:rFonts w:ascii="Calibri" w:hAnsi="Calibri"/>
          <w:color w:val="2D3748"/>
          <w:sz w:val="19"/>
        </w:rPr>
        <w:t xml:space="preserve"> Se carece de un flujo de validación técnica formal que permita certificar si una evidencia cumple los periodos de observación (ventanas de 2 o 5 años) o las exigencias documentales antes del cierre de convocatorias.</w:t>
      </w:r>
    </w:p>
    <w:p>
      <w:pPr>
        <w:pStyle w:val="ListBullet"/>
        <w:spacing w:before="20" w:after="40"/>
        <w:ind w:left="360"/>
      </w:pPr>
      <w:r>
        <w:rPr>
          <w:rFonts w:ascii="Calibri" w:hAnsi="Calibri"/>
          <w:b/>
          <w:color w:val="2D3748"/>
          <w:sz w:val="19"/>
        </w:rPr>
        <w:t>Rendimiento computacional:</w:t>
      </w:r>
      <w:r>
        <w:rPr>
          <w:rFonts w:ascii="Calibri" w:hAnsi="Calibri"/>
          <w:color w:val="2D3748"/>
          <w:sz w:val="19"/>
        </w:rPr>
        <w:t xml:space="preserve"> La gestión de miles de registros bibliográficos y relaciones cruzadas mediante bases de datos puramente relacionales genera sobrecargas innecesarias cuando se requieren cálculos interactivos en tiempo real.</w:t>
      </w:r>
    </w:p>
    <w:p>
      <w:pPr>
        <w:spacing w:before="40" w:after="80" w:line="276" w:lineRule="auto"/>
      </w:pPr>
      <w:r>
        <w:rPr>
          <w:rFonts w:ascii="Calibri" w:hAnsi="Calibri"/>
          <w:color w:val="1E293B"/>
          <w:sz w:val="20"/>
        </w:rPr>
        <w:t xml:space="preserve">Para responder a estos desafíos se concibió </w:t>
      </w:r>
      <w:r>
        <w:rPr>
          <w:rFonts w:ascii="Calibri" w:hAnsi="Calibri"/>
          <w:b/>
          <w:color w:val="1E293B"/>
          <w:sz w:val="20"/>
        </w:rPr>
        <w:t>PEA-i (Programa Estadístico de Análisis de Investigación)</w:t>
      </w:r>
      <w:r>
        <w:rPr>
          <w:rFonts w:ascii="Calibri" w:hAnsi="Calibri"/>
          <w:color w:val="1E293B"/>
          <w:sz w:val="20"/>
        </w:rPr>
        <w:t>, desarrollado como proyecto integrador del Parcial 2 de la asignatura *Estructura de Datos* en la Universidad Popular del Cesar.</w:t>
      </w:r>
    </w:p>
    <w:p>
      <w:pPr>
        <w:pStyle w:val="Heading3"/>
        <w:spacing w:before="200" w:after="60"/>
      </w:pPr>
      <w:r>
        <w:rPr>
          <w:rFonts w:ascii="Arial" w:hAnsi="Arial"/>
          <w:b/>
          <w:color w:val="0D9488"/>
          <w:sz w:val="23"/>
        </w:rPr>
        <w:t>1.2 Objeto del sistema</w:t>
      </w:r>
    </w:p>
    <w:p>
      <w:pPr>
        <w:spacing w:before="40" w:after="80" w:line="276" w:lineRule="auto"/>
      </w:pPr>
      <w:r>
        <w:rPr>
          <w:rFonts w:ascii="Calibri" w:hAnsi="Calibri"/>
          <w:color w:val="1E293B"/>
          <w:sz w:val="20"/>
        </w:rPr>
        <w:t>PEA-i es una solución híbrida de alto rendimiento diseñada para:</w:t>
      </w:r>
    </w:p>
    <w:p>
      <w:pPr>
        <w:pStyle w:val="ListNumber"/>
        <w:spacing w:before="20" w:after="40"/>
      </w:pPr>
      <w:r>
        <w:rPr>
          <w:rFonts w:ascii="Calibri" w:hAnsi="Calibri"/>
          <w:b/>
          <w:color w:val="2D3748"/>
          <w:sz w:val="19"/>
        </w:rPr>
        <w:t>Modelar y gestionar en memoria principal (RAM)</w:t>
      </w:r>
      <w:r>
        <w:rPr>
          <w:rFonts w:ascii="Calibri" w:hAnsi="Calibri"/>
          <w:color w:val="2D3748"/>
          <w:sz w:val="19"/>
        </w:rPr>
        <w:t xml:space="preserve"> las entidades fundamentales de investigación mediante estructuras de datos dinámicas construidas manualmente con punteros en C++ (sin librerías STL de alto nivel ni contenedores prefabricados).</w:t>
      </w:r>
    </w:p>
    <w:p>
      <w:pPr>
        <w:pStyle w:val="ListNumber"/>
        <w:spacing w:before="20" w:after="40"/>
      </w:pPr>
      <w:r>
        <w:rPr>
          <w:rFonts w:ascii="Calibri" w:hAnsi="Calibri"/>
          <w:b/>
          <w:color w:val="2D3748"/>
          <w:sz w:val="19"/>
        </w:rPr>
        <w:t>Proveer interoperabilidad bidireccional nativa</w:t>
      </w:r>
      <w:r>
        <w:rPr>
          <w:rFonts w:ascii="Calibri" w:hAnsi="Calibri"/>
          <w:color w:val="2D3748"/>
          <w:sz w:val="19"/>
        </w:rPr>
        <w:t xml:space="preserve"> entre el núcleo algorítmico en C++ y un ecosistema moderno en Python mediante enlaces pybind11 compilados.</w:t>
      </w:r>
    </w:p>
    <w:p>
      <w:pPr>
        <w:pStyle w:val="ListNumber"/>
        <w:spacing w:before="20" w:after="40"/>
      </w:pPr>
      <w:r>
        <w:rPr>
          <w:rFonts w:ascii="Calibri" w:hAnsi="Calibri"/>
          <w:b/>
          <w:color w:val="2D3748"/>
          <w:sz w:val="19"/>
        </w:rPr>
        <w:t>Ofrecer una interfaz web moderna, responsiva y accesible</w:t>
      </w:r>
      <w:r>
        <w:rPr>
          <w:rFonts w:ascii="Calibri" w:hAnsi="Calibri"/>
          <w:color w:val="2D3748"/>
          <w:sz w:val="19"/>
        </w:rPr>
        <w:t xml:space="preserve"> construida en React, TypeScript y TailwindCSS, con doble interfaz: portal público institucional y panel administrativo avanzado.</w:t>
      </w:r>
    </w:p>
    <w:p>
      <w:pPr>
        <w:pStyle w:val="ListNumber"/>
        <w:spacing w:before="20" w:after="40"/>
      </w:pPr>
      <w:r>
        <w:rPr>
          <w:rFonts w:ascii="Calibri" w:hAnsi="Calibri"/>
          <w:b/>
          <w:color w:val="2D3748"/>
          <w:sz w:val="19"/>
        </w:rPr>
        <w:t>Garantizar la persistencia integral</w:t>
      </w:r>
      <w:r>
        <w:rPr>
          <w:rFonts w:ascii="Calibri" w:hAnsi="Calibri"/>
          <w:color w:val="2D3748"/>
          <w:sz w:val="19"/>
        </w:rPr>
        <w:t xml:space="preserve"> a través de dos canales: base de datos relacional SQL Server (con sincronización write-through inmediata y transacciones ACID) y archivos JSON normalizados (</w:t>
      </w:r>
      <w:r>
        <w:rPr>
          <w:rFonts w:ascii="Consolas" w:hAnsi="Consolas"/>
          <w:color w:val="0369A1"/>
          <w:sz w:val="17"/>
        </w:rPr>
        <w:t>pea_data.json</w:t>
      </w:r>
      <w:r>
        <w:rPr>
          <w:rFonts w:ascii="Calibri" w:hAnsi="Calibri"/>
          <w:color w:val="2D3748"/>
          <w:sz w:val="19"/>
        </w:rPr>
        <w:t>) para transporte y evaluación académica independiente.</w:t>
      </w:r>
    </w:p>
    <w:p>
      <w:pPr>
        <w:pStyle w:val="ListNumber"/>
        <w:spacing w:before="20" w:after="40"/>
      </w:pPr>
      <w:r>
        <w:rPr>
          <w:rFonts w:ascii="Calibri" w:hAnsi="Calibri"/>
          <w:b/>
          <w:color w:val="2D3748"/>
          <w:sz w:val="19"/>
        </w:rPr>
        <w:t>Automatizar la ingesta y conciliación</w:t>
      </w:r>
      <w:r>
        <w:rPr>
          <w:rFonts w:ascii="Calibri" w:hAnsi="Calibri"/>
          <w:color w:val="2D3748"/>
          <w:sz w:val="19"/>
        </w:rPr>
        <w:t xml:space="preserve"> de información pública desde Scienti (GrupLAC y CvLAC) con cálculo de huellas digitales estables y deduplicación por DOI y firmas de autor.</w:t>
      </w:r>
    </w:p>
    <w:p>
      <w:pPr>
        <w:pStyle w:val="ListNumber"/>
        <w:spacing w:before="20" w:after="40"/>
      </w:pPr>
      <w:r>
        <w:rPr>
          <w:rFonts w:ascii="Calibri" w:hAnsi="Calibri"/>
          <w:b/>
          <w:color w:val="2D3748"/>
          <w:sz w:val="19"/>
        </w:rPr>
        <w:t>Implementar un flujo de validación técnica y control de cambios</w:t>
      </w:r>
      <w:r>
        <w:rPr>
          <w:rFonts w:ascii="Calibri" w:hAnsi="Calibri"/>
          <w:color w:val="2D3748"/>
          <w:sz w:val="19"/>
        </w:rPr>
        <w:t xml:space="preserve"> con orden estricto FIFO para revisión de evidencias y pila LIFO para reversión de operaciones (deshacer).</w:t>
      </w:r>
    </w:p>
    <w:p>
      <w:pPr>
        <w:pStyle w:val="Heading2"/>
        <w:spacing w:before="280" w:after="80"/>
      </w:pPr>
      <w:r>
        <w:rPr>
          <w:rFonts w:ascii="Arial" w:hAnsi="Arial"/>
          <w:b/>
          <w:color w:val="2B6CB0"/>
          <w:sz w:val="27"/>
        </w:rPr>
        <w:t>2. Correcciones de cobertura del Parcial 2</w:t>
      </w:r>
    </w:p>
    <w:p>
      <w:pPr>
        <w:spacing w:before="40" w:after="80" w:line="276" w:lineRule="auto"/>
      </w:pPr>
      <w:r>
        <w:rPr>
          <w:rFonts w:ascii="Calibri" w:hAnsi="Calibri"/>
          <w:color w:val="1E293B"/>
          <w:sz w:val="20"/>
        </w:rPr>
        <w:t>Para garantizar que el sistema satisfaga los requisitos del Parcial 2 sin incurrir en contradicciones entre la especificación y la base de código real, se establecen las siguientes directrices y aclaraciones canónicas:</w:t>
      </w:r>
    </w:p>
    <w:p>
      <w:pPr>
        <w:pStyle w:val="ListNumber"/>
        <w:spacing w:before="20" w:after="40"/>
      </w:pPr>
      <w:r>
        <w:rPr>
          <w:rFonts w:ascii="Calibri" w:hAnsi="Calibri"/>
          <w:b/>
          <w:color w:val="2D3748"/>
          <w:sz w:val="19"/>
        </w:rPr>
        <w:t>Unificación de la persistencia de productos:</w:t>
      </w:r>
      <w:r>
        <w:rPr>
          <w:rFonts w:ascii="Calibri" w:hAnsi="Calibri"/>
          <w:color w:val="2D3748"/>
          <w:sz w:val="19"/>
        </w:rPr>
        <w:t xml:space="preserve"> Todo producto gestionado almacena los 20 atributos canónicos requeridos por el modelo Minciencias 2024 (código externo, título, descripción, familia, subtipo, categoría de calidad, fecha de obtención, fecha de publicación, año, idioma, país, DOI, ISBN, ISSN, URL, evidencia documental, atributos especializados, estado de validación y estado del registro).</w:t>
      </w:r>
    </w:p>
    <w:p>
      <w:pPr>
        <w:pStyle w:val="ListNumber"/>
        <w:spacing w:before="20" w:after="40"/>
      </w:pPr>
      <w:r>
        <w:rPr>
          <w:rFonts w:ascii="Calibri" w:hAnsi="Calibri"/>
          <w:b/>
          <w:color w:val="2D3748"/>
          <w:sz w:val="19"/>
        </w:rPr>
        <w:t>Autores de productos como entidad formal:</w:t>
      </w:r>
      <w:r>
        <w:rPr>
          <w:rFonts w:ascii="Calibri" w:hAnsi="Calibri"/>
          <w:color w:val="2D3748"/>
          <w:sz w:val="19"/>
        </w:rPr>
        <w:t xml:space="preserve"> Conforme a la sección 30 y 33.2, la relación entre productos e investigadores se implementa mediante la multilista </w:t>
      </w:r>
      <w:r>
        <w:rPr>
          <w:rFonts w:ascii="Consolas" w:hAnsi="Consolas"/>
          <w:color w:val="0369A1"/>
          <w:sz w:val="17"/>
        </w:rPr>
        <w:t>ProductAuthorNode</w:t>
      </w:r>
      <w:r>
        <w:rPr>
          <w:rFonts w:ascii="Calibri" w:hAnsi="Calibri"/>
          <w:color w:val="2D3748"/>
          <w:sz w:val="19"/>
        </w:rPr>
        <w:t xml:space="preserve"> en C++, sincronizada tanto con la tabla SQL Server </w:t>
      </w:r>
      <w:r>
        <w:rPr>
          <w:rFonts w:ascii="Consolas" w:hAnsi="Consolas"/>
          <w:color w:val="0369A1"/>
          <w:sz w:val="17"/>
        </w:rPr>
        <w:t>ProductAuthor</w:t>
      </w:r>
      <w:r>
        <w:rPr>
          <w:rFonts w:ascii="Calibri" w:hAnsi="Calibri"/>
          <w:color w:val="2D3748"/>
          <w:sz w:val="19"/>
        </w:rPr>
        <w:t xml:space="preserve"> como con la colección </w:t>
      </w:r>
      <w:r>
        <w:rPr>
          <w:rFonts w:ascii="Consolas" w:hAnsi="Consolas"/>
          <w:color w:val="0369A1"/>
          <w:sz w:val="17"/>
        </w:rPr>
        <w:t>"authors"</w:t>
      </w:r>
      <w:r>
        <w:rPr>
          <w:rFonts w:ascii="Calibri" w:hAnsi="Calibri"/>
          <w:color w:val="2D3748"/>
          <w:sz w:val="19"/>
        </w:rPr>
        <w:t xml:space="preserve"> del archivo JSON de persistencia.</w:t>
      </w:r>
    </w:p>
    <w:p>
      <w:pPr>
        <w:pStyle w:val="ListNumber"/>
        <w:spacing w:before="20" w:after="40"/>
      </w:pPr>
      <w:r>
        <w:rPr>
          <w:rFonts w:ascii="Calibri" w:hAnsi="Calibri"/>
          <w:b/>
          <w:color w:val="2D3748"/>
          <w:sz w:val="19"/>
        </w:rPr>
        <w:t>Reglas de vinculación temporal (RV-001 y RV-002):</w:t>
      </w:r>
      <w:r>
        <w:rPr>
          <w:rFonts w:ascii="Calibri" w:hAnsi="Calibri"/>
          <w:color w:val="2D3748"/>
          <w:sz w:val="19"/>
        </w:rPr>
        <w:t xml:space="preserve"> La gestión de integrantes en grupos valida estrictamente la no inversión de periodos (RV-001) y la no superposición de vinculaciones vigentes, admitiendo el reingreso no solapado (RV-002), respondiendo con códigos HTTP 400 y mensajes de negocio explícitos ante infracciones.</w:t>
      </w:r>
    </w:p>
    <w:p>
      <w:pPr>
        <w:pStyle w:val="ListNumber"/>
        <w:spacing w:before="20" w:after="40"/>
      </w:pPr>
      <w:r>
        <w:rPr>
          <w:rFonts w:ascii="Calibri" w:hAnsi="Calibri"/>
          <w:b/>
          <w:color w:val="2D3748"/>
          <w:sz w:val="19"/>
        </w:rPr>
        <w:t>Catálogo canónico 2024:</w:t>
      </w:r>
      <w:r>
        <w:rPr>
          <w:rFonts w:ascii="Calibri" w:hAnsi="Calibri"/>
          <w:color w:val="2D3748"/>
          <w:sz w:val="19"/>
        </w:rPr>
        <w:t xml:space="preserve"> El catálogo oficial siembra 5 familias de producción y 70 subtipos normalizados (10 en Generación de Nuevo Conocimiento, 26 en Desarrollo Tecnológico e Innovación, 4 en Apropiación Social del Conocimiento, 21 en Divulgación Pública de la Ciencia y 9 en Formación de Recurso Humano), superando el estimado previo de 56 subtipos.</w:t>
      </w:r>
    </w:p>
    <w:p>
      <w:pPr>
        <w:pStyle w:val="ListNumber"/>
        <w:spacing w:before="20" w:after="40"/>
      </w:pPr>
      <w:r>
        <w:rPr>
          <w:rFonts w:ascii="Calibri" w:hAnsi="Calibri"/>
          <w:b/>
          <w:color w:val="2D3748"/>
          <w:sz w:val="19"/>
        </w:rPr>
        <w:t>Alineación con la decisión D-03 (sustituida):</w:t>
      </w:r>
      <w:r>
        <w:rPr>
          <w:rFonts w:ascii="Calibri" w:hAnsi="Calibri"/>
          <w:color w:val="2D3748"/>
          <w:sz w:val="19"/>
        </w:rPr>
        <w:t xml:space="preserve"> La ingesta oficial se ejecuta por URL directa desde la plataforma Scienti (GrupLAC y CvLAC), mediante importación del archivo </w:t>
      </w:r>
      <w:r>
        <w:rPr>
          <w:rFonts w:ascii="Consolas" w:hAnsi="Consolas"/>
          <w:color w:val="0369A1"/>
          <w:sz w:val="17"/>
        </w:rPr>
        <w:t>pea_data.json</w:t>
      </w:r>
      <w:r>
        <w:rPr>
          <w:rFonts w:ascii="Calibri" w:hAnsi="Calibri"/>
          <w:color w:val="2D3748"/>
          <w:sz w:val="19"/>
        </w:rPr>
        <w:t xml:space="preserve"> </w:t>
      </w:r>
      <w:r>
        <w:rPr>
          <w:rFonts w:ascii="Calibri" w:hAnsi="Calibri"/>
          <w:b/>
          <w:color w:val="2D3748"/>
          <w:sz w:val="19"/>
        </w:rPr>
        <w:t>y mediante los importadores de archivo CSV (T-12) y PDF (T-13)</w:t>
      </w:r>
      <w:r>
        <w:rPr>
          <w:rFonts w:ascii="Calibri" w:hAnsi="Calibri"/>
          <w:color w:val="2D3748"/>
          <w:sz w:val="19"/>
        </w:rPr>
        <w:t xml:space="preserve"> implementados posteriormente. La exclususión original de las rutas de archivo fue revertida al incorporarse los importadores oficiales (dataset hrhc-c4wu de datos.gov.co para CSV; reporte propio e impresión del visor Scienti para PDF), todos con flujo de vista previa y confirmación.</w:t>
      </w:r>
    </w:p>
    <w:p>
      <w:pPr>
        <w:pStyle w:val="Heading2"/>
        <w:spacing w:before="280" w:after="80"/>
      </w:pPr>
      <w:r>
        <w:rPr>
          <w:rFonts w:ascii="Arial" w:hAnsi="Arial"/>
          <w:b/>
          <w:color w:val="2B6CB0"/>
          <w:sz w:val="27"/>
        </w:rPr>
        <w:t>3. Matriz de cumplimiento completa</w:t>
      </w:r>
    </w:p>
    <w:p>
      <w:pPr>
        <w:spacing w:before="40" w:after="80" w:line="276" w:lineRule="auto"/>
      </w:pPr>
      <w:r>
        <w:rPr>
          <w:rFonts w:ascii="Calibri" w:hAnsi="Calibri"/>
          <w:color w:val="1E293B"/>
          <w:sz w:val="20"/>
        </w:rPr>
        <w:t>A continuación se sintetiza el estado de cobertura de cada requerimiento del Parcial 2:</w:t>
      </w:r>
    </w:p>
    <w:tbl>
      <w:tblPr>
        <w:tblW w:type="auto" w:w="0"/>
        <w:jc w:val="center"/>
        <w:tblLook w:firstColumn="1" w:firstRow="1" w:lastColumn="0" w:lastRow="0" w:noHBand="0" w:noVBand="1" w:val="04A0"/>
        <w:tblBorders>
          <w:top w:val="single" w:sz="6" w:space="0" w:color="CBD5E1"/>
          <w:left w:val="none"/>
          <w:bottom w:val="single" w:sz="12" w:space="0" w:color="1A365D"/>
          <w:right w:val="none"/>
          <w:insideH w:val="single" w:sz="4" w:space="0" w:color="CBD5E1"/>
          <w:insideV w:val="none"/>
        </w:tblBorders>
      </w:tblPr>
      <w:tblGrid>
        <w:gridCol w:w="1872"/>
        <w:gridCol w:w="1872"/>
        <w:gridCol w:w="1872"/>
        <w:gridCol w:w="1872"/>
        <w:gridCol w:w="1872"/>
      </w:tblGrid>
      <w:tr>
        <w:trPr>
          <w:tblHeader/>
          <w:cantSplit/>
        </w:trPr>
        <w:tc>
          <w:tcPr>
            <w:tcW w:type="dxa" w:w="122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Requisito</w:t>
            </w:r>
          </w:p>
        </w:tc>
        <w:tc>
          <w:tcPr>
            <w:tcW w:type="dxa" w:w="2016"/>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Descripción Taller</w:t>
            </w:r>
          </w:p>
        </w:tc>
        <w:tc>
          <w:tcPr>
            <w:tcW w:type="dxa" w:w="2448"/>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Implementación en Core C++</w:t>
            </w:r>
          </w:p>
        </w:tc>
        <w:tc>
          <w:tcPr>
            <w:tcW w:type="dxa" w:w="230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Implementación en Python / React</w:t>
            </w:r>
          </w:p>
        </w:tc>
        <w:tc>
          <w:tcPr>
            <w:tcW w:type="dxa" w:w="1368"/>
            <w:shd w:fill="1A365D"/>
            <w:tcMar>
              <w:top w:w="130" w:type="dxa"/>
              <w:bottom w:w="130" w:type="dxa"/>
              <w:left w:w="110" w:type="dxa"/>
              <w:right w:w="110" w:type="dxa"/>
            </w:tcMar>
            <w:vAlign w:val="center"/>
          </w:tcPr>
          <w:p>
            <w:pPr>
              <w:spacing w:before="0" w:after="0" w:line="252" w:lineRule="auto"/>
              <w:jc w:val="center"/>
            </w:pPr>
            <w:r/>
            <w:r>
              <w:rPr>
                <w:rFonts w:ascii="Arial" w:hAnsi="Arial"/>
                <w:b/>
                <w:color w:val="FFFFFF"/>
                <w:sz w:val="19"/>
              </w:rPr>
              <w:t>Estado</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Solución en C/C++</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Core estático </w:t>
            </w:r>
            <w:r>
              <w:rPr>
                <w:rFonts w:ascii="Consolas" w:hAnsi="Consolas"/>
                <w:color w:val="0369A1"/>
                <w:sz w:val="16"/>
              </w:rPr>
              <w:t>abpoxx.lib</w:t>
            </w:r>
            <w:r>
              <w:rPr>
                <w:rFonts w:ascii="Calibri" w:hAnsi="Calibri"/>
                <w:color w:val="334155"/>
                <w:sz w:val="17"/>
              </w:rPr>
              <w:t xml:space="preserve"> y CLI </w:t>
            </w:r>
            <w:r>
              <w:rPr>
                <w:rFonts w:ascii="Consolas" w:hAnsi="Consolas"/>
                <w:color w:val="0369A1"/>
                <w:sz w:val="16"/>
              </w:rPr>
              <w:t>pea_cli.exe</w:t>
            </w:r>
          </w:p>
        </w:tc>
        <w:tc>
          <w:tcPr>
            <w:tcW w:type="dxa" w:w="2304"/>
            <w:shd w:fill="F8FAFC"/>
            <w:tcMar>
              <w:top w:w="70" w:type="dxa"/>
              <w:bottom w:w="70" w:type="dxa"/>
              <w:left w:w="100" w:type="dxa"/>
              <w:right w:w="100" w:type="dxa"/>
            </w:tcMar>
            <w:vAlign w:val="center"/>
            <w:shd w:fill="F1F5F9"/>
          </w:tcPr>
          <w:p>
            <w:pPr>
              <w:spacing w:before="0" w:after="0" w:line="252" w:lineRule="auto"/>
              <w:jc w:val="center"/>
            </w:pPr>
            <w:r/>
            <w:r>
              <w:rPr>
                <w:rFonts w:ascii="Arial" w:hAnsi="Arial"/>
                <w:b/>
                <w:color w:val="64748B"/>
                <w:sz w:val="17"/>
              </w:rPr>
              <w:t xml:space="preserve"> – N/A – </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T-02</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Solución en Python</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Integrado vía </w:t>
            </w:r>
            <w:r>
              <w:rPr>
                <w:rFonts w:ascii="Consolas" w:hAnsi="Consolas"/>
                <w:color w:val="0369A1"/>
                <w:sz w:val="16"/>
              </w:rPr>
              <w:t>abpoxx_pybind</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Backend FastAPI (</w:t>
            </w:r>
            <w:r>
              <w:rPr>
                <w:rFonts w:ascii="Consolas" w:hAnsi="Consolas"/>
                <w:color w:val="0369A1"/>
                <w:sz w:val="16"/>
              </w:rPr>
              <w:t>backend/app</w:t>
            </w:r>
            <w:r>
              <w:rPr>
                <w:rFonts w:ascii="Calibri" w:hAnsi="Calibri"/>
                <w:color w:val="334155"/>
                <w:sz w:val="17"/>
              </w:rPr>
              <w:t>)</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T-03</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Estructuras en RAM</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Nodos manuales con punteros directos</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Lectura y manipulación transparente</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T-04</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Lista de Grupos</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GroupNode</w:t>
            </w:r>
            <w:r>
              <w:rPr>
                <w:rFonts w:ascii="Calibri" w:hAnsi="Calibri"/>
                <w:color w:val="334155"/>
                <w:sz w:val="17"/>
              </w:rPr>
              <w:t xml:space="preserve"> (lista simplemente enlazada)</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Endpoints </w:t>
            </w:r>
            <w:r>
              <w:rPr>
                <w:rFonts w:ascii="Consolas" w:hAnsi="Consolas"/>
                <w:color w:val="0369A1"/>
                <w:sz w:val="16"/>
              </w:rPr>
              <w:t>/api/v1/groups</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T-05</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Lista de Investigadores</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ResearcherNode</w:t>
            </w:r>
            <w:r>
              <w:rPr>
                <w:rFonts w:ascii="Calibri" w:hAnsi="Calibri"/>
                <w:color w:val="334155"/>
                <w:sz w:val="17"/>
              </w:rPr>
              <w:t xml:space="preserve"> (lista enlazada simple)</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Endpoints </w:t>
            </w:r>
            <w:r>
              <w:rPr>
                <w:rFonts w:ascii="Consolas" w:hAnsi="Consolas"/>
                <w:color w:val="0369A1"/>
                <w:sz w:val="16"/>
              </w:rPr>
              <w:t>/api/v1/researchers</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T-06</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Multilista de Integrantes</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MembershipNode</w:t>
            </w:r>
            <w:r>
              <w:rPr>
                <w:rFonts w:ascii="Calibri" w:hAnsi="Calibri"/>
                <w:color w:val="334155"/>
                <w:sz w:val="17"/>
              </w:rPr>
              <w:t xml:space="preserve"> (doble cadena grupo/investigador)</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Pestaña "Integrantes" + </w:t>
            </w:r>
            <w:r>
              <w:rPr>
                <w:rFonts w:ascii="Consolas" w:hAnsi="Consolas"/>
                <w:color w:val="0369A1"/>
                <w:sz w:val="16"/>
              </w:rPr>
              <w:t>/memberships</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T-07</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Membresías con rol y fechas</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Membership</w:t>
            </w:r>
            <w:r>
              <w:rPr>
                <w:rFonts w:ascii="Calibri" w:hAnsi="Calibri"/>
                <w:color w:val="334155"/>
                <w:sz w:val="17"/>
              </w:rPr>
              <w:t xml:space="preserve"> con </w:t>
            </w:r>
            <w:r>
              <w:rPr>
                <w:rFonts w:ascii="Consolas" w:hAnsi="Consolas"/>
                <w:color w:val="0369A1"/>
                <w:sz w:val="16"/>
              </w:rPr>
              <w:t>role</w:t>
            </w:r>
            <w:r>
              <w:rPr>
                <w:rFonts w:ascii="Calibri" w:hAnsi="Calibri"/>
                <w:color w:val="334155"/>
                <w:sz w:val="17"/>
              </w:rPr>
              <w:t xml:space="preserve">, </w:t>
            </w:r>
            <w:r>
              <w:rPr>
                <w:rFonts w:ascii="Consolas" w:hAnsi="Consolas"/>
                <w:color w:val="0369A1"/>
                <w:sz w:val="16"/>
              </w:rPr>
              <w:t>start_date</w:t>
            </w:r>
            <w:r>
              <w:rPr>
                <w:rFonts w:ascii="Calibri" w:hAnsi="Calibri"/>
                <w:color w:val="334155"/>
                <w:sz w:val="17"/>
              </w:rPr>
              <w:t xml:space="preserve">, </w:t>
            </w:r>
            <w:r>
              <w:rPr>
                <w:rFonts w:ascii="Consolas" w:hAnsi="Consolas"/>
                <w:color w:val="0369A1"/>
                <w:sz w:val="16"/>
              </w:rPr>
              <w:t>end_date</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Modales de vinculación y edición con fechas</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T-08</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Planes de trabajo</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PlanNode</w:t>
            </w:r>
            <w:r>
              <w:rPr>
                <w:rFonts w:ascii="Calibri" w:hAnsi="Calibri"/>
                <w:color w:val="334155"/>
                <w:sz w:val="17"/>
              </w:rPr>
              <w:t xml:space="preserve"> (cadena anclada a </w:t>
            </w:r>
            <w:r>
              <w:rPr>
                <w:rFonts w:ascii="Consolas" w:hAnsi="Consolas"/>
                <w:color w:val="0369A1"/>
                <w:sz w:val="16"/>
              </w:rPr>
              <w:t>GroupNode</w:t>
            </w:r>
            <w:r>
              <w:rPr>
                <w:rFonts w:ascii="Calibri" w:hAnsi="Calibri"/>
                <w:color w:val="334155"/>
                <w:sz w:val="17"/>
              </w:rPr>
              <w:t>)</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Endpoints </w:t>
            </w:r>
            <w:r>
              <w:rPr>
                <w:rFonts w:ascii="Consolas" w:hAnsi="Consolas"/>
                <w:color w:val="0369A1"/>
                <w:sz w:val="16"/>
              </w:rPr>
              <w:t>/plans</w:t>
            </w:r>
            <w:r>
              <w:rPr>
                <w:rFonts w:ascii="Calibri" w:hAnsi="Calibri"/>
                <w:color w:val="334155"/>
                <w:sz w:val="17"/>
              </w:rPr>
              <w:t xml:space="preserve"> + UI "Planes"</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T-09</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Proyectos autónomos</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ProjectNode</w:t>
            </w:r>
            <w:r>
              <w:rPr>
                <w:rFonts w:ascii="Calibri" w:hAnsi="Calibri"/>
                <w:color w:val="334155"/>
                <w:sz w:val="17"/>
              </w:rPr>
              <w:t xml:space="preserve"> (lista global) + </w:t>
            </w:r>
            <w:r>
              <w:rPr>
                <w:rFonts w:ascii="Consolas" w:hAnsi="Consolas"/>
                <w:color w:val="0369A1"/>
                <w:sz w:val="16"/>
              </w:rPr>
              <w:t>GroupProjectNode</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Endpoints </w:t>
            </w:r>
            <w:r>
              <w:rPr>
                <w:rFonts w:ascii="Consolas" w:hAnsi="Consolas"/>
                <w:color w:val="0369A1"/>
                <w:sz w:val="16"/>
              </w:rPr>
              <w:t>/projects</w:t>
            </w:r>
            <w:r>
              <w:rPr>
                <w:rFonts w:ascii="Calibri" w:hAnsi="Calibri"/>
                <w:color w:val="334155"/>
                <w:sz w:val="17"/>
              </w:rPr>
              <w:t xml:space="preserve"> + UI "Proyectos"</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T-10</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Multilista de Productos</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GroupProductNode</w:t>
            </w:r>
            <w:r>
              <w:rPr>
                <w:rFonts w:ascii="Calibri" w:hAnsi="Calibri"/>
                <w:color w:val="334155"/>
                <w:sz w:val="17"/>
              </w:rPr>
              <w:t xml:space="preserve"> (doble cadena grupo/producto)</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Endpoints </w:t>
            </w:r>
            <w:r>
              <w:rPr>
                <w:rFonts w:ascii="Consolas" w:hAnsi="Consolas"/>
                <w:color w:val="0369A1"/>
                <w:sz w:val="16"/>
              </w:rPr>
              <w:t>/groups/{id}/products</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Ingesta desde URL Scienti</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Consumo write-through desde backend</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Scrapers GrupLAC y CvLAC con dedupe</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T-12 / 13</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Ingesta PDF / CSV</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ImportJob.source_type</w:t>
            </w:r>
            <w:r>
              <w:rPr>
                <w:rFonts w:ascii="Calibri" w:hAnsi="Calibri"/>
                <w:color w:val="334155"/>
                <w:sz w:val="17"/>
              </w:rPr>
              <w:t xml:space="preserve"> extendido a </w:t>
            </w:r>
            <w:r>
              <w:rPr>
                <w:rFonts w:ascii="Consolas" w:hAnsi="Consolas"/>
                <w:color w:val="0369A1"/>
                <w:sz w:val="16"/>
              </w:rPr>
              <w:t>csv</w:t>
            </w:r>
            <w:r>
              <w:rPr>
                <w:rFonts w:ascii="Calibri" w:hAnsi="Calibri"/>
                <w:color w:val="334155"/>
                <w:sz w:val="17"/>
              </w:rPr>
              <w:t>/</w:t>
            </w:r>
            <w:r>
              <w:rPr>
                <w:rFonts w:ascii="Consolas" w:hAnsi="Consolas"/>
                <w:color w:val="0369A1"/>
                <w:sz w:val="16"/>
              </w:rPr>
              <w:t>pdf</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POST /groups/import/csv(/preview)</w:t>
            </w:r>
            <w:r>
              <w:rPr>
                <w:rFonts w:ascii="Calibri" w:hAnsi="Calibri"/>
                <w:color w:val="334155"/>
                <w:sz w:val="17"/>
              </w:rPr>
              <w:t xml:space="preserve"> y </w:t>
            </w:r>
            <w:r>
              <w:rPr>
                <w:rFonts w:ascii="Consolas" w:hAnsi="Consolas"/>
                <w:color w:val="0369A1"/>
                <w:sz w:val="16"/>
              </w:rPr>
              <w:t>POST /groups/import/pdf(/preview)</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T-14</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Cola FIFO de validación</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ValidationQueueItem</w:t>
            </w:r>
            <w:r>
              <w:rPr>
                <w:rFonts w:ascii="Calibri" w:hAnsi="Calibri"/>
                <w:color w:val="334155"/>
                <w:sz w:val="17"/>
              </w:rPr>
              <w:t xml:space="preserve"> / </w:t>
            </w:r>
            <w:r>
              <w:rPr>
                <w:rFonts w:ascii="Consolas" w:hAnsi="Consolas"/>
                <w:color w:val="0369A1"/>
                <w:sz w:val="16"/>
              </w:rPr>
              <w:t>ValidationQueue</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Panel </w:t>
            </w:r>
            <w:r>
              <w:rPr>
                <w:rFonts w:ascii="Consolas" w:hAnsi="Consolas"/>
                <w:color w:val="0369A1"/>
                <w:sz w:val="16"/>
              </w:rPr>
              <w:t>/admin/validation-queue</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T-15</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Pila LIFO de deshacer</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UndoOperation</w:t>
            </w:r>
            <w:r>
              <w:rPr>
                <w:rFonts w:ascii="Calibri" w:hAnsi="Calibri"/>
                <w:color w:val="334155"/>
                <w:sz w:val="17"/>
              </w:rPr>
              <w:t xml:space="preserve"> / </w:t>
            </w:r>
            <w:r>
              <w:rPr>
                <w:rFonts w:ascii="Consolas" w:hAnsi="Consolas"/>
                <w:color w:val="0369A1"/>
                <w:sz w:val="16"/>
              </w:rPr>
              <w:t>UndoStack</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Historial interactivo </w:t>
            </w:r>
            <w:r>
              <w:rPr>
                <w:rFonts w:ascii="Consolas" w:hAnsi="Consolas"/>
                <w:color w:val="0369A1"/>
                <w:sz w:val="16"/>
              </w:rPr>
              <w:t>/admin/undo</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T-16</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Ventana de observación</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Filtrado dinámico por fechas y </w:t>
            </w:r>
            <w:r>
              <w:rPr>
                <w:rFonts w:ascii="Consolas" w:hAnsi="Consolas"/>
                <w:color w:val="0369A1"/>
                <w:sz w:val="16"/>
              </w:rPr>
              <w:t>window_years</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Parámetros query + selector en reportes PDF</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T-17</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Persistencia SQL Server</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ODBC nativo (</w:t>
            </w:r>
            <w:r>
              <w:rPr>
                <w:rFonts w:ascii="Consolas" w:hAnsi="Consolas"/>
                <w:color w:val="0369A1"/>
                <w:sz w:val="16"/>
              </w:rPr>
              <w:t>db_persistence.cpp</w:t>
            </w:r>
            <w:r>
              <w:rPr>
                <w:rFonts w:ascii="Calibri" w:hAnsi="Calibri"/>
                <w:color w:val="334155"/>
                <w:sz w:val="17"/>
              </w:rPr>
              <w:t>)</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Inicialización automática y sincronización</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T-18</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Persistencia JSON</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Serialización manual (</w:t>
            </w:r>
            <w:r>
              <w:rPr>
                <w:rFonts w:ascii="Consolas" w:hAnsi="Consolas"/>
                <w:color w:val="0369A1"/>
                <w:sz w:val="16"/>
              </w:rPr>
              <w:t>json_persistence.cpp</w:t>
            </w:r>
            <w:r>
              <w:rPr>
                <w:rFonts w:ascii="Calibri" w:hAnsi="Calibri"/>
                <w:color w:val="334155"/>
                <w:sz w:val="17"/>
              </w:rPr>
              <w:t>)</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/system/export</w:t>
            </w:r>
            <w:r>
              <w:rPr>
                <w:rFonts w:ascii="Calibri" w:hAnsi="Calibri"/>
                <w:color w:val="334155"/>
                <w:sz w:val="17"/>
              </w:rPr>
              <w:t xml:space="preserve"> y </w:t>
            </w:r>
            <w:r>
              <w:rPr>
                <w:rFonts w:ascii="Consolas" w:hAnsi="Consolas"/>
                <w:color w:val="0369A1"/>
                <w:sz w:val="16"/>
              </w:rPr>
              <w:t>/system/initialize/file</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T-19</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Dashboard estadístico</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Agregados en C++ (</w:t>
            </w:r>
            <w:r>
              <w:rPr>
                <w:rFonts w:ascii="Consolas" w:hAnsi="Consolas"/>
                <w:color w:val="0369A1"/>
                <w:sz w:val="16"/>
              </w:rPr>
              <w:t>db_persistence.cpp</w:t>
            </w:r>
            <w:r>
              <w:rPr>
                <w:rFonts w:ascii="Calibri" w:hAnsi="Calibri"/>
                <w:color w:val="334155"/>
                <w:sz w:val="17"/>
              </w:rPr>
              <w:t>)</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KPIs en </w:t>
            </w:r>
            <w:r>
              <w:rPr>
                <w:rFonts w:ascii="Consolas" w:hAnsi="Consolas"/>
                <w:color w:val="0369A1"/>
                <w:sz w:val="16"/>
              </w:rPr>
              <w:t>/admin</w:t>
            </w:r>
            <w:r>
              <w:rPr>
                <w:rFonts w:ascii="Calibri" w:hAnsi="Calibri"/>
                <w:color w:val="334155"/>
                <w:sz w:val="17"/>
              </w:rPr>
              <w:t xml:space="preserve"> y gráficos Recharts en </w:t>
            </w:r>
            <w:r>
              <w:rPr>
                <w:rFonts w:ascii="Consolas" w:hAnsi="Consolas"/>
                <w:color w:val="0369A1"/>
                <w:sz w:val="16"/>
              </w:rPr>
              <w:t>/portal</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T-20</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Resumen en consola</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pea_cli summary</w:t>
            </w:r>
            <w:r>
              <w:rPr>
                <w:rFonts w:ascii="Calibri" w:hAnsi="Calibri"/>
                <w:color w:val="334155"/>
                <w:sz w:val="17"/>
              </w:rPr>
              <w:t xml:space="preserve"> / </w:t>
            </w:r>
            <w:r>
              <w:rPr>
                <w:rFonts w:ascii="Consolas" w:hAnsi="Consolas"/>
                <w:color w:val="0369A1"/>
                <w:sz w:val="16"/>
              </w:rPr>
              <w:t>print_summary()</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Tablas formateadas ASCII con métricas</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bl>
    <w:p>
      <w:pPr>
        <w:spacing w:before="0" w:after="120"/>
      </w:pPr>
    </w:p>
    <w:p>
      <w:pPr>
        <w:pStyle w:val="Heading2"/>
        <w:spacing w:before="280" w:after="80"/>
      </w:pPr>
      <w:r>
        <w:rPr>
          <w:rFonts w:ascii="Arial" w:hAnsi="Arial"/>
          <w:b/>
          <w:color w:val="2B6CB0"/>
          <w:sz w:val="27"/>
        </w:rPr>
        <w:t>4. Hipercubo de información</w:t>
      </w:r>
    </w:p>
    <w:p>
      <w:pPr>
        <w:pStyle w:val="Heading3"/>
        <w:spacing w:before="200" w:after="60"/>
      </w:pPr>
      <w:r>
        <w:rPr>
          <w:rFonts w:ascii="Arial" w:hAnsi="Arial"/>
          <w:b/>
          <w:color w:val="0D9488"/>
          <w:sz w:val="23"/>
        </w:rPr>
        <w:t>4.1 Definición conceptual y matemática</w:t>
      </w:r>
    </w:p>
    <w:p>
      <w:pPr>
        <w:spacing w:before="40" w:after="80" w:line="276" w:lineRule="auto"/>
      </w:pPr>
      <w:r>
        <w:rPr>
          <w:rFonts w:ascii="Calibri" w:hAnsi="Calibri"/>
          <w:color w:val="1E293B"/>
          <w:sz w:val="20"/>
        </w:rPr>
        <w:t>El hipercubo de información de PEA-i es un modelo multidimensional orientado al análisis analítico en línea (OLAP) de la producción científica institucional. Permite desagregar, filtrar y consolidar los indicadores de ciencia y tecnología a través de un espacio de cuatro dimensiones ortogonales:</w:t>
      </w:r>
    </w:p>
    <w:p>
      <w:pPr>
        <w:spacing w:before="40" w:after="80" w:line="276" w:lineRule="auto"/>
      </w:pPr>
      <w:r>
        <w:rPr>
          <w:rFonts w:ascii="Calibri" w:hAnsi="Calibri"/>
          <w:color w:val="1E293B"/>
          <w:sz w:val="20"/>
        </w:rPr>
        <w:t>$\mathcal{H} = D_{\text{Entidad}} \times D_{\text{Tiempo}} \times D_{\text{Tipología}} \times D_{\text{Validación}} \longrightarrow \mathcal{M}$</w:t>
      </w:r>
    </w:p>
    <w:p>
      <w:pPr>
        <w:spacing w:before="40" w:after="80" w:line="276" w:lineRule="auto"/>
      </w:pPr>
      <w:r>
        <w:rPr>
          <w:rFonts w:ascii="Calibri" w:hAnsi="Calibri"/>
          <w:color w:val="1E293B"/>
          <w:sz w:val="20"/>
        </w:rPr>
        <w:t>Donde cada celda del hipercubo proyecta un vector de medidas escalares \mathcal{M} = \langle V_p, W_i, R_a \rangle:</w:t>
      </w:r>
    </w:p>
    <w:p>
      <w:pPr>
        <w:pStyle w:val="ListBullet"/>
        <w:spacing w:before="20" w:after="40"/>
        <w:ind w:left="360"/>
      </w:pPr>
      <w:r>
        <w:rPr>
          <w:rFonts w:ascii="Calibri" w:hAnsi="Calibri"/>
          <w:color w:val="2D3748"/>
          <w:sz w:val="19"/>
        </w:rPr>
        <w:t>V_p: Volumen total de productos (conteo cardinal de ítems únicos deduplicados).</w:t>
      </w:r>
    </w:p>
    <w:p>
      <w:pPr>
        <w:pStyle w:val="ListBullet"/>
        <w:spacing w:before="20" w:after="40"/>
        <w:ind w:left="360"/>
      </w:pPr>
      <w:r>
        <w:rPr>
          <w:rFonts w:ascii="Calibri" w:hAnsi="Calibri"/>
          <w:color w:val="2D3748"/>
          <w:sz w:val="19"/>
        </w:rPr>
        <w:t>W_i: Peso institucional ponderado según los factores de calidad de la convocatoria Minciencias 2024.</w:t>
      </w:r>
    </w:p>
    <w:p>
      <w:pPr>
        <w:pStyle w:val="ListBullet"/>
        <w:spacing w:before="20" w:after="40"/>
        <w:ind w:left="360"/>
      </w:pPr>
      <w:r>
        <w:rPr>
          <w:rFonts w:ascii="Calibri" w:hAnsi="Calibri"/>
          <w:color w:val="2D3748"/>
          <w:sz w:val="19"/>
        </w:rPr>
        <w:t>R_a: Tasa de aprobación o efectividad en validación técnica (V_p^{\text{valid}} / V_p^{\text{total}}).</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 xml:space="preserve">                      +---------------------------------------+</w:t>
              <w:br/>
              <w:t xml:space="preserve">                     /           ESTADO DE VALIDACIÓN        /|</w:t>
              <w:br/>
              <w:t xml:space="preserve">                    /   [Pendiente | Válido | Rechazado]    / |</w:t>
              <w:br/>
              <w:t xml:space="preserve">                   +---------------------------------------+  |</w:t>
              <w:br/>
              <w:t xml:space="preserve">                   |                                       |  |</w:t>
              <w:br/>
              <w:t xml:space="preserve">                   |                                       |  |  TIPOLOGÍA</w:t>
              <w:br/>
              <w:t xml:space="preserve">   ENTIDAD         |           CELDA ANALÍTICA             |  |  MINCIENCIAS</w:t>
              <w:br/>
              <w:t xml:space="preserve">   ORGANIZACIONAL  |       { Volumen, Ponderación,         |  |  (GNC, DTI, ASC,</w:t>
              <w:br/>
              <w:t xml:space="preserve">   (Grupos,        |         Tasa de Validación }          |  +  DPC, FRH - 70 subtipos)</w:t>
              <w:br/>
              <w:t xml:space="preserve">   Investigadores) |                                       | /</w:t>
              <w:br/>
              <w:t xml:space="preserve">                   |                                       |/</w:t>
              <w:br/>
              <w:t xml:space="preserve">                   +---------------------------------------+</w:t>
              <w:br/>
              <w:t xml:space="preserve">                                  TIEMPO</w:t>
              <w:br/>
              <w:t xml:space="preserve">                     (Años calendario / Ventana 2 y 5 años)</w:t>
            </w:r>
          </w:p>
        </w:tc>
      </w:tr>
    </w:tbl>
    <w:p>
      <w:pPr>
        <w:spacing w:before="0" w:after="120"/>
      </w:pPr>
    </w:p>
    <w:p>
      <w:pPr>
        <w:pStyle w:val="Heading3"/>
        <w:spacing w:before="200" w:after="60"/>
      </w:pPr>
      <w:r>
        <w:rPr>
          <w:rFonts w:ascii="Arial" w:hAnsi="Arial"/>
          <w:b/>
          <w:color w:val="0D9488"/>
          <w:sz w:val="23"/>
        </w:rPr>
        <w:t>4.2 Dimensiones del hipercubo</w:t>
      </w:r>
    </w:p>
    <w:p>
      <w:pPr>
        <w:pStyle w:val="ListNumber"/>
        <w:spacing w:before="20" w:after="40"/>
      </w:pPr>
      <w:r>
        <w:rPr>
          <w:rFonts w:ascii="Calibri" w:hAnsi="Calibri"/>
          <w:b/>
          <w:color w:val="2D3748"/>
          <w:sz w:val="19"/>
        </w:rPr>
        <w:t>Dimensión Entidad (D_{\text{Entidad}}):</w:t>
      </w:r>
    </w:p>
    <w:p>
      <w:pPr>
        <w:pStyle w:val="ListBullet"/>
        <w:spacing w:before="20" w:after="40"/>
        <w:ind w:left="720"/>
      </w:pPr>
      <w:r>
        <w:rPr>
          <w:rFonts w:ascii="Calibri" w:hAnsi="Calibri"/>
          <w:color w:val="2D3748"/>
          <w:sz w:val="19"/>
        </w:rPr>
        <w:t xml:space="preserve">Jerarquía: </w:t>
      </w:r>
      <w:r>
        <w:rPr>
          <w:rFonts w:ascii="Consolas" w:hAnsi="Consolas"/>
          <w:color w:val="0369A1"/>
          <w:sz w:val="17"/>
        </w:rPr>
        <w:t>Institución (UPC) → Facultad → Departamento → Grupo de Investigación → Investigador</w:t>
      </w:r>
      <w:r>
        <w:rPr>
          <w:rFonts w:ascii="Calibri" w:hAnsi="Calibri"/>
          <w:color w:val="2D3748"/>
          <w:sz w:val="19"/>
        </w:rPr>
        <w:t>.</w:t>
      </w:r>
    </w:p>
    <w:p>
      <w:pPr>
        <w:pStyle w:val="ListBullet"/>
        <w:spacing w:before="20" w:after="40"/>
        <w:ind w:left="720"/>
      </w:pPr>
      <w:r>
        <w:rPr>
          <w:rFonts w:ascii="Calibri" w:hAnsi="Calibri"/>
          <w:color w:val="2D3748"/>
          <w:sz w:val="19"/>
        </w:rPr>
        <w:t>Permite consultar la producción total de la universidad o aislar el aporte de un investigador particular en sus diferentes vinculaciones.</w:t>
      </w:r>
    </w:p>
    <w:p>
      <w:pPr>
        <w:pStyle w:val="ListNumber"/>
        <w:spacing w:before="20" w:after="40"/>
      </w:pPr>
      <w:r>
        <w:rPr>
          <w:rFonts w:ascii="Calibri" w:hAnsi="Calibri"/>
          <w:b/>
          <w:color w:val="2D3748"/>
          <w:sz w:val="19"/>
        </w:rPr>
        <w:t>Dimensión Tiempo (D_{\text{Tiempo}}):</w:t>
      </w:r>
    </w:p>
    <w:p>
      <w:pPr>
        <w:pStyle w:val="ListBullet"/>
        <w:spacing w:before="20" w:after="40"/>
        <w:ind w:left="720"/>
      </w:pPr>
      <w:r>
        <w:rPr>
          <w:rFonts w:ascii="Calibri" w:hAnsi="Calibri"/>
          <w:color w:val="2D3748"/>
          <w:sz w:val="19"/>
        </w:rPr>
        <w:t xml:space="preserve">Jerarquía: </w:t>
      </w:r>
      <w:r>
        <w:rPr>
          <w:rFonts w:ascii="Consolas" w:hAnsi="Consolas"/>
          <w:color w:val="0369A1"/>
          <w:sz w:val="17"/>
        </w:rPr>
        <w:t>Trienio de Medición → Año Calendario → Mes / Fecha de Obtención</w:t>
      </w:r>
      <w:r>
        <w:rPr>
          <w:rFonts w:ascii="Calibri" w:hAnsi="Calibri"/>
          <w:color w:val="2D3748"/>
          <w:sz w:val="19"/>
        </w:rPr>
        <w:t>.</w:t>
      </w:r>
    </w:p>
    <w:p>
      <w:pPr>
        <w:pStyle w:val="ListBullet"/>
        <w:spacing w:before="20" w:after="40"/>
        <w:ind w:left="720"/>
      </w:pPr>
      <w:r>
        <w:rPr>
          <w:rFonts w:ascii="Calibri" w:hAnsi="Calibri"/>
          <w:color w:val="2D3748"/>
          <w:sz w:val="19"/>
        </w:rPr>
        <w:t>Implementa ventanas deslizantes canónicas de 2 años (productos de ciclo corto), 5 años (productos de ciclo estándar) o periodos personalizados definidos por el usuario gestor.</w:t>
      </w:r>
    </w:p>
    <w:p>
      <w:pPr>
        <w:pStyle w:val="ListNumber"/>
        <w:spacing w:before="20" w:after="40"/>
      </w:pPr>
      <w:r>
        <w:rPr>
          <w:rFonts w:ascii="Calibri" w:hAnsi="Calibri"/>
          <w:b/>
          <w:color w:val="2D3748"/>
          <w:sz w:val="19"/>
        </w:rPr>
        <w:t>Dimensión Tipología (D_{\text{Tipología}}):</w:t>
      </w:r>
    </w:p>
    <w:p>
      <w:pPr>
        <w:pStyle w:val="ListBullet"/>
        <w:spacing w:before="20" w:after="40"/>
        <w:ind w:left="720"/>
      </w:pPr>
      <w:r>
        <w:rPr>
          <w:rFonts w:ascii="Calibri" w:hAnsi="Calibri"/>
          <w:color w:val="2D3748"/>
          <w:sz w:val="19"/>
        </w:rPr>
        <w:t xml:space="preserve">Jerarquía: </w:t>
      </w:r>
      <w:r>
        <w:rPr>
          <w:rFonts w:ascii="Consolas" w:hAnsi="Consolas"/>
          <w:color w:val="0369A1"/>
          <w:sz w:val="17"/>
        </w:rPr>
        <w:t>Familia (5) → Subtipo Minciencias (70) → Categoría de Calidad (A1, A, B, C / Top, A, B)</w:t>
      </w:r>
      <w:r>
        <w:rPr>
          <w:rFonts w:ascii="Calibri" w:hAnsi="Calibri"/>
          <w:color w:val="2D3748"/>
          <w:sz w:val="19"/>
        </w:rPr>
        <w:t>.</w:t>
      </w:r>
    </w:p>
    <w:p>
      <w:pPr>
        <w:pStyle w:val="ListBullet"/>
        <w:spacing w:before="20" w:after="40"/>
        <w:ind w:left="720"/>
      </w:pPr>
      <w:r>
        <w:rPr>
          <w:rFonts w:ascii="Calibri" w:hAnsi="Calibri"/>
          <w:color w:val="2D3748"/>
          <w:sz w:val="19"/>
        </w:rPr>
        <w:t>Permite clasificar desde grandes áreas (p. ej., Desarrollo Tecnológico) hasta la granularidad de software con registro de soporte lógico o variedades vegetales protegidas.</w:t>
      </w:r>
    </w:p>
    <w:p>
      <w:pPr>
        <w:pStyle w:val="ListNumber"/>
        <w:spacing w:before="20" w:after="40"/>
      </w:pPr>
      <w:r>
        <w:rPr>
          <w:rFonts w:ascii="Calibri" w:hAnsi="Calibri"/>
          <w:b/>
          <w:color w:val="2D3748"/>
          <w:sz w:val="19"/>
        </w:rPr>
        <w:t>Dimensión Validación (D_{\text{Validación}}):</w:t>
      </w:r>
    </w:p>
    <w:p>
      <w:pPr>
        <w:pStyle w:val="ListBullet"/>
        <w:spacing w:before="20" w:after="40"/>
        <w:ind w:left="720"/>
      </w:pPr>
      <w:r>
        <w:rPr>
          <w:rFonts w:ascii="Calibri" w:hAnsi="Calibri"/>
          <w:color w:val="2D3748"/>
          <w:sz w:val="19"/>
        </w:rPr>
        <w:t xml:space="preserve">Estados: </w:t>
      </w:r>
      <w:r>
        <w:rPr>
          <w:rFonts w:ascii="Consolas" w:hAnsi="Consolas"/>
          <w:color w:val="0369A1"/>
          <w:sz w:val="17"/>
        </w:rPr>
        <w:t>Pendiente de Validación</w:t>
      </w:r>
      <w:r>
        <w:rPr>
          <w:rFonts w:ascii="Calibri" w:hAnsi="Calibri"/>
          <w:color w:val="2D3748"/>
          <w:sz w:val="19"/>
        </w:rPr>
        <w:t xml:space="preserve">, </w:t>
      </w:r>
      <w:r>
        <w:rPr>
          <w:rFonts w:ascii="Consolas" w:hAnsi="Consolas"/>
          <w:color w:val="0369A1"/>
          <w:sz w:val="17"/>
        </w:rPr>
        <w:t>Válido / Certificado</w:t>
      </w:r>
      <w:r>
        <w:rPr>
          <w:rFonts w:ascii="Calibri" w:hAnsi="Calibri"/>
          <w:color w:val="2D3748"/>
          <w:sz w:val="19"/>
        </w:rPr>
        <w:t xml:space="preserve">, </w:t>
      </w:r>
      <w:r>
        <w:rPr>
          <w:rFonts w:ascii="Consolas" w:hAnsi="Consolas"/>
          <w:color w:val="0369A1"/>
          <w:sz w:val="17"/>
        </w:rPr>
        <w:t>Rechazado con Observación Técnica</w:t>
      </w:r>
      <w:r>
        <w:rPr>
          <w:rFonts w:ascii="Calibri" w:hAnsi="Calibri"/>
          <w:color w:val="2D3748"/>
          <w:sz w:val="19"/>
        </w:rPr>
        <w:t>.</w:t>
      </w:r>
    </w:p>
    <w:p>
      <w:pPr>
        <w:pStyle w:val="ListBullet"/>
        <w:spacing w:before="20" w:after="40"/>
        <w:ind w:left="720"/>
      </w:pPr>
      <w:r>
        <w:rPr>
          <w:rFonts w:ascii="Calibri" w:hAnsi="Calibri"/>
          <w:color w:val="2D3748"/>
          <w:sz w:val="19"/>
        </w:rPr>
        <w:t>Facilita auditar la madurez del banco de evidencias antes de la radicación final de la convocatoria.</w:t>
      </w:r>
    </w:p>
    <w:p>
      <w:pPr>
        <w:pStyle w:val="Heading3"/>
        <w:spacing w:before="200" w:after="60"/>
      </w:pPr>
      <w:r>
        <w:rPr>
          <w:rFonts w:ascii="Arial" w:hAnsi="Arial"/>
          <w:b/>
          <w:color w:val="0D9488"/>
          <w:sz w:val="23"/>
        </w:rPr>
        <w:t>4.3 Operaciones OLAP soportadas</w:t>
      </w:r>
    </w:p>
    <w:p>
      <w:pPr>
        <w:pStyle w:val="ListBullet"/>
        <w:spacing w:before="20" w:after="40"/>
        <w:ind w:left="360"/>
      </w:pPr>
      <w:r>
        <w:rPr>
          <w:rFonts w:ascii="Calibri" w:hAnsi="Calibri"/>
          <w:b/>
          <w:color w:val="2D3748"/>
          <w:sz w:val="19"/>
        </w:rPr>
        <w:t>Roll-Up:</w:t>
      </w:r>
      <w:r>
        <w:rPr>
          <w:rFonts w:ascii="Calibri" w:hAnsi="Calibri"/>
          <w:color w:val="2D3748"/>
          <w:sz w:val="19"/>
        </w:rPr>
        <w:t xml:space="preserve"> Agregación hacia arriba; por ejemplo, sumar los productos de los grupos de un departamento para calcular el indicador de facultad.</w:t>
      </w:r>
    </w:p>
    <w:p>
      <w:pPr>
        <w:pStyle w:val="ListBullet"/>
        <w:spacing w:before="20" w:after="40"/>
        <w:ind w:left="360"/>
      </w:pPr>
      <w:r>
        <w:rPr>
          <w:rFonts w:ascii="Calibri" w:hAnsi="Calibri"/>
          <w:b/>
          <w:color w:val="2D3748"/>
          <w:sz w:val="19"/>
        </w:rPr>
        <w:t>Drill-Down:</w:t>
      </w:r>
      <w:r>
        <w:rPr>
          <w:rFonts w:ascii="Calibri" w:hAnsi="Calibri"/>
          <w:color w:val="2D3748"/>
          <w:sz w:val="19"/>
        </w:rPr>
        <w:t xml:space="preserve"> Desagregación detallada; pasar del conteo general de artículos de un grupo a la lista discriminada por categoría de calidad cuartílica (Q1 a Q4).</w:t>
      </w:r>
    </w:p>
    <w:p>
      <w:pPr>
        <w:pStyle w:val="ListBullet"/>
        <w:spacing w:before="20" w:after="40"/>
        <w:ind w:left="360"/>
      </w:pPr>
      <w:r>
        <w:rPr>
          <w:rFonts w:ascii="Calibri" w:hAnsi="Calibri"/>
          <w:b/>
          <w:color w:val="2D3748"/>
          <w:sz w:val="19"/>
        </w:rPr>
        <w:t>Slice (Corte):</w:t>
      </w:r>
      <w:r>
        <w:rPr>
          <w:rFonts w:ascii="Calibri" w:hAnsi="Calibri"/>
          <w:color w:val="2D3748"/>
          <w:sz w:val="19"/>
        </w:rPr>
        <w:t xml:space="preserve"> Fijar una dimensión específica; por ejemplo, seleccionar únicamente los productos con estado </w:t>
      </w:r>
      <w:r>
        <w:rPr>
          <w:rFonts w:ascii="Consolas" w:hAnsi="Consolas"/>
          <w:color w:val="0369A1"/>
          <w:sz w:val="17"/>
        </w:rPr>
        <w:t>valid</w:t>
      </w:r>
      <w:r>
        <w:rPr>
          <w:rFonts w:ascii="Calibri" w:hAnsi="Calibri"/>
          <w:color w:val="2D3748"/>
          <w:sz w:val="19"/>
        </w:rPr>
        <w:t xml:space="preserve"> en la ventana 2024–2026.</w:t>
      </w:r>
    </w:p>
    <w:p>
      <w:pPr>
        <w:pStyle w:val="ListBullet"/>
        <w:spacing w:before="20" w:after="40"/>
        <w:ind w:left="360"/>
      </w:pPr>
      <w:r>
        <w:rPr>
          <w:rFonts w:ascii="Calibri" w:hAnsi="Calibri"/>
          <w:b/>
          <w:color w:val="2D3748"/>
          <w:sz w:val="19"/>
        </w:rPr>
        <w:t>Dice (Segmentación):</w:t>
      </w:r>
      <w:r>
        <w:rPr>
          <w:rFonts w:ascii="Calibri" w:hAnsi="Calibri"/>
          <w:color w:val="2D3748"/>
          <w:sz w:val="19"/>
        </w:rPr>
        <w:t xml:space="preserve"> Restringir un subcubo mediante múltiples condiciones; por ejemplo, productos de la familia GNC, en el Grupo AITICE, obtenidos entre 2022 y 2025 que cuenten con DOI certificado.</w:t>
      </w:r>
    </w:p>
    <w:p>
      <w:pPr>
        <w:pStyle w:val="ListBullet"/>
        <w:spacing w:before="20" w:after="40"/>
        <w:ind w:left="360"/>
      </w:pPr>
      <w:r>
        <w:rPr>
          <w:rFonts w:ascii="Calibri" w:hAnsi="Calibri"/>
          <w:b/>
          <w:color w:val="2D3748"/>
          <w:sz w:val="19"/>
        </w:rPr>
        <w:t>Pivot (Pivote):</w:t>
      </w:r>
      <w:r>
        <w:rPr>
          <w:rFonts w:ascii="Calibri" w:hAnsi="Calibri"/>
          <w:color w:val="2D3748"/>
          <w:sz w:val="19"/>
        </w:rPr>
        <w:t xml:space="preserve"> Rotar los ejes en la interfaz web para visualizar las familias Minciencias como filas y los años de obtención como columnas.</w:t>
      </w:r>
    </w:p>
    <w:p>
      <w:pPr>
        <w:pStyle w:val="Heading2"/>
        <w:spacing w:before="280" w:after="80"/>
      </w:pPr>
      <w:r>
        <w:rPr>
          <w:rFonts w:ascii="Arial" w:hAnsi="Arial"/>
          <w:b/>
          <w:color w:val="2B6CB0"/>
          <w:sz w:val="27"/>
        </w:rPr>
        <w:t>5. Variables de entrada y salida</w:t>
      </w:r>
    </w:p>
    <w:p>
      <w:pPr>
        <w:pStyle w:val="Heading3"/>
        <w:spacing w:before="200" w:after="60"/>
      </w:pPr>
      <w:r>
        <w:rPr>
          <w:rFonts w:ascii="Arial" w:hAnsi="Arial"/>
          <w:b/>
          <w:color w:val="0D9488"/>
          <w:sz w:val="23"/>
        </w:rPr>
        <w:t>5.1 Variables de entrada</w:t>
      </w:r>
    </w:p>
    <w:p>
      <w:pPr>
        <w:spacing w:before="40" w:after="80" w:line="276" w:lineRule="auto"/>
      </w:pPr>
      <w:r>
        <w:rPr>
          <w:rFonts w:ascii="Calibri" w:hAnsi="Calibri"/>
          <w:color w:val="1E293B"/>
          <w:sz w:val="20"/>
        </w:rPr>
        <w:t>Las variables que alimentan el sistema provienen de interacciones de usuario en la interfaz web, comandos en la CLI y respuestas HTTP de servicios externos:</w:t>
      </w:r>
    </w:p>
    <w:tbl>
      <w:tblPr>
        <w:tblW w:type="auto" w:w="0"/>
        <w:jc w:val="center"/>
        <w:tblLook w:firstColumn="1" w:firstRow="1" w:lastColumn="0" w:lastRow="0" w:noHBand="0" w:noVBand="1" w:val="04A0"/>
        <w:tblBorders>
          <w:top w:val="single" w:sz="6" w:space="0" w:color="CBD5E1"/>
          <w:left w:val="none"/>
          <w:bottom w:val="single" w:sz="12" w:space="0" w:color="1A365D"/>
          <w:right w:val="none"/>
          <w:insideH w:val="single" w:sz="4" w:space="0" w:color="CBD5E1"/>
          <w:insideV w:val="none"/>
        </w:tblBorders>
      </w:tblPr>
      <w:tblGrid>
        <w:gridCol w:w="1872"/>
        <w:gridCol w:w="1872"/>
        <w:gridCol w:w="1872"/>
        <w:gridCol w:w="1872"/>
        <w:gridCol w:w="1872"/>
      </w:tblGrid>
      <w:tr>
        <w:trPr>
          <w:tblHeader/>
          <w:cantSplit/>
        </w:trPr>
        <w:tc>
          <w:tcPr>
            <w:tcW w:type="dxa" w:w="158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Módulo</w:t>
            </w:r>
          </w:p>
        </w:tc>
        <w:tc>
          <w:tcPr>
            <w:tcW w:type="dxa" w:w="1656"/>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Variable</w:t>
            </w:r>
          </w:p>
        </w:tc>
        <w:tc>
          <w:tcPr>
            <w:tcW w:type="dxa" w:w="122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Tipo</w:t>
            </w:r>
          </w:p>
        </w:tc>
        <w:tc>
          <w:tcPr>
            <w:tcW w:type="dxa" w:w="2448"/>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Restricción / Formato</w:t>
            </w:r>
          </w:p>
        </w:tc>
        <w:tc>
          <w:tcPr>
            <w:tcW w:type="dxa" w:w="2448"/>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Propósito</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Grupos</w:t>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name</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Requerido, 3-255 caracteres</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Nombre oficial del grupo</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external_code</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Único, alfanumérico (ej. </w:t>
            </w:r>
            <w:r>
              <w:rPr>
                <w:rFonts w:ascii="Consolas" w:hAnsi="Consolas"/>
                <w:color w:val="0369A1"/>
                <w:sz w:val="16"/>
              </w:rPr>
              <w:t>COL0027788</w:t>
            </w:r>
            <w:r>
              <w:rPr>
                <w:rFonts w:ascii="Calibri" w:hAnsi="Calibri"/>
                <w:color w:val="334155"/>
                <w:sz w:val="17"/>
              </w:rPr>
              <w:t>)</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Código de identificación institucional o Scienti</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acronym</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Opcional, hasta 50 caracteres</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Sigla identificadora</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classification</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A1</w:t>
            </w:r>
            <w:r>
              <w:rPr>
                <w:rFonts w:ascii="Calibri" w:hAnsi="Calibri"/>
                <w:color w:val="334155"/>
                <w:sz w:val="17"/>
              </w:rPr>
              <w:t xml:space="preserve">, </w:t>
            </w:r>
            <w:r>
              <w:rPr>
                <w:rFonts w:ascii="Consolas" w:hAnsi="Consolas"/>
                <w:color w:val="0369A1"/>
                <w:sz w:val="16"/>
              </w:rPr>
              <w:t>A</w:t>
            </w:r>
            <w:r>
              <w:rPr>
                <w:rFonts w:ascii="Calibri" w:hAnsi="Calibri"/>
                <w:color w:val="334155"/>
                <w:sz w:val="17"/>
              </w:rPr>
              <w:t xml:space="preserve">, </w:t>
            </w:r>
            <w:r>
              <w:rPr>
                <w:rFonts w:ascii="Consolas" w:hAnsi="Consolas"/>
                <w:color w:val="0369A1"/>
                <w:sz w:val="16"/>
              </w:rPr>
              <w:t>B</w:t>
            </w:r>
            <w:r>
              <w:rPr>
                <w:rFonts w:ascii="Calibri" w:hAnsi="Calibri"/>
                <w:color w:val="334155"/>
                <w:sz w:val="17"/>
              </w:rPr>
              <w:t xml:space="preserve">, </w:t>
            </w:r>
            <w:r>
              <w:rPr>
                <w:rFonts w:ascii="Consolas" w:hAnsi="Consolas"/>
                <w:color w:val="0369A1"/>
                <w:sz w:val="16"/>
              </w:rPr>
              <w:t>C</w:t>
            </w:r>
            <w:r>
              <w:rPr>
                <w:rFonts w:ascii="Calibri" w:hAnsi="Calibri"/>
                <w:color w:val="334155"/>
                <w:sz w:val="17"/>
              </w:rPr>
              <w:t xml:space="preserve">, </w:t>
            </w:r>
            <w:r>
              <w:rPr>
                <w:rFonts w:ascii="Consolas" w:hAnsi="Consolas"/>
                <w:color w:val="0369A1"/>
                <w:sz w:val="16"/>
              </w:rPr>
              <w:t>Reconocido</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Categoría oficial Minciencias</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Investigadores</w:t>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first_names</w:t>
            </w:r>
            <w:r>
              <w:rPr>
                <w:rFonts w:ascii="Calibri" w:hAnsi="Calibri"/>
                <w:color w:val="334155"/>
                <w:sz w:val="17"/>
              </w:rPr>
              <w:t xml:space="preserve">, </w:t>
            </w:r>
            <w:r>
              <w:rPr>
                <w:rFonts w:ascii="Consolas" w:hAnsi="Consolas"/>
                <w:color w:val="0369A1"/>
                <w:sz w:val="16"/>
              </w:rPr>
              <w:t>last_names</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Requeridos</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Nombres y apellidos</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identification_number</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Alfanumérico</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Documento de identidad</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institutional_email</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Formato email </w:t>
            </w:r>
            <w:r>
              <w:rPr>
                <w:rFonts w:ascii="Consolas" w:hAnsi="Consolas"/>
                <w:color w:val="0369A1"/>
                <w:sz w:val="16"/>
              </w:rPr>
              <w:t>@unicesar.edu.co</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Contacto institucional</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orcid</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0000-0000-0000-0000</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Identificador internacional de autor</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Membresías</w:t>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role</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Líder, Investigador, Estudiante</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Rol desempeñado en el grupo</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start_date</w:t>
            </w:r>
            <w:r>
              <w:rPr>
                <w:rFonts w:ascii="Calibri" w:hAnsi="Calibri"/>
                <w:color w:val="334155"/>
                <w:sz w:val="17"/>
              </w:rPr>
              <w:t xml:space="preserve">, </w:t>
            </w:r>
            <w:r>
              <w:rPr>
                <w:rFonts w:ascii="Consolas" w:hAnsi="Consolas"/>
                <w:color w:val="0369A1"/>
                <w:sz w:val="16"/>
              </w:rPr>
              <w:t>end_date</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YYYY</w:t>
            </w:r>
            <w:r>
              <w:rPr>
                <w:rFonts w:ascii="Calibri" w:hAnsi="Calibri"/>
                <w:color w:val="334155"/>
                <w:sz w:val="17"/>
              </w:rPr>
              <w:t xml:space="preserve">, </w:t>
            </w:r>
            <w:r>
              <w:rPr>
                <w:rFonts w:ascii="Consolas" w:hAnsi="Consolas"/>
                <w:color w:val="0369A1"/>
                <w:sz w:val="16"/>
              </w:rPr>
              <w:t>YYYY-MM</w:t>
            </w:r>
            <w:r>
              <w:rPr>
                <w:rFonts w:ascii="Calibri" w:hAnsi="Calibri"/>
                <w:color w:val="334155"/>
                <w:sz w:val="17"/>
              </w:rPr>
              <w:t xml:space="preserve"> o </w:t>
            </w:r>
            <w:r>
              <w:rPr>
                <w:rFonts w:ascii="Consolas" w:hAnsi="Consolas"/>
                <w:color w:val="0369A1"/>
                <w:sz w:val="16"/>
              </w:rPr>
              <w:t>YYYY-MM-DD</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Periodo de vinculación (sujeto a RV-001/002)</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Productos</w:t>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title</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Requerido, hasta 1000 caracteres</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Título de la obra o producto</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family_id</w:t>
            </w:r>
            <w:r>
              <w:rPr>
                <w:rFonts w:ascii="Calibri" w:hAnsi="Calibri"/>
                <w:color w:val="334155"/>
                <w:sz w:val="17"/>
              </w:rPr>
              <w:t xml:space="preserve">, </w:t>
            </w:r>
            <w:r>
              <w:rPr>
                <w:rFonts w:ascii="Consolas" w:hAnsi="Consolas"/>
                <w:color w:val="0369A1"/>
                <w:sz w:val="16"/>
              </w:rPr>
              <w:t>subtype_id</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Entero</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Llaves foráneas válidas del catálogo</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Clasificación tipológica Minciencias</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year</w:t>
            </w:r>
            <w:r>
              <w:rPr>
                <w:rFonts w:ascii="Calibri" w:hAnsi="Calibri"/>
                <w:color w:val="334155"/>
                <w:sz w:val="17"/>
              </w:rPr>
              <w:t xml:space="preserve"> / </w:t>
            </w:r>
            <w:r>
              <w:rPr>
                <w:rFonts w:ascii="Consolas" w:hAnsi="Consolas"/>
                <w:color w:val="0369A1"/>
                <w:sz w:val="16"/>
              </w:rPr>
              <w:t>obtained_date</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Entero / 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1900 ≤ año ≤ 2100</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Año o fecha de obtención</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doi</w:t>
            </w:r>
            <w:r>
              <w:rPr>
                <w:rFonts w:ascii="Calibri" w:hAnsi="Calibri"/>
                <w:color w:val="334155"/>
                <w:sz w:val="17"/>
              </w:rPr>
              <w:t xml:space="preserve">, </w:t>
            </w:r>
            <w:r>
              <w:rPr>
                <w:rFonts w:ascii="Consolas" w:hAnsi="Consolas"/>
                <w:color w:val="0369A1"/>
                <w:sz w:val="16"/>
              </w:rPr>
              <w:t>isbn</w:t>
            </w:r>
            <w:r>
              <w:rPr>
                <w:rFonts w:ascii="Calibri" w:hAnsi="Calibri"/>
                <w:color w:val="334155"/>
                <w:sz w:val="17"/>
              </w:rPr>
              <w:t xml:space="preserve">, </w:t>
            </w:r>
            <w:r>
              <w:rPr>
                <w:rFonts w:ascii="Consolas" w:hAnsi="Consolas"/>
                <w:color w:val="0369A1"/>
                <w:sz w:val="16"/>
              </w:rPr>
              <w:t>issn</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Formatos estándar internacionales</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Identificadores de publicación</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Validación</w:t>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status</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valid</w:t>
            </w:r>
            <w:r>
              <w:rPr>
                <w:rFonts w:ascii="Calibri" w:hAnsi="Calibri"/>
                <w:color w:val="334155"/>
                <w:sz w:val="17"/>
              </w:rPr>
              <w:t xml:space="preserve">, </w:t>
            </w:r>
            <w:r>
              <w:rPr>
                <w:rFonts w:ascii="Consolas" w:hAnsi="Consolas"/>
                <w:color w:val="0369A1"/>
                <w:sz w:val="16"/>
              </w:rPr>
              <w:t>rejected</w:t>
            </w:r>
            <w:r>
              <w:rPr>
                <w:rFonts w:ascii="Calibri" w:hAnsi="Calibri"/>
                <w:color w:val="334155"/>
                <w:sz w:val="17"/>
              </w:rPr>
              <w:t xml:space="preserve">, </w:t>
            </w:r>
            <w:r>
              <w:rPr>
                <w:rFonts w:ascii="Consolas" w:hAnsi="Consolas"/>
                <w:color w:val="0369A1"/>
                <w:sz w:val="16"/>
              </w:rPr>
              <w:t>pending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Dictamen del evaluador técnico</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reason</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Requerido si el estado es </w:t>
            </w:r>
            <w:r>
              <w:rPr>
                <w:rFonts w:ascii="Consolas" w:hAnsi="Consolas"/>
                <w:color w:val="0369A1"/>
                <w:sz w:val="16"/>
              </w:rPr>
              <w:t>rejected</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Justificación técnica del rechazo</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Ventana</w:t>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start_year</w:t>
            </w:r>
            <w:r>
              <w:rPr>
                <w:rFonts w:ascii="Calibri" w:hAnsi="Calibri"/>
                <w:color w:val="334155"/>
                <w:sz w:val="17"/>
              </w:rPr>
              <w:t xml:space="preserve">, </w:t>
            </w:r>
            <w:r>
              <w:rPr>
                <w:rFonts w:ascii="Consolas" w:hAnsi="Consolas"/>
                <w:color w:val="0369A1"/>
                <w:sz w:val="16"/>
              </w:rPr>
              <w:t>end_year</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Entero</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start ≤ end</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Rango de observación estadística</w:t>
            </w:r>
          </w:p>
        </w:tc>
      </w:tr>
    </w:tbl>
    <w:p>
      <w:pPr>
        <w:spacing w:before="0" w:after="120"/>
      </w:pPr>
    </w:p>
    <w:p>
      <w:pPr>
        <w:pStyle w:val="Heading3"/>
        <w:spacing w:before="200" w:after="60"/>
      </w:pPr>
      <w:r>
        <w:rPr>
          <w:rFonts w:ascii="Arial" w:hAnsi="Arial"/>
          <w:b/>
          <w:color w:val="0D9488"/>
          <w:sz w:val="23"/>
        </w:rPr>
        <w:t>5.2 Variables de salida</w:t>
      </w:r>
    </w:p>
    <w:p>
      <w:pPr>
        <w:spacing w:before="40" w:after="80" w:line="276" w:lineRule="auto"/>
      </w:pPr>
      <w:r>
        <w:rPr>
          <w:rFonts w:ascii="Calibri" w:hAnsi="Calibri"/>
          <w:color w:val="1E293B"/>
          <w:sz w:val="20"/>
        </w:rPr>
        <w:t>El sistema produce salidas estructuradas en múltiples formatos:</w:t>
      </w:r>
    </w:p>
    <w:p>
      <w:pPr>
        <w:pStyle w:val="ListNumber"/>
        <w:spacing w:before="20" w:after="40"/>
      </w:pPr>
      <w:r>
        <w:rPr>
          <w:rFonts w:ascii="Calibri" w:hAnsi="Calibri"/>
          <w:b/>
          <w:color w:val="2D3748"/>
          <w:sz w:val="19"/>
        </w:rPr>
        <w:t>JSON REST (API):</w:t>
      </w:r>
      <w:r>
        <w:rPr>
          <w:rFonts w:ascii="Calibri" w:hAnsi="Calibri"/>
          <w:color w:val="2D3748"/>
          <w:sz w:val="19"/>
        </w:rPr>
        <w:t xml:space="preserve"> Colecciones normalizadas de entidades con metadatos de paginación (</w:t>
      </w:r>
      <w:r>
        <w:rPr>
          <w:rFonts w:ascii="Consolas" w:hAnsi="Consolas"/>
          <w:color w:val="0369A1"/>
          <w:sz w:val="17"/>
        </w:rPr>
        <w:t>total</w:t>
      </w:r>
      <w:r>
        <w:rPr>
          <w:rFonts w:ascii="Calibri" w:hAnsi="Calibri"/>
          <w:color w:val="2D3748"/>
          <w:sz w:val="19"/>
        </w:rPr>
        <w:t xml:space="preserve">, </w:t>
      </w:r>
      <w:r>
        <w:rPr>
          <w:rFonts w:ascii="Consolas" w:hAnsi="Consolas"/>
          <w:color w:val="0369A1"/>
          <w:sz w:val="17"/>
        </w:rPr>
        <w:t>page</w:t>
      </w:r>
      <w:r>
        <w:rPr>
          <w:rFonts w:ascii="Calibri" w:hAnsi="Calibri"/>
          <w:color w:val="2D3748"/>
          <w:sz w:val="19"/>
        </w:rPr>
        <w:t xml:space="preserve">, </w:t>
      </w:r>
      <w:r>
        <w:rPr>
          <w:rFonts w:ascii="Consolas" w:hAnsi="Consolas"/>
          <w:color w:val="0369A1"/>
          <w:sz w:val="17"/>
        </w:rPr>
        <w:t>page_size</w:t>
      </w:r>
      <w:r>
        <w:rPr>
          <w:rFonts w:ascii="Calibri" w:hAnsi="Calibri"/>
          <w:color w:val="2D3748"/>
          <w:sz w:val="19"/>
        </w:rPr>
        <w:t xml:space="preserve">, </w:t>
      </w:r>
      <w:r>
        <w:rPr>
          <w:rFonts w:ascii="Consolas" w:hAnsi="Consolas"/>
          <w:color w:val="0369A1"/>
          <w:sz w:val="17"/>
        </w:rPr>
        <w:t>items</w:t>
      </w:r>
      <w:r>
        <w:rPr>
          <w:rFonts w:ascii="Calibri" w:hAnsi="Calibri"/>
          <w:color w:val="2D3748"/>
          <w:sz w:val="19"/>
        </w:rPr>
        <w:t>).</w:t>
      </w:r>
    </w:p>
    <w:p>
      <w:pPr>
        <w:pStyle w:val="ListNumber"/>
        <w:spacing w:before="20" w:after="40"/>
      </w:pPr>
      <w:r>
        <w:rPr>
          <w:rFonts w:ascii="Calibri" w:hAnsi="Calibri"/>
          <w:b/>
          <w:color w:val="2D3748"/>
          <w:sz w:val="19"/>
        </w:rPr>
        <w:t>Tablas ASCII en Consola (CLI):</w:t>
      </w:r>
      <w:r>
        <w:rPr>
          <w:rFonts w:ascii="Calibri" w:hAnsi="Calibri"/>
          <w:color w:val="2D3748"/>
          <w:sz w:val="19"/>
        </w:rPr>
        <w:t xml:space="preserve"> Salida por terminal con alineación tabular, recuentos de nodos e indicadores de memoria para auditoría inmediata.</w:t>
      </w:r>
    </w:p>
    <w:p>
      <w:pPr>
        <w:pStyle w:val="ListNumber"/>
        <w:spacing w:before="20" w:after="40"/>
      </w:pPr>
      <w:r>
        <w:rPr>
          <w:rFonts w:ascii="Calibri" w:hAnsi="Calibri"/>
          <w:b/>
          <w:color w:val="2D3748"/>
          <w:sz w:val="19"/>
        </w:rPr>
        <w:t>Resúmenes Estadísticos (Dashboard):</w:t>
      </w:r>
      <w:r>
        <w:rPr>
          <w:rFonts w:ascii="Calibri" w:hAnsi="Calibri"/>
          <w:color w:val="2D3748"/>
          <w:sz w:val="19"/>
        </w:rPr>
        <w:t xml:space="preserve"> Objetos de agregación con totales de productos por año, distribución de estados de validación y porcentajes de cumplimiento tipológico.</w:t>
      </w:r>
    </w:p>
    <w:p>
      <w:pPr>
        <w:pStyle w:val="ListNumber"/>
        <w:spacing w:before="20" w:after="40"/>
      </w:pPr>
      <w:r>
        <w:rPr>
          <w:rFonts w:ascii="Calibri" w:hAnsi="Calibri"/>
          <w:b/>
          <w:color w:val="2D3748"/>
          <w:sz w:val="19"/>
        </w:rPr>
        <w:t>Informes PDF Institucionales:</w:t>
      </w:r>
      <w:r>
        <w:rPr>
          <w:rFonts w:ascii="Calibri" w:hAnsi="Calibri"/>
          <w:color w:val="2D3748"/>
          <w:sz w:val="19"/>
        </w:rPr>
        <w:t xml:space="preserve"> Documentos descargables maquetados con membrete oficial de la UPC, que incluyen datos del grupo, líneas declaradas, integrantes vigentes e históricos, y catálogo de productos filtrados por ventana de observación.</w:t>
      </w:r>
    </w:p>
    <w:p>
      <w:pPr>
        <w:pStyle w:val="ListNumber"/>
        <w:spacing w:before="20" w:after="40"/>
      </w:pPr>
      <w:r>
        <w:rPr>
          <w:rFonts w:ascii="Calibri" w:hAnsi="Calibri"/>
          <w:b/>
          <w:color w:val="2D3748"/>
          <w:sz w:val="19"/>
        </w:rPr>
        <w:t>Archivo Serializado `pea_data.json`:</w:t>
      </w:r>
      <w:r>
        <w:rPr>
          <w:rFonts w:ascii="Calibri" w:hAnsi="Calibri"/>
          <w:color w:val="2D3748"/>
          <w:sz w:val="19"/>
        </w:rPr>
        <w:t xml:space="preserve"> Estructura completa del sistema exportable para backup o evaluación académica.</w:t>
      </w:r>
    </w:p>
    <w:p>
      <w:pPr>
        <w:pStyle w:val="Heading2"/>
        <w:spacing w:before="280" w:after="80"/>
      </w:pPr>
      <w:r>
        <w:rPr>
          <w:rFonts w:ascii="Arial" w:hAnsi="Arial"/>
          <w:b/>
          <w:color w:val="2B6CB0"/>
          <w:sz w:val="27"/>
        </w:rPr>
        <w:t>6. CRUD y persistencia por estructura</w:t>
      </w:r>
    </w:p>
    <w:p>
      <w:pPr>
        <w:spacing w:before="40" w:after="80" w:line="276" w:lineRule="auto"/>
      </w:pPr>
      <w:r>
        <w:rPr>
          <w:rFonts w:ascii="Calibri" w:hAnsi="Calibri"/>
          <w:color w:val="1E293B"/>
          <w:sz w:val="20"/>
        </w:rPr>
        <w:t>El núcleo C++ modela las operaciones de creación, lectura, actualización y eliminación de forma individual sobre cada estructura enlazada en RAM:</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[Entrada HTTP / CLI]</w:t>
              <w:br/>
              <w:t xml:space="preserve">        |</w:t>
              <w:br/>
              <w:t xml:space="preserve">        v</w:t>
              <w:br/>
              <w:t>+-------------------------------------------------------------------------+</w:t>
              <w:br/>
              <w:t>|                              MEMORIA RAM (C++)                          |</w:t>
              <w:br/>
              <w:t>|                                                                         |</w:t>
              <w:br/>
              <w:t>|  [Lista Grupos] &lt;===========&gt; [Multilista Membresías] &lt;====&gt; [Investig.] |</w:t>
              <w:br/>
              <w:t>|        |                               |                         |      |</w:t>
              <w:br/>
              <w:t>|        v                               v                         v      |</w:t>
              <w:br/>
              <w:t>|  [Planes Trabajo]             [ProductAuthorNode]           [Proyectos] |</w:t>
              <w:br/>
              <w:t>|        |                               |                                |</w:t>
              <w:br/>
              <w:t>|        +-------------------&gt; [Multilista Productos]                     |</w:t>
              <w:br/>
              <w:t>|                                        |                                |</w:t>
              <w:br/>
              <w:t>|                  +---------------------+--------------------+           |</w:t>
              <w:br/>
              <w:t>|                  |                                          |           |</w:t>
              <w:br/>
              <w:t>|                  v                                          v           |</w:t>
              <w:br/>
              <w:t>|         [Cola FIFO Validación]                     [Pila LIFO Deshacer] |</w:t>
              <w:br/>
              <w:t>+-------------------------------------------------------------------------+</w:t>
              <w:br/>
              <w:t xml:space="preserve">        |                                             ^</w:t>
              <w:br/>
              <w:t xml:space="preserve">        | Write-Through sincrónico                    | Reversión</w:t>
              <w:br/>
              <w:t xml:space="preserve">        v                                             |</w:t>
              <w:br/>
              <w:t>+-------------------------------------------------------------------------+</w:t>
              <w:br/>
              <w:t>|                            PERSISTENCIA FÍSICA                          |</w:t>
              <w:br/>
              <w:t>|                                                                         |</w:t>
              <w:br/>
              <w:t>|       SQL Server (22 tablas)           pea_data.json (12 colecciones)   |</w:t>
              <w:br/>
              <w:t>+-------------------------------------------------------------------------+</w:t>
            </w:r>
          </w:p>
        </w:tc>
      </w:tr>
    </w:tbl>
    <w:p>
      <w:pPr>
        <w:spacing w:before="0" w:after="120"/>
      </w:pPr>
    </w:p>
    <w:p>
      <w:pPr>
        <w:pStyle w:val="Heading3"/>
        <w:spacing w:before="200" w:after="60"/>
      </w:pPr>
      <w:r>
        <w:rPr>
          <w:rFonts w:ascii="Arial" w:hAnsi="Arial"/>
          <w:b/>
          <w:color w:val="0D9488"/>
          <w:sz w:val="23"/>
        </w:rPr>
        <w:t>6.1 Lista simple de Grupos (`GroupNode`)</w:t>
      </w:r>
    </w:p>
    <w:p>
      <w:pPr>
        <w:pStyle w:val="ListBullet"/>
        <w:spacing w:before="20" w:after="40"/>
        <w:ind w:left="360"/>
      </w:pPr>
      <w:r>
        <w:rPr>
          <w:rFonts w:ascii="Calibri" w:hAnsi="Calibri"/>
          <w:b/>
          <w:color w:val="2D3748"/>
          <w:sz w:val="19"/>
        </w:rPr>
        <w:t>Inserción:</w:t>
      </w:r>
      <w:r>
        <w:rPr>
          <w:rFonts w:ascii="Calibri" w:hAnsi="Calibri"/>
          <w:color w:val="2D3748"/>
          <w:sz w:val="19"/>
        </w:rPr>
        <w:t xml:space="preserve"> Creación de nodo dinámico en memoria libre (</w:t>
      </w:r>
      <w:r>
        <w:rPr>
          <w:rFonts w:ascii="Consolas" w:hAnsi="Consolas"/>
          <w:color w:val="0369A1"/>
          <w:sz w:val="17"/>
        </w:rPr>
        <w:t>new GroupNode</w:t>
      </w:r>
      <w:r>
        <w:rPr>
          <w:rFonts w:ascii="Calibri" w:hAnsi="Calibri"/>
          <w:color w:val="2D3748"/>
          <w:sz w:val="19"/>
        </w:rPr>
        <w:t xml:space="preserve">). Inserción al final de la lista con tiempo constante amortizado o lineal si se busca unicidad de </w:t>
      </w:r>
      <w:r>
        <w:rPr>
          <w:rFonts w:ascii="Consolas" w:hAnsi="Consolas"/>
          <w:color w:val="0369A1"/>
          <w:sz w:val="17"/>
        </w:rPr>
        <w:t>external_code</w:t>
      </w:r>
      <w:r>
        <w:rPr>
          <w:rFonts w:ascii="Calibri" w:hAnsi="Calibri"/>
          <w:color w:val="2D3748"/>
          <w:sz w:val="19"/>
        </w:rPr>
        <w:t>.</w:t>
      </w:r>
    </w:p>
    <w:p>
      <w:pPr>
        <w:pStyle w:val="ListBullet"/>
        <w:spacing w:before="20" w:after="40"/>
        <w:ind w:left="360"/>
      </w:pPr>
      <w:r>
        <w:rPr>
          <w:rFonts w:ascii="Calibri" w:hAnsi="Calibri"/>
          <w:b/>
          <w:color w:val="2D3748"/>
          <w:sz w:val="19"/>
        </w:rPr>
        <w:t>Búsqueda / Lectura:</w:t>
      </w:r>
      <w:r>
        <w:rPr>
          <w:rFonts w:ascii="Calibri" w:hAnsi="Calibri"/>
          <w:color w:val="2D3748"/>
          <w:sz w:val="19"/>
        </w:rPr>
        <w:t xml:space="preserve"> Recorrido lineal puntero a puntero (</w:t>
      </w:r>
      <w:r>
        <w:rPr>
          <w:rFonts w:ascii="Consolas" w:hAnsi="Consolas"/>
          <w:color w:val="0369A1"/>
          <w:sz w:val="17"/>
        </w:rPr>
        <w:t>nextGroup</w:t>
      </w:r>
      <w:r>
        <w:rPr>
          <w:rFonts w:ascii="Calibri" w:hAnsi="Calibri"/>
          <w:color w:val="2D3748"/>
          <w:sz w:val="19"/>
        </w:rPr>
        <w:t>) por identificador numérico o por código externo.</w:t>
      </w:r>
    </w:p>
    <w:p>
      <w:pPr>
        <w:pStyle w:val="ListBullet"/>
        <w:spacing w:before="20" w:after="40"/>
        <w:ind w:left="360"/>
      </w:pPr>
      <w:r>
        <w:rPr>
          <w:rFonts w:ascii="Calibri" w:hAnsi="Calibri"/>
          <w:b/>
          <w:color w:val="2D3748"/>
          <w:sz w:val="19"/>
        </w:rPr>
        <w:t>Modificación:</w:t>
      </w:r>
      <w:r>
        <w:rPr>
          <w:rFonts w:ascii="Calibri" w:hAnsi="Calibri"/>
          <w:color w:val="2D3748"/>
          <w:sz w:val="19"/>
        </w:rPr>
        <w:t xml:space="preserve"> Actualización en el lugar de atributos escalares sin modificar punteros de enlace.</w:t>
      </w:r>
    </w:p>
    <w:p>
      <w:pPr>
        <w:pStyle w:val="ListBullet"/>
        <w:spacing w:before="20" w:after="40"/>
        <w:ind w:left="360"/>
      </w:pPr>
      <w:r>
        <w:rPr>
          <w:rFonts w:ascii="Calibri" w:hAnsi="Calibri"/>
          <w:b/>
          <w:color w:val="2D3748"/>
          <w:sz w:val="19"/>
        </w:rPr>
        <w:t>Eliminación y Cascada:</w:t>
      </w:r>
      <w:r>
        <w:rPr>
          <w:rFonts w:ascii="Calibri" w:hAnsi="Calibri"/>
          <w:color w:val="2D3748"/>
          <w:sz w:val="19"/>
        </w:rPr>
        <w:t xml:space="preserve"> Desconexión del nodo en la lista principal y liberación recursiva de todas las cadenas dependientes (desenlace de membresías, desenlace de productos, eliminación de planes de trabajo y enlaces a proyectos).</w:t>
      </w:r>
    </w:p>
    <w:p>
      <w:pPr>
        <w:pStyle w:val="ListBullet"/>
        <w:spacing w:before="20" w:after="40"/>
        <w:ind w:left="360"/>
      </w:pPr>
      <w:r>
        <w:rPr>
          <w:rFonts w:ascii="Calibri" w:hAnsi="Calibri"/>
          <w:b/>
          <w:color w:val="2D3748"/>
          <w:sz w:val="19"/>
        </w:rPr>
        <w:t>Persistencia:</w:t>
      </w:r>
      <w:r>
        <w:rPr>
          <w:rFonts w:ascii="Calibri" w:hAnsi="Calibri"/>
          <w:color w:val="2D3748"/>
          <w:sz w:val="19"/>
        </w:rPr>
        <w:t xml:space="preserve"> Write-through inmediato mediante </w:t>
      </w:r>
      <w:r>
        <w:rPr>
          <w:rFonts w:ascii="Consolas" w:hAnsi="Consolas"/>
          <w:color w:val="0369A1"/>
          <w:sz w:val="17"/>
        </w:rPr>
        <w:t>MERGE</w:t>
      </w:r>
      <w:r>
        <w:rPr>
          <w:rFonts w:ascii="Calibri" w:hAnsi="Calibri"/>
          <w:color w:val="2D3748"/>
          <w:sz w:val="19"/>
        </w:rPr>
        <w:t xml:space="preserve"> en la tabla </w:t>
      </w:r>
      <w:r>
        <w:rPr>
          <w:rFonts w:ascii="Consolas" w:hAnsi="Consolas"/>
          <w:color w:val="0369A1"/>
          <w:sz w:val="17"/>
        </w:rPr>
        <w:t>ResearchGroup</w:t>
      </w:r>
      <w:r>
        <w:rPr>
          <w:rFonts w:ascii="Calibri" w:hAnsi="Calibri"/>
          <w:color w:val="2D3748"/>
          <w:sz w:val="19"/>
        </w:rPr>
        <w:t>.</w:t>
      </w:r>
    </w:p>
    <w:p>
      <w:pPr>
        <w:pStyle w:val="Heading3"/>
        <w:spacing w:before="200" w:after="60"/>
      </w:pPr>
      <w:r>
        <w:rPr>
          <w:rFonts w:ascii="Arial" w:hAnsi="Arial"/>
          <w:b/>
          <w:color w:val="0D9488"/>
          <w:sz w:val="23"/>
        </w:rPr>
        <w:t>6.2 Lista simple de Investigadores (`ResearcherNode`)</w:t>
      </w:r>
    </w:p>
    <w:p>
      <w:pPr>
        <w:pStyle w:val="ListBullet"/>
        <w:spacing w:before="20" w:after="40"/>
        <w:ind w:left="360"/>
      </w:pPr>
      <w:r>
        <w:rPr>
          <w:rFonts w:ascii="Calibri" w:hAnsi="Calibri"/>
          <w:b/>
          <w:color w:val="2D3748"/>
          <w:sz w:val="19"/>
        </w:rPr>
        <w:t>Inserción y Mantenimiento:</w:t>
      </w:r>
      <w:r>
        <w:rPr>
          <w:rFonts w:ascii="Calibri" w:hAnsi="Calibri"/>
          <w:color w:val="2D3748"/>
          <w:sz w:val="19"/>
        </w:rPr>
        <w:t xml:space="preserve"> Inserción enlazada conservando </w:t>
      </w:r>
      <w:r>
        <w:rPr>
          <w:rFonts w:ascii="Consolas" w:hAnsi="Consolas"/>
          <w:color w:val="0369A1"/>
          <w:sz w:val="17"/>
        </w:rPr>
        <w:t>id</w:t>
      </w:r>
      <w:r>
        <w:rPr>
          <w:rFonts w:ascii="Calibri" w:hAnsi="Calibri"/>
          <w:color w:val="2D3748"/>
          <w:sz w:val="19"/>
        </w:rPr>
        <w:t xml:space="preserve"> y </w:t>
      </w:r>
      <w:r>
        <w:rPr>
          <w:rFonts w:ascii="Consolas" w:hAnsi="Consolas"/>
          <w:color w:val="0369A1"/>
          <w:sz w:val="17"/>
        </w:rPr>
        <w:t>external_code</w:t>
      </w:r>
      <w:r>
        <w:rPr>
          <w:rFonts w:ascii="Calibri" w:hAnsi="Calibri"/>
          <w:color w:val="2D3748"/>
          <w:sz w:val="19"/>
        </w:rPr>
        <w:t>.</w:t>
      </w:r>
    </w:p>
    <w:p>
      <w:pPr>
        <w:pStyle w:val="ListBullet"/>
        <w:spacing w:before="20" w:after="40"/>
        <w:ind w:left="360"/>
      </w:pPr>
      <w:r>
        <w:rPr>
          <w:rFonts w:ascii="Calibri" w:hAnsi="Calibri"/>
          <w:b/>
          <w:color w:val="2D3748"/>
          <w:sz w:val="19"/>
        </w:rPr>
        <w:t>Eliminación y Cascada:</w:t>
      </w:r>
      <w:r>
        <w:rPr>
          <w:rFonts w:ascii="Calibri" w:hAnsi="Calibri"/>
          <w:color w:val="2D3748"/>
          <w:sz w:val="19"/>
        </w:rPr>
        <w:t xml:space="preserve"> Al eliminar un investigador se purgan sus referencias en la multilista de membresías y en la multilista de autores de productos.</w:t>
      </w:r>
    </w:p>
    <w:p>
      <w:pPr>
        <w:pStyle w:val="ListBullet"/>
        <w:spacing w:before="20" w:after="40"/>
        <w:ind w:left="360"/>
      </w:pPr>
      <w:r>
        <w:rPr>
          <w:rFonts w:ascii="Calibri" w:hAnsi="Calibri"/>
          <w:b/>
          <w:color w:val="2D3748"/>
          <w:sz w:val="19"/>
        </w:rPr>
        <w:t>Persistencia:</w:t>
      </w:r>
      <w:r>
        <w:rPr>
          <w:rFonts w:ascii="Calibri" w:hAnsi="Calibri"/>
          <w:color w:val="2D3748"/>
          <w:sz w:val="19"/>
        </w:rPr>
        <w:t xml:space="preserve"> Replicación sincrónica vía </w:t>
      </w:r>
      <w:r>
        <w:rPr>
          <w:rFonts w:ascii="Consolas" w:hAnsi="Consolas"/>
          <w:color w:val="0369A1"/>
          <w:sz w:val="17"/>
        </w:rPr>
        <w:t>MERGE</w:t>
      </w:r>
      <w:r>
        <w:rPr>
          <w:rFonts w:ascii="Calibri" w:hAnsi="Calibri"/>
          <w:color w:val="2D3748"/>
          <w:sz w:val="19"/>
        </w:rPr>
        <w:t xml:space="preserve"> en la tabla </w:t>
      </w:r>
      <w:r>
        <w:rPr>
          <w:rFonts w:ascii="Consolas" w:hAnsi="Consolas"/>
          <w:color w:val="0369A1"/>
          <w:sz w:val="17"/>
        </w:rPr>
        <w:t>Researcher</w:t>
      </w:r>
      <w:r>
        <w:rPr>
          <w:rFonts w:ascii="Calibri" w:hAnsi="Calibri"/>
          <w:color w:val="2D3748"/>
          <w:sz w:val="19"/>
        </w:rPr>
        <w:t>.</w:t>
      </w:r>
    </w:p>
    <w:p>
      <w:pPr>
        <w:pStyle w:val="Heading3"/>
        <w:spacing w:before="200" w:after="60"/>
      </w:pPr>
      <w:r>
        <w:rPr>
          <w:rFonts w:ascii="Arial" w:hAnsi="Arial"/>
          <w:b/>
          <w:color w:val="0D9488"/>
          <w:sz w:val="23"/>
        </w:rPr>
        <w:t>6.3 Multilista de Membresías (`MembershipNode`)</w:t>
      </w:r>
    </w:p>
    <w:p>
      <w:pPr>
        <w:pStyle w:val="ListBullet"/>
        <w:spacing w:before="20" w:after="40"/>
        <w:ind w:left="360"/>
      </w:pPr>
      <w:r>
        <w:rPr>
          <w:rFonts w:ascii="Calibri" w:hAnsi="Calibri"/>
          <w:b/>
          <w:color w:val="2D3748"/>
          <w:sz w:val="19"/>
        </w:rPr>
        <w:t>Estructura ortogonal:</w:t>
      </w:r>
      <w:r>
        <w:rPr>
          <w:rFonts w:ascii="Calibri" w:hAnsi="Calibri"/>
          <w:color w:val="2D3748"/>
          <w:sz w:val="19"/>
        </w:rPr>
        <w:t xml:space="preserve"> Cada nodo contiene doble puntero: </w:t>
      </w:r>
      <w:r>
        <w:rPr>
          <w:rFonts w:ascii="Consolas" w:hAnsi="Consolas"/>
          <w:color w:val="0369A1"/>
          <w:sz w:val="17"/>
        </w:rPr>
        <w:t>nextInGroup</w:t>
      </w:r>
      <w:r>
        <w:rPr>
          <w:rFonts w:ascii="Calibri" w:hAnsi="Calibri"/>
          <w:color w:val="2D3748"/>
          <w:sz w:val="19"/>
        </w:rPr>
        <w:t xml:space="preserve"> (recorrido de los integrantes de un grupo determinado) y </w:t>
      </w:r>
      <w:r>
        <w:rPr>
          <w:rFonts w:ascii="Consolas" w:hAnsi="Consolas"/>
          <w:color w:val="0369A1"/>
          <w:sz w:val="17"/>
        </w:rPr>
        <w:t>nextForResearcher</w:t>
      </w:r>
      <w:r>
        <w:rPr>
          <w:rFonts w:ascii="Calibri" w:hAnsi="Calibri"/>
          <w:color w:val="2D3748"/>
          <w:sz w:val="19"/>
        </w:rPr>
        <w:t xml:space="preserve"> (recorrido de los grupos a los que pertenece un investigador).</w:t>
      </w:r>
    </w:p>
    <w:p>
      <w:pPr>
        <w:pStyle w:val="ListBullet"/>
        <w:spacing w:before="20" w:after="40"/>
        <w:ind w:left="360"/>
      </w:pPr>
      <w:r>
        <w:rPr>
          <w:rFonts w:ascii="Calibri" w:hAnsi="Calibri"/>
          <w:b/>
          <w:color w:val="2D3748"/>
          <w:sz w:val="19"/>
        </w:rPr>
        <w:t>CRUD:</w:t>
      </w:r>
    </w:p>
    <w:p>
      <w:pPr>
        <w:pStyle w:val="ListBullet"/>
        <w:spacing w:before="20" w:after="40"/>
        <w:ind w:left="720"/>
      </w:pPr>
      <w:r>
        <w:rPr>
          <w:rFonts w:ascii="Consolas" w:hAnsi="Consolas"/>
          <w:color w:val="0369A1"/>
          <w:sz w:val="17"/>
        </w:rPr>
        <w:t>add_member_to_group</w:t>
      </w:r>
      <w:r>
        <w:rPr>
          <w:rFonts w:ascii="Calibri" w:hAnsi="Calibri"/>
          <w:color w:val="2D3748"/>
          <w:sz w:val="19"/>
        </w:rPr>
        <w:t xml:space="preserve">: Valida RV-001 y RV-002, enlaza en ambas cadenas e inserta en la tabla relacional </w:t>
      </w:r>
      <w:r>
        <w:rPr>
          <w:rFonts w:ascii="Consolas" w:hAnsi="Consolas"/>
          <w:color w:val="0369A1"/>
          <w:sz w:val="17"/>
        </w:rPr>
        <w:t>GroupMembership</w:t>
      </w:r>
      <w:r>
        <w:rPr>
          <w:rFonts w:ascii="Calibri" w:hAnsi="Calibri"/>
          <w:color w:val="2D3748"/>
          <w:sz w:val="19"/>
        </w:rPr>
        <w:t>.</w:t>
      </w:r>
    </w:p>
    <w:p>
      <w:pPr>
        <w:pStyle w:val="ListBullet"/>
        <w:spacing w:before="20" w:after="40"/>
        <w:ind w:left="720"/>
      </w:pPr>
      <w:r>
        <w:rPr>
          <w:rFonts w:ascii="Consolas" w:hAnsi="Consolas"/>
          <w:color w:val="0369A1"/>
          <w:sz w:val="17"/>
        </w:rPr>
        <w:t>update_membership</w:t>
      </w:r>
      <w:r>
        <w:rPr>
          <w:rFonts w:ascii="Calibri" w:hAnsi="Calibri"/>
          <w:color w:val="2D3748"/>
          <w:sz w:val="19"/>
        </w:rPr>
        <w:t>: Permite actualizar rol o fechas sin romper la continuidad del enlace.</w:t>
      </w:r>
    </w:p>
    <w:p>
      <w:pPr>
        <w:pStyle w:val="ListBullet"/>
        <w:spacing w:before="20" w:after="40"/>
        <w:ind w:left="720"/>
      </w:pPr>
      <w:r>
        <w:rPr>
          <w:rFonts w:ascii="Consolas" w:hAnsi="Consolas"/>
          <w:color w:val="0369A1"/>
          <w:sz w:val="17"/>
        </w:rPr>
        <w:t>remove_member_from_group</w:t>
      </w:r>
      <w:r>
        <w:rPr>
          <w:rFonts w:ascii="Calibri" w:hAnsi="Calibri"/>
          <w:color w:val="2D3748"/>
          <w:sz w:val="19"/>
        </w:rPr>
        <w:t>: Desenlaza el nodo de ambas listas y ejecuta la eliminación en BD.</w:t>
      </w:r>
    </w:p>
    <w:p>
      <w:pPr>
        <w:pStyle w:val="Heading3"/>
        <w:spacing w:before="200" w:after="60"/>
      </w:pPr>
      <w:r>
        <w:rPr>
          <w:rFonts w:ascii="Arial" w:hAnsi="Arial"/>
          <w:b/>
          <w:color w:val="0D9488"/>
          <w:sz w:val="23"/>
        </w:rPr>
        <w:t>6.4 Multilista de Productos y Enlaces (`GroupProductNode`)</w:t>
      </w:r>
    </w:p>
    <w:p>
      <w:pPr>
        <w:pStyle w:val="ListBullet"/>
        <w:spacing w:before="20" w:after="40"/>
        <w:ind w:left="360"/>
      </w:pPr>
      <w:r>
        <w:rPr>
          <w:rFonts w:ascii="Calibri" w:hAnsi="Calibri"/>
          <w:b/>
          <w:color w:val="2D3748"/>
          <w:sz w:val="19"/>
        </w:rPr>
        <w:t>Estructura cruzada:</w:t>
      </w:r>
      <w:r>
        <w:rPr>
          <w:rFonts w:ascii="Calibri" w:hAnsi="Calibri"/>
          <w:color w:val="2D3748"/>
          <w:sz w:val="19"/>
        </w:rPr>
        <w:t xml:space="preserve"> Conecta grupos con productos mediante punteros </w:t>
      </w:r>
      <w:r>
        <w:rPr>
          <w:rFonts w:ascii="Consolas" w:hAnsi="Consolas"/>
          <w:color w:val="0369A1"/>
          <w:sz w:val="17"/>
        </w:rPr>
        <w:t>nextInGroup</w:t>
      </w:r>
      <w:r>
        <w:rPr>
          <w:rFonts w:ascii="Calibri" w:hAnsi="Calibri"/>
          <w:color w:val="2D3748"/>
          <w:sz w:val="19"/>
        </w:rPr>
        <w:t xml:space="preserve"> y </w:t>
      </w:r>
      <w:r>
        <w:rPr>
          <w:rFonts w:ascii="Consolas" w:hAnsi="Consolas"/>
          <w:color w:val="0369A1"/>
          <w:sz w:val="17"/>
        </w:rPr>
        <w:t>nextForProduct</w:t>
      </w:r>
      <w:r>
        <w:rPr>
          <w:rFonts w:ascii="Calibri" w:hAnsi="Calibri"/>
          <w:color w:val="2D3748"/>
          <w:sz w:val="19"/>
        </w:rPr>
        <w:t>. Permite que un producto pertenezca a múltiples grupos si fue desarrollado en coautoría interinstitucional.</w:t>
      </w:r>
    </w:p>
    <w:p>
      <w:pPr>
        <w:pStyle w:val="Heading3"/>
        <w:spacing w:before="200" w:after="60"/>
      </w:pPr>
      <w:r>
        <w:rPr>
          <w:rFonts w:ascii="Arial" w:hAnsi="Arial"/>
          <w:b/>
          <w:color w:val="0D9488"/>
          <w:sz w:val="23"/>
        </w:rPr>
        <w:t>6.5 Multilista de Autores de Producto (`ProductAuthorNode`)</w:t>
      </w:r>
    </w:p>
    <w:p>
      <w:pPr>
        <w:pStyle w:val="ListBullet"/>
        <w:spacing w:before="20" w:after="40"/>
        <w:ind w:left="360"/>
      </w:pPr>
      <w:r>
        <w:rPr>
          <w:rFonts w:ascii="Calibri" w:hAnsi="Calibri"/>
          <w:b/>
          <w:color w:val="2D3748"/>
          <w:sz w:val="19"/>
        </w:rPr>
        <w:t>Estructura bidireccional:</w:t>
      </w:r>
      <w:r>
        <w:rPr>
          <w:rFonts w:ascii="Calibri" w:hAnsi="Calibri"/>
          <w:color w:val="2D3748"/>
          <w:sz w:val="19"/>
        </w:rPr>
        <w:t xml:space="preserve"> Conecta cada producto con sus autores investigadores internos (</w:t>
      </w:r>
      <w:r>
        <w:rPr>
          <w:rFonts w:ascii="Consolas" w:hAnsi="Consolas"/>
          <w:color w:val="0369A1"/>
          <w:sz w:val="17"/>
        </w:rPr>
        <w:t>nextForResearcher</w:t>
      </w:r>
      <w:r>
        <w:rPr>
          <w:rFonts w:ascii="Calibri" w:hAnsi="Calibri"/>
          <w:color w:val="2D3748"/>
          <w:sz w:val="19"/>
        </w:rPr>
        <w:t>) y registra autores externos con su nombre e identificador, preservando el orden de autoría (</w:t>
      </w:r>
      <w:r>
        <w:rPr>
          <w:rFonts w:ascii="Consolas" w:hAnsi="Consolas"/>
          <w:color w:val="0369A1"/>
          <w:sz w:val="17"/>
        </w:rPr>
        <w:t>authorOrder</w:t>
      </w:r>
      <w:r>
        <w:rPr>
          <w:rFonts w:ascii="Calibri" w:hAnsi="Calibri"/>
          <w:color w:val="2D3748"/>
          <w:sz w:val="19"/>
        </w:rPr>
        <w:t>).</w:t>
      </w:r>
    </w:p>
    <w:p>
      <w:pPr>
        <w:pStyle w:val="Heading3"/>
        <w:spacing w:before="200" w:after="60"/>
      </w:pPr>
      <w:r>
        <w:rPr>
          <w:rFonts w:ascii="Arial" w:hAnsi="Arial"/>
          <w:b/>
          <w:color w:val="0D9488"/>
          <w:sz w:val="23"/>
        </w:rPr>
        <w:t>6.6 Multilistas de Planes y Proyectos (`PlanNode` y `GroupProjectNode`)</w:t>
      </w:r>
    </w:p>
    <w:p>
      <w:pPr>
        <w:pStyle w:val="ListBullet"/>
        <w:spacing w:before="20" w:after="40"/>
        <w:ind w:left="360"/>
      </w:pPr>
      <w:r>
        <w:rPr>
          <w:rFonts w:ascii="Calibri" w:hAnsi="Calibri"/>
          <w:b/>
          <w:color w:val="2D3748"/>
          <w:sz w:val="19"/>
        </w:rPr>
        <w:t>Planes de Trabajo:</w:t>
      </w:r>
      <w:r>
        <w:rPr>
          <w:rFonts w:ascii="Calibri" w:hAnsi="Calibri"/>
          <w:color w:val="2D3748"/>
          <w:sz w:val="19"/>
        </w:rPr>
        <w:t xml:space="preserve"> Cadena simple anclada al nodo de grupo (</w:t>
      </w:r>
      <w:r>
        <w:rPr>
          <w:rFonts w:ascii="Consolas" w:hAnsi="Consolas"/>
          <w:color w:val="0369A1"/>
          <w:sz w:val="17"/>
        </w:rPr>
        <w:t>firstPlan → nextPlan</w:t>
      </w:r>
      <w:r>
        <w:rPr>
          <w:rFonts w:ascii="Calibri" w:hAnsi="Calibri"/>
          <w:color w:val="2D3748"/>
          <w:sz w:val="19"/>
        </w:rPr>
        <w:t>).</w:t>
      </w:r>
    </w:p>
    <w:p>
      <w:pPr>
        <w:pStyle w:val="ListBullet"/>
        <w:spacing w:before="20" w:after="40"/>
        <w:ind w:left="360"/>
      </w:pPr>
      <w:r>
        <w:rPr>
          <w:rFonts w:ascii="Calibri" w:hAnsi="Calibri"/>
          <w:b/>
          <w:color w:val="2D3748"/>
          <w:sz w:val="19"/>
        </w:rPr>
        <w:t>Proyectos:</w:t>
      </w:r>
      <w:r>
        <w:rPr>
          <w:rFonts w:ascii="Calibri" w:hAnsi="Calibri"/>
          <w:color w:val="2D3748"/>
          <w:sz w:val="19"/>
        </w:rPr>
        <w:t xml:space="preserve"> Lista global de proyectos independientes (</w:t>
      </w:r>
      <w:r>
        <w:rPr>
          <w:rFonts w:ascii="Consolas" w:hAnsi="Consolas"/>
          <w:color w:val="0369A1"/>
          <w:sz w:val="17"/>
        </w:rPr>
        <w:t>ProjectNode</w:t>
      </w:r>
      <w:r>
        <w:rPr>
          <w:rFonts w:ascii="Calibri" w:hAnsi="Calibri"/>
          <w:color w:val="2D3748"/>
          <w:sz w:val="19"/>
        </w:rPr>
        <w:t xml:space="preserve">) interconectada con los grupos mediante nodos de enlace </w:t>
      </w:r>
      <w:r>
        <w:rPr>
          <w:rFonts w:ascii="Consolas" w:hAnsi="Consolas"/>
          <w:color w:val="0369A1"/>
          <w:sz w:val="17"/>
        </w:rPr>
        <w:t>GroupProjectNode</w:t>
      </w:r>
      <w:r>
        <w:rPr>
          <w:rFonts w:ascii="Calibri" w:hAnsi="Calibri"/>
          <w:color w:val="2D3748"/>
          <w:sz w:val="19"/>
        </w:rPr>
        <w:t>.</w:t>
      </w:r>
    </w:p>
    <w:p>
      <w:pPr>
        <w:pStyle w:val="Heading3"/>
        <w:spacing w:before="200" w:after="60"/>
      </w:pPr>
      <w:r>
        <w:rPr>
          <w:rFonts w:ascii="Arial" w:hAnsi="Arial"/>
          <w:b/>
          <w:color w:val="0D9488"/>
          <w:sz w:val="23"/>
        </w:rPr>
        <w:t>6.7 Pila LIFO de Deshacer (`UndoStack`)</w:t>
      </w:r>
    </w:p>
    <w:p>
      <w:pPr>
        <w:pStyle w:val="ListBullet"/>
        <w:spacing w:before="20" w:after="40"/>
        <w:ind w:left="360"/>
      </w:pPr>
      <w:r>
        <w:rPr>
          <w:rFonts w:ascii="Calibri" w:hAnsi="Calibri"/>
          <w:b/>
          <w:color w:val="2D3748"/>
          <w:sz w:val="19"/>
        </w:rPr>
        <w:t>Operaciones soportadas:</w:t>
      </w:r>
      <w:r>
        <w:rPr>
          <w:rFonts w:ascii="Calibri" w:hAnsi="Calibri"/>
          <w:color w:val="2D3748"/>
          <w:sz w:val="19"/>
        </w:rPr>
        <w:t xml:space="preserve"> </w:t>
      </w:r>
      <w:r>
        <w:rPr>
          <w:rFonts w:ascii="Consolas" w:hAnsi="Consolas"/>
          <w:color w:val="0369A1"/>
          <w:sz w:val="17"/>
        </w:rPr>
        <w:t>CREATE</w:t>
      </w:r>
      <w:r>
        <w:rPr>
          <w:rFonts w:ascii="Calibri" w:hAnsi="Calibri"/>
          <w:color w:val="2D3748"/>
          <w:sz w:val="19"/>
        </w:rPr>
        <w:t xml:space="preserve">, </w:t>
      </w:r>
      <w:r>
        <w:rPr>
          <w:rFonts w:ascii="Consolas" w:hAnsi="Consolas"/>
          <w:color w:val="0369A1"/>
          <w:sz w:val="17"/>
        </w:rPr>
        <w:t>UPDATE</w:t>
      </w:r>
      <w:r>
        <w:rPr>
          <w:rFonts w:ascii="Calibri" w:hAnsi="Calibri"/>
          <w:color w:val="2D3748"/>
          <w:sz w:val="19"/>
        </w:rPr>
        <w:t xml:space="preserve">, </w:t>
      </w:r>
      <w:r>
        <w:rPr>
          <w:rFonts w:ascii="Consolas" w:hAnsi="Consolas"/>
          <w:color w:val="0369A1"/>
          <w:sz w:val="17"/>
        </w:rPr>
        <w:t>DELETE</w:t>
      </w:r>
      <w:r>
        <w:rPr>
          <w:rFonts w:ascii="Calibri" w:hAnsi="Calibri"/>
          <w:color w:val="2D3748"/>
          <w:sz w:val="19"/>
        </w:rPr>
        <w:t xml:space="preserve">, </w:t>
      </w:r>
      <w:r>
        <w:rPr>
          <w:rFonts w:ascii="Consolas" w:hAnsi="Consolas"/>
          <w:color w:val="0369A1"/>
          <w:sz w:val="17"/>
        </w:rPr>
        <w:t>LINK_MEMBER</w:t>
      </w:r>
      <w:r>
        <w:rPr>
          <w:rFonts w:ascii="Calibri" w:hAnsi="Calibri"/>
          <w:color w:val="2D3748"/>
          <w:sz w:val="19"/>
        </w:rPr>
        <w:t xml:space="preserve">, </w:t>
      </w:r>
      <w:r>
        <w:rPr>
          <w:rFonts w:ascii="Consolas" w:hAnsi="Consolas"/>
          <w:color w:val="0369A1"/>
          <w:sz w:val="17"/>
        </w:rPr>
        <w:t>UNLINK_MEMBER</w:t>
      </w:r>
      <w:r>
        <w:rPr>
          <w:rFonts w:ascii="Calibri" w:hAnsi="Calibri"/>
          <w:color w:val="2D3748"/>
          <w:sz w:val="19"/>
        </w:rPr>
        <w:t xml:space="preserve">, </w:t>
      </w:r>
      <w:r>
        <w:rPr>
          <w:rFonts w:ascii="Consolas" w:hAnsi="Consolas"/>
          <w:color w:val="0369A1"/>
          <w:sz w:val="17"/>
        </w:rPr>
        <w:t>LINK_PRODUCT</w:t>
      </w:r>
      <w:r>
        <w:rPr>
          <w:rFonts w:ascii="Calibri" w:hAnsi="Calibri"/>
          <w:color w:val="2D3748"/>
          <w:sz w:val="19"/>
        </w:rPr>
        <w:t xml:space="preserve">, </w:t>
      </w:r>
      <w:r>
        <w:rPr>
          <w:rFonts w:ascii="Consolas" w:hAnsi="Consolas"/>
          <w:color w:val="0369A1"/>
          <w:sz w:val="17"/>
        </w:rPr>
        <w:t>UNLINK_PRODUCT</w:t>
      </w:r>
      <w:r>
        <w:rPr>
          <w:rFonts w:ascii="Calibri" w:hAnsi="Calibri"/>
          <w:color w:val="2D3748"/>
          <w:sz w:val="19"/>
        </w:rPr>
        <w:t xml:space="preserve">, </w:t>
      </w:r>
      <w:r>
        <w:rPr>
          <w:rFonts w:ascii="Consolas" w:hAnsi="Consolas"/>
          <w:color w:val="0369A1"/>
          <w:sz w:val="17"/>
        </w:rPr>
        <w:t>LINK_PROJECT</w:t>
      </w:r>
      <w:r>
        <w:rPr>
          <w:rFonts w:ascii="Calibri" w:hAnsi="Calibri"/>
          <w:color w:val="2D3748"/>
          <w:sz w:val="19"/>
        </w:rPr>
        <w:t xml:space="preserve">, </w:t>
      </w:r>
      <w:r>
        <w:rPr>
          <w:rFonts w:ascii="Consolas" w:hAnsi="Consolas"/>
          <w:color w:val="0369A1"/>
          <w:sz w:val="17"/>
        </w:rPr>
        <w:t>UNLINK_PROJECT</w:t>
      </w:r>
      <w:r>
        <w:rPr>
          <w:rFonts w:ascii="Calibri" w:hAnsi="Calibri"/>
          <w:color w:val="2D3748"/>
          <w:sz w:val="19"/>
        </w:rPr>
        <w:t xml:space="preserve">, </w:t>
      </w:r>
      <w:r>
        <w:rPr>
          <w:rFonts w:ascii="Consolas" w:hAnsi="Consolas"/>
          <w:color w:val="0369A1"/>
          <w:sz w:val="17"/>
        </w:rPr>
        <w:t>VALIDATE</w:t>
      </w:r>
      <w:r>
        <w:rPr>
          <w:rFonts w:ascii="Calibri" w:hAnsi="Calibri"/>
          <w:color w:val="2D3748"/>
          <w:sz w:val="19"/>
        </w:rPr>
        <w:t>.</w:t>
      </w:r>
    </w:p>
    <w:p>
      <w:pPr>
        <w:pStyle w:val="ListBullet"/>
        <w:spacing w:before="20" w:after="40"/>
        <w:ind w:left="360"/>
      </w:pPr>
      <w:r>
        <w:rPr>
          <w:rFonts w:ascii="Calibri" w:hAnsi="Calibri"/>
          <w:b/>
          <w:color w:val="2D3748"/>
          <w:sz w:val="19"/>
        </w:rPr>
        <w:t>Mecanismo:</w:t>
      </w:r>
      <w:r>
        <w:rPr>
          <w:rFonts w:ascii="Calibri" w:hAnsi="Calibri"/>
          <w:color w:val="2D3748"/>
          <w:sz w:val="19"/>
        </w:rPr>
        <w:t xml:space="preserve"> Cada modificación apila un registro con el estado previo (</w:t>
      </w:r>
      <w:r>
        <w:rPr>
          <w:rFonts w:ascii="Consolas" w:hAnsi="Consolas"/>
          <w:color w:val="0369A1"/>
          <w:sz w:val="17"/>
        </w:rPr>
        <w:t>previous_state</w:t>
      </w:r>
      <w:r>
        <w:rPr>
          <w:rFonts w:ascii="Calibri" w:hAnsi="Calibri"/>
          <w:color w:val="2D3748"/>
          <w:sz w:val="19"/>
        </w:rPr>
        <w:t xml:space="preserve"> serializado). Al ejecutar </w:t>
      </w:r>
      <w:r>
        <w:rPr>
          <w:rFonts w:ascii="Consolas" w:hAnsi="Consolas"/>
          <w:color w:val="0369A1"/>
          <w:sz w:val="17"/>
        </w:rPr>
        <w:t>undo_perform()</w:t>
      </w:r>
      <w:r>
        <w:rPr>
          <w:rFonts w:ascii="Calibri" w:hAnsi="Calibri"/>
          <w:color w:val="2D3748"/>
          <w:sz w:val="19"/>
        </w:rPr>
        <w:t>, se desapila la cima, se aplica la acción simétrica inversa en RAM y se sincroniza la base de datos física.</w:t>
      </w:r>
    </w:p>
    <w:p>
      <w:pPr>
        <w:pStyle w:val="Heading3"/>
        <w:spacing w:before="200" w:after="60"/>
      </w:pPr>
      <w:r>
        <w:rPr>
          <w:rFonts w:ascii="Arial" w:hAnsi="Arial"/>
          <w:b/>
          <w:color w:val="0D9488"/>
          <w:sz w:val="23"/>
        </w:rPr>
        <w:t>6.8 Cola FIFO de Validación (`ValidationQueue`)</w:t>
      </w:r>
    </w:p>
    <w:p>
      <w:pPr>
        <w:pStyle w:val="ListBullet"/>
        <w:spacing w:before="20" w:after="40"/>
        <w:ind w:left="360"/>
      </w:pPr>
      <w:r>
        <w:rPr>
          <w:rFonts w:ascii="Calibri" w:hAnsi="Calibri"/>
          <w:b/>
          <w:color w:val="2D3748"/>
          <w:sz w:val="19"/>
        </w:rPr>
        <w:t>Operaciones:</w:t>
      </w:r>
      <w:r>
        <w:rPr>
          <w:rFonts w:ascii="Calibri" w:hAnsi="Calibri"/>
          <w:color w:val="2D3748"/>
          <w:sz w:val="19"/>
        </w:rPr>
        <w:t xml:space="preserve"> Inserción al final (</w:t>
      </w:r>
      <w:r>
        <w:rPr>
          <w:rFonts w:ascii="Consolas" w:hAnsi="Consolas"/>
          <w:color w:val="0369A1"/>
          <w:sz w:val="17"/>
        </w:rPr>
        <w:t>vq_enqueue</w:t>
      </w:r>
      <w:r>
        <w:rPr>
          <w:rFonts w:ascii="Calibri" w:hAnsi="Calibri"/>
          <w:color w:val="2D3748"/>
          <w:sz w:val="19"/>
        </w:rPr>
        <w:t>), inspección del frente (</w:t>
      </w:r>
      <w:r>
        <w:rPr>
          <w:rFonts w:ascii="Consolas" w:hAnsi="Consolas"/>
          <w:color w:val="0369A1"/>
          <w:sz w:val="17"/>
        </w:rPr>
        <w:t>vq_front</w:t>
      </w:r>
      <w:r>
        <w:rPr>
          <w:rFonts w:ascii="Calibri" w:hAnsi="Calibri"/>
          <w:color w:val="2D3748"/>
          <w:sz w:val="19"/>
        </w:rPr>
        <w:t>) y procesamiento en cabeza (</w:t>
      </w:r>
      <w:r>
        <w:rPr>
          <w:rFonts w:ascii="Consolas" w:hAnsi="Consolas"/>
          <w:color w:val="0369A1"/>
          <w:sz w:val="17"/>
        </w:rPr>
        <w:t>vq_dequeue</w:t>
      </w:r>
      <w:r>
        <w:rPr>
          <w:rFonts w:ascii="Calibri" w:hAnsi="Calibri"/>
          <w:color w:val="2D3748"/>
          <w:sz w:val="19"/>
        </w:rPr>
        <w:t xml:space="preserve"> / </w:t>
      </w:r>
      <w:r>
        <w:rPr>
          <w:rFonts w:ascii="Consolas" w:hAnsi="Consolas"/>
          <w:color w:val="0369A1"/>
          <w:sz w:val="17"/>
        </w:rPr>
        <w:t>vq_process_next</w:t>
      </w:r>
      <w:r>
        <w:rPr>
          <w:rFonts w:ascii="Calibri" w:hAnsi="Calibri"/>
          <w:color w:val="2D3748"/>
          <w:sz w:val="19"/>
        </w:rPr>
        <w:t>), garantizando estricta equidad cronológica en la revisión de evidencias de investigación.</w:t>
      </w:r>
    </w:p>
    <w:p>
      <w:pPr>
        <w:pStyle w:val="Heading2"/>
        <w:spacing w:before="280" w:after="80"/>
      </w:pPr>
      <w:r>
        <w:rPr>
          <w:rFonts w:ascii="Arial" w:hAnsi="Arial"/>
          <w:b/>
          <w:color w:val="2B6CB0"/>
          <w:sz w:val="27"/>
        </w:rPr>
        <w:t>7. Dos soluciones ejecutables e integración</w:t>
      </w:r>
    </w:p>
    <w:p>
      <w:pPr>
        <w:spacing w:before="40" w:after="80" w:line="276" w:lineRule="auto"/>
      </w:pPr>
      <w:r>
        <w:rPr>
          <w:rFonts w:ascii="Calibri" w:hAnsi="Calibri"/>
          <w:color w:val="1E293B"/>
          <w:sz w:val="20"/>
        </w:rPr>
        <w:t xml:space="preserve">Conforme a la decisión de alcance </w:t>
      </w:r>
      <w:r>
        <w:rPr>
          <w:rFonts w:ascii="Calibri" w:hAnsi="Calibri"/>
          <w:b/>
          <w:color w:val="1E293B"/>
          <w:sz w:val="20"/>
        </w:rPr>
        <w:t>D-01</w:t>
      </w:r>
      <w:r>
        <w:rPr>
          <w:rFonts w:ascii="Calibri" w:hAnsi="Calibri"/>
          <w:color w:val="1E293B"/>
          <w:sz w:val="20"/>
        </w:rPr>
        <w:t>, el proyecto entrega las dos soluciones requeridas por el Parcial 2 en un esquema de arquitectura limpia e integrada:</w:t>
      </w:r>
    </w:p>
    <w:p>
      <w:pPr>
        <w:pStyle w:val="Heading3"/>
        <w:spacing w:before="200" w:after="60"/>
      </w:pPr>
      <w:r>
        <w:rPr>
          <w:rFonts w:ascii="Arial" w:hAnsi="Arial"/>
          <w:b/>
          <w:color w:val="0D9488"/>
          <w:sz w:val="23"/>
        </w:rPr>
        <w:t>7.1 Solución A: Núcleo y CLI en C++ (`core_cpp`)</w:t>
      </w:r>
    </w:p>
    <w:p>
      <w:pPr>
        <w:pStyle w:val="ListBullet"/>
        <w:spacing w:before="20" w:after="40"/>
        <w:ind w:left="360"/>
      </w:pPr>
      <w:r>
        <w:rPr>
          <w:rFonts w:ascii="Calibri" w:hAnsi="Calibri"/>
          <w:b/>
          <w:color w:val="2D3748"/>
          <w:sz w:val="19"/>
        </w:rPr>
        <w:t>Tecnología:</w:t>
      </w:r>
      <w:r>
        <w:rPr>
          <w:rFonts w:ascii="Calibri" w:hAnsi="Calibri"/>
          <w:color w:val="2D3748"/>
          <w:sz w:val="19"/>
        </w:rPr>
        <w:t xml:space="preserve"> C++20 estándar, compilado con MSVC / GCC / Clang bajo CMake.</w:t>
      </w:r>
    </w:p>
    <w:p>
      <w:pPr>
        <w:pStyle w:val="ListBullet"/>
        <w:spacing w:before="20" w:after="40"/>
        <w:ind w:left="360"/>
      </w:pPr>
      <w:r>
        <w:rPr>
          <w:rFonts w:ascii="Calibri" w:hAnsi="Calibri"/>
          <w:b/>
          <w:color w:val="2D3748"/>
          <w:sz w:val="19"/>
        </w:rPr>
        <w:t>Componentes:</w:t>
      </w:r>
    </w:p>
    <w:p>
      <w:pPr>
        <w:pStyle w:val="ListBullet"/>
        <w:spacing w:before="20" w:after="40"/>
        <w:ind w:left="720"/>
      </w:pPr>
      <w:r>
        <w:rPr>
          <w:rFonts w:ascii="Calibri" w:hAnsi="Calibri"/>
          <w:color w:val="2D3748"/>
          <w:sz w:val="19"/>
        </w:rPr>
        <w:t xml:space="preserve">Librería estática </w:t>
      </w:r>
      <w:r>
        <w:rPr>
          <w:rFonts w:ascii="Consolas" w:hAnsi="Consolas"/>
          <w:color w:val="0369A1"/>
          <w:sz w:val="17"/>
        </w:rPr>
        <w:t>abpoxx.lib</w:t>
      </w:r>
      <w:r>
        <w:rPr>
          <w:rFonts w:ascii="Calibri" w:hAnsi="Calibri"/>
          <w:color w:val="2D3748"/>
          <w:sz w:val="19"/>
        </w:rPr>
        <w:t>: Implementa todas las estructuras de datos manuales (</w:t>
      </w:r>
      <w:r>
        <w:rPr>
          <w:rFonts w:ascii="Consolas" w:hAnsi="Consolas"/>
          <w:color w:val="0369A1"/>
          <w:sz w:val="17"/>
        </w:rPr>
        <w:t>struct GroupNode</w:t>
      </w:r>
      <w:r>
        <w:rPr>
          <w:rFonts w:ascii="Calibri" w:hAnsi="Calibri"/>
          <w:color w:val="2D3748"/>
          <w:sz w:val="19"/>
        </w:rPr>
        <w:t xml:space="preserve">, </w:t>
      </w:r>
      <w:r>
        <w:rPr>
          <w:rFonts w:ascii="Consolas" w:hAnsi="Consolas"/>
          <w:color w:val="0369A1"/>
          <w:sz w:val="17"/>
        </w:rPr>
        <w:t>struct MembershipNode</w:t>
      </w:r>
      <w:r>
        <w:rPr>
          <w:rFonts w:ascii="Calibri" w:hAnsi="Calibri"/>
          <w:color w:val="2D3748"/>
          <w:sz w:val="19"/>
        </w:rPr>
        <w:t>, etc.), servicios y persistencia ODBC.</w:t>
      </w:r>
    </w:p>
    <w:p>
      <w:pPr>
        <w:pStyle w:val="ListBullet"/>
        <w:spacing w:before="20" w:after="40"/>
        <w:ind w:left="720"/>
      </w:pPr>
      <w:r>
        <w:rPr>
          <w:rFonts w:ascii="Calibri" w:hAnsi="Calibri"/>
          <w:color w:val="2D3748"/>
          <w:sz w:val="19"/>
        </w:rPr>
        <w:t xml:space="preserve">Ejecutable CLI </w:t>
      </w:r>
      <w:r>
        <w:rPr>
          <w:rFonts w:ascii="Consolas" w:hAnsi="Consolas"/>
          <w:color w:val="0369A1"/>
          <w:sz w:val="17"/>
        </w:rPr>
        <w:t>pea_cli.exe</w:t>
      </w:r>
      <w:r>
        <w:rPr>
          <w:rFonts w:ascii="Calibri" w:hAnsi="Calibri"/>
          <w:color w:val="2D3748"/>
          <w:sz w:val="19"/>
        </w:rPr>
        <w:t>: Herramienta de línea de comandos para administración completa sin dependencias externas.</w:t>
      </w:r>
    </w:p>
    <w:p>
      <w:pPr>
        <w:pStyle w:val="ListBullet"/>
        <w:spacing w:before="20" w:after="40"/>
        <w:ind w:left="720"/>
      </w:pPr>
      <w:r>
        <w:rPr>
          <w:rFonts w:ascii="Calibri" w:hAnsi="Calibri"/>
          <w:color w:val="2D3748"/>
          <w:sz w:val="19"/>
        </w:rPr>
        <w:t xml:space="preserve">Suite de pruebas nativas </w:t>
      </w:r>
      <w:r>
        <w:rPr>
          <w:rFonts w:ascii="Consolas" w:hAnsi="Consolas"/>
          <w:color w:val="0369A1"/>
          <w:sz w:val="17"/>
        </w:rPr>
        <w:t>pea_tests.exe</w:t>
      </w:r>
      <w:r>
        <w:rPr>
          <w:rFonts w:ascii="Calibri" w:hAnsi="Calibri"/>
          <w:color w:val="2D3748"/>
          <w:sz w:val="19"/>
        </w:rPr>
        <w:t>: 159 aserciones automáticas que validan cada puntero y operación de memoria.</w:t>
      </w:r>
    </w:p>
    <w:p>
      <w:pPr>
        <w:pStyle w:val="ListBullet"/>
        <w:spacing w:before="20" w:after="40"/>
        <w:ind w:left="360"/>
      </w:pPr>
      <w:r>
        <w:rPr>
          <w:rFonts w:ascii="Calibri" w:hAnsi="Calibri"/>
          <w:b/>
          <w:color w:val="2D3748"/>
          <w:sz w:val="19"/>
        </w:rPr>
        <w:t>Comandos CLI soportados:</w:t>
      </w:r>
    </w:p>
    <w:p>
      <w:pPr>
        <w:pStyle w:val="ListBullet"/>
        <w:spacing w:before="20" w:after="40"/>
        <w:ind w:left="720"/>
      </w:pPr>
      <w:r>
        <w:rPr>
          <w:rFonts w:ascii="Consolas" w:hAnsi="Consolas"/>
          <w:color w:val="0369A1"/>
          <w:sz w:val="17"/>
        </w:rPr>
        <w:t>groups [list|show|add|update|delete]</w:t>
      </w:r>
    </w:p>
    <w:p>
      <w:pPr>
        <w:pStyle w:val="ListBullet"/>
        <w:spacing w:before="20" w:after="40"/>
        <w:ind w:left="720"/>
      </w:pPr>
      <w:r>
        <w:rPr>
          <w:rFonts w:ascii="Consolas" w:hAnsi="Consolas"/>
          <w:color w:val="0369A1"/>
          <w:sz w:val="17"/>
        </w:rPr>
        <w:t>researchers [list|show|add|update|delete]</w:t>
      </w:r>
    </w:p>
    <w:p>
      <w:pPr>
        <w:pStyle w:val="ListBullet"/>
        <w:spacing w:before="20" w:after="40"/>
        <w:ind w:left="720"/>
      </w:pPr>
      <w:r>
        <w:rPr>
          <w:rFonts w:ascii="Consolas" w:hAnsi="Consolas"/>
          <w:color w:val="0369A1"/>
          <w:sz w:val="17"/>
        </w:rPr>
        <w:t>members [add|list|remove]</w:t>
      </w:r>
    </w:p>
    <w:p>
      <w:pPr>
        <w:pStyle w:val="ListBullet"/>
        <w:spacing w:before="20" w:after="40"/>
        <w:ind w:left="720"/>
      </w:pPr>
      <w:r>
        <w:rPr>
          <w:rFonts w:ascii="Consolas" w:hAnsi="Consolas"/>
          <w:color w:val="0369A1"/>
          <w:sz w:val="17"/>
        </w:rPr>
        <w:t>products [all|add|update|delete|list|link|unlink|by-year]</w:t>
      </w:r>
    </w:p>
    <w:p>
      <w:pPr>
        <w:pStyle w:val="ListBullet"/>
        <w:spacing w:before="20" w:after="40"/>
        <w:ind w:left="720"/>
      </w:pPr>
      <w:r>
        <w:rPr>
          <w:rFonts w:ascii="Consolas" w:hAnsi="Consolas"/>
          <w:color w:val="0369A1"/>
          <w:sz w:val="17"/>
        </w:rPr>
        <w:t>plans [list|add|update|delete]</w:t>
      </w:r>
    </w:p>
    <w:p>
      <w:pPr>
        <w:pStyle w:val="ListBullet"/>
        <w:spacing w:before="20" w:after="40"/>
        <w:ind w:left="720"/>
      </w:pPr>
      <w:r>
        <w:rPr>
          <w:rFonts w:ascii="Consolas" w:hAnsi="Consolas"/>
          <w:color w:val="0369A1"/>
          <w:sz w:val="17"/>
        </w:rPr>
        <w:t>projects [all|add|update|delete]</w:t>
      </w:r>
    </w:p>
    <w:p>
      <w:pPr>
        <w:pStyle w:val="ListBullet"/>
        <w:spacing w:before="20" w:after="40"/>
        <w:ind w:left="720"/>
      </w:pPr>
      <w:r>
        <w:rPr>
          <w:rFonts w:ascii="Consolas" w:hAnsi="Consolas"/>
          <w:color w:val="0369A1"/>
          <w:sz w:val="17"/>
        </w:rPr>
        <w:t>queue [list|enqueue|process]</w:t>
      </w:r>
    </w:p>
    <w:p>
      <w:pPr>
        <w:pStyle w:val="ListBullet"/>
        <w:spacing w:before="20" w:after="40"/>
        <w:ind w:left="720"/>
      </w:pPr>
      <w:r>
        <w:rPr>
          <w:rFonts w:ascii="Consolas" w:hAnsi="Consolas"/>
          <w:color w:val="0369A1"/>
          <w:sz w:val="17"/>
        </w:rPr>
        <w:t>history [list|top|undo|clear]</w:t>
      </w:r>
    </w:p>
    <w:p>
      <w:pPr>
        <w:pStyle w:val="ListBullet"/>
        <w:spacing w:before="20" w:after="40"/>
        <w:ind w:left="720"/>
      </w:pPr>
      <w:r>
        <w:rPr>
          <w:rFonts w:ascii="Consolas" w:hAnsi="Consolas"/>
          <w:color w:val="0369A1"/>
          <w:sz w:val="17"/>
        </w:rPr>
        <w:t>structures [groups|researchers|products|multilist|authors]</w:t>
      </w:r>
    </w:p>
    <w:p>
      <w:pPr>
        <w:pStyle w:val="ListBullet"/>
        <w:spacing w:before="20" w:after="40"/>
        <w:ind w:left="720"/>
      </w:pPr>
      <w:r>
        <w:rPr>
          <w:rFonts w:ascii="Consolas" w:hAnsi="Consolas"/>
          <w:color w:val="0369A1"/>
          <w:sz w:val="17"/>
        </w:rPr>
        <w:t>summary</w:t>
      </w:r>
    </w:p>
    <w:p>
      <w:pPr>
        <w:pStyle w:val="ListBullet"/>
        <w:spacing w:before="20" w:after="40"/>
        <w:ind w:left="720"/>
      </w:pPr>
      <w:r>
        <w:rPr>
          <w:rFonts w:ascii="Consolas" w:hAnsi="Consolas"/>
          <w:color w:val="0369A1"/>
          <w:sz w:val="17"/>
        </w:rPr>
        <w:t>load &lt;path&gt;</w:t>
      </w:r>
      <w:r>
        <w:rPr>
          <w:rFonts w:ascii="Calibri" w:hAnsi="Calibri"/>
          <w:color w:val="2D3748"/>
          <w:sz w:val="19"/>
        </w:rPr>
        <w:t xml:space="preserve"> / </w:t>
      </w:r>
      <w:r>
        <w:rPr>
          <w:rFonts w:ascii="Consolas" w:hAnsi="Consolas"/>
          <w:color w:val="0369A1"/>
          <w:sz w:val="17"/>
        </w:rPr>
        <w:t>export &lt;path&gt;</w:t>
      </w:r>
    </w:p>
    <w:p>
      <w:pPr>
        <w:pStyle w:val="Heading3"/>
        <w:spacing w:before="200" w:after="60"/>
      </w:pPr>
      <w:r>
        <w:rPr>
          <w:rFonts w:ascii="Arial" w:hAnsi="Arial"/>
          <w:b/>
          <w:color w:val="0D9488"/>
          <w:sz w:val="23"/>
        </w:rPr>
        <w:t>7.2 Solución B: Backend y Servicios en Python (`backend`)</w:t>
      </w:r>
    </w:p>
    <w:p>
      <w:pPr>
        <w:pStyle w:val="ListBullet"/>
        <w:spacing w:before="20" w:after="40"/>
        <w:ind w:left="360"/>
      </w:pPr>
      <w:r>
        <w:rPr>
          <w:rFonts w:ascii="Calibri" w:hAnsi="Calibri"/>
          <w:b/>
          <w:color w:val="2D3748"/>
          <w:sz w:val="19"/>
        </w:rPr>
        <w:t>Tecnología:</w:t>
      </w:r>
      <w:r>
        <w:rPr>
          <w:rFonts w:ascii="Calibri" w:hAnsi="Calibri"/>
          <w:color w:val="2D3748"/>
          <w:sz w:val="19"/>
        </w:rPr>
        <w:t xml:space="preserve"> Python 3.12, framework FastAPI, Uvicorn, Pydantic v2.</w:t>
      </w:r>
    </w:p>
    <w:p>
      <w:pPr>
        <w:pStyle w:val="ListBullet"/>
        <w:spacing w:before="20" w:after="40"/>
        <w:ind w:left="360"/>
      </w:pPr>
      <w:r>
        <w:rPr>
          <w:rFonts w:ascii="Calibri" w:hAnsi="Calibri"/>
          <w:b/>
          <w:color w:val="2D3748"/>
          <w:sz w:val="19"/>
        </w:rPr>
        <w:t>Componentes:</w:t>
      </w:r>
    </w:p>
    <w:p>
      <w:pPr>
        <w:pStyle w:val="ListBullet"/>
        <w:spacing w:before="20" w:after="40"/>
        <w:ind w:left="720"/>
      </w:pPr>
      <w:r>
        <w:rPr>
          <w:rFonts w:ascii="Calibri" w:hAnsi="Calibri"/>
          <w:color w:val="2D3748"/>
          <w:sz w:val="19"/>
        </w:rPr>
        <w:t xml:space="preserve">Módulo </w:t>
      </w:r>
      <w:r>
        <w:rPr>
          <w:rFonts w:ascii="Consolas" w:hAnsi="Consolas"/>
          <w:color w:val="0369A1"/>
          <w:sz w:val="17"/>
        </w:rPr>
        <w:t>app/repository.py</w:t>
      </w:r>
      <w:r>
        <w:rPr>
          <w:rFonts w:ascii="Calibri" w:hAnsi="Calibri"/>
          <w:color w:val="2D3748"/>
          <w:sz w:val="19"/>
        </w:rPr>
        <w:t>: Orquestador de la solución. No implementa estructuras en memoria duplicadas; interactúa directamente con el núcleo C++ a través de los bindings compilados.</w:t>
      </w:r>
    </w:p>
    <w:p>
      <w:pPr>
        <w:pStyle w:val="ListBullet"/>
        <w:spacing w:before="20" w:after="40"/>
        <w:ind w:left="720"/>
      </w:pPr>
      <w:r>
        <w:rPr>
          <w:rFonts w:ascii="Calibri" w:hAnsi="Calibri"/>
          <w:color w:val="2D3748"/>
          <w:sz w:val="19"/>
        </w:rPr>
        <w:t xml:space="preserve">Módulo </w:t>
      </w:r>
      <w:r>
        <w:rPr>
          <w:rFonts w:ascii="Consolas" w:hAnsi="Consolas"/>
          <w:color w:val="0369A1"/>
          <w:sz w:val="17"/>
        </w:rPr>
        <w:t>app/api/v1.py</w:t>
      </w:r>
      <w:r>
        <w:rPr>
          <w:rFonts w:ascii="Calibri" w:hAnsi="Calibri"/>
          <w:color w:val="2D3748"/>
          <w:sz w:val="19"/>
        </w:rPr>
        <w:t>: Expone 86 rutas REST organizadas en routers por recurso (</w:t>
      </w:r>
      <w:r>
        <w:rPr>
          <w:rFonts w:ascii="Consolas" w:hAnsi="Consolas"/>
          <w:color w:val="0369A1"/>
          <w:sz w:val="17"/>
        </w:rPr>
        <w:t>groups</w:t>
      </w:r>
      <w:r>
        <w:rPr>
          <w:rFonts w:ascii="Calibri" w:hAnsi="Calibri"/>
          <w:color w:val="2D3748"/>
          <w:sz w:val="19"/>
        </w:rPr>
        <w:t xml:space="preserve">, </w:t>
      </w:r>
      <w:r>
        <w:rPr>
          <w:rFonts w:ascii="Consolas" w:hAnsi="Consolas"/>
          <w:color w:val="0369A1"/>
          <w:sz w:val="17"/>
        </w:rPr>
        <w:t>researchers</w:t>
      </w:r>
      <w:r>
        <w:rPr>
          <w:rFonts w:ascii="Calibri" w:hAnsi="Calibri"/>
          <w:color w:val="2D3748"/>
          <w:sz w:val="19"/>
        </w:rPr>
        <w:t xml:space="preserve">, </w:t>
      </w:r>
      <w:r>
        <w:rPr>
          <w:rFonts w:ascii="Consolas" w:hAnsi="Consolas"/>
          <w:color w:val="0369A1"/>
          <w:sz w:val="17"/>
        </w:rPr>
        <w:t>products</w:t>
      </w:r>
      <w:r>
        <w:rPr>
          <w:rFonts w:ascii="Calibri" w:hAnsi="Calibri"/>
          <w:color w:val="2D3748"/>
          <w:sz w:val="19"/>
        </w:rPr>
        <w:t xml:space="preserve">, </w:t>
      </w:r>
      <w:r>
        <w:rPr>
          <w:rFonts w:ascii="Consolas" w:hAnsi="Consolas"/>
          <w:color w:val="0369A1"/>
          <w:sz w:val="17"/>
        </w:rPr>
        <w:t>projects</w:t>
      </w:r>
      <w:r>
        <w:rPr>
          <w:rFonts w:ascii="Calibri" w:hAnsi="Calibri"/>
          <w:color w:val="2D3748"/>
          <w:sz w:val="19"/>
        </w:rPr>
        <w:t xml:space="preserve">, </w:t>
      </w:r>
      <w:r>
        <w:rPr>
          <w:rFonts w:ascii="Consolas" w:hAnsi="Consolas"/>
          <w:color w:val="0369A1"/>
          <w:sz w:val="17"/>
        </w:rPr>
        <w:t>plans</w:t>
      </w:r>
      <w:r>
        <w:rPr>
          <w:rFonts w:ascii="Calibri" w:hAnsi="Calibri"/>
          <w:color w:val="2D3748"/>
          <w:sz w:val="19"/>
        </w:rPr>
        <w:t xml:space="preserve">, </w:t>
      </w:r>
      <w:r>
        <w:rPr>
          <w:rFonts w:ascii="Consolas" w:hAnsi="Consolas"/>
          <w:color w:val="0369A1"/>
          <w:sz w:val="17"/>
        </w:rPr>
        <w:t>imports</w:t>
      </w:r>
      <w:r>
        <w:rPr>
          <w:rFonts w:ascii="Calibri" w:hAnsi="Calibri"/>
          <w:color w:val="2D3748"/>
          <w:sz w:val="19"/>
        </w:rPr>
        <w:t xml:space="preserve">, </w:t>
      </w:r>
      <w:r>
        <w:rPr>
          <w:rFonts w:ascii="Consolas" w:hAnsi="Consolas"/>
          <w:color w:val="0369A1"/>
          <w:sz w:val="17"/>
        </w:rPr>
        <w:t>analytics</w:t>
      </w:r>
      <w:r>
        <w:rPr>
          <w:rFonts w:ascii="Calibri" w:hAnsi="Calibri"/>
          <w:color w:val="2D3748"/>
          <w:sz w:val="19"/>
        </w:rPr>
        <w:t xml:space="preserve">, </w:t>
      </w:r>
      <w:r>
        <w:rPr>
          <w:rFonts w:ascii="Consolas" w:hAnsi="Consolas"/>
          <w:color w:val="0369A1"/>
          <w:sz w:val="17"/>
        </w:rPr>
        <w:t>system</w:t>
      </w:r>
      <w:r>
        <w:rPr>
          <w:rFonts w:ascii="Calibri" w:hAnsi="Calibri"/>
          <w:color w:val="2D3748"/>
          <w:sz w:val="19"/>
        </w:rPr>
        <w:t>).</w:t>
      </w:r>
    </w:p>
    <w:p>
      <w:pPr>
        <w:pStyle w:val="ListBullet"/>
        <w:spacing w:before="20" w:after="40"/>
        <w:ind w:left="720"/>
      </w:pPr>
      <w:r>
        <w:rPr>
          <w:rFonts w:ascii="Calibri" w:hAnsi="Calibri"/>
          <w:color w:val="2D3748"/>
          <w:sz w:val="19"/>
        </w:rPr>
        <w:t>Módulos de scraping y deduplicación (</w:t>
      </w:r>
      <w:r>
        <w:rPr>
          <w:rFonts w:ascii="Consolas" w:hAnsi="Consolas"/>
          <w:color w:val="0369A1"/>
          <w:sz w:val="17"/>
        </w:rPr>
        <w:t>scraper.py</w:t>
      </w:r>
      <w:r>
        <w:rPr>
          <w:rFonts w:ascii="Calibri" w:hAnsi="Calibri"/>
          <w:color w:val="2D3748"/>
          <w:sz w:val="19"/>
        </w:rPr>
        <w:t xml:space="preserve">, </w:t>
      </w:r>
      <w:r>
        <w:rPr>
          <w:rFonts w:ascii="Consolas" w:hAnsi="Consolas"/>
          <w:color w:val="0369A1"/>
          <w:sz w:val="17"/>
        </w:rPr>
        <w:t>cvlac_scraper.py</w:t>
      </w:r>
      <w:r>
        <w:rPr>
          <w:rFonts w:ascii="Calibri" w:hAnsi="Calibri"/>
          <w:color w:val="2D3748"/>
          <w:sz w:val="19"/>
        </w:rPr>
        <w:t>): Ingesta directa desde Scienti con conciliación automática de autores y productos.</w:t>
      </w:r>
    </w:p>
    <w:p>
      <w:pPr>
        <w:pStyle w:val="Heading3"/>
        <w:spacing w:before="200" w:after="60"/>
      </w:pPr>
      <w:r>
        <w:rPr>
          <w:rFonts w:ascii="Arial" w:hAnsi="Arial"/>
          <w:b/>
          <w:color w:val="0D9488"/>
          <w:sz w:val="23"/>
        </w:rPr>
        <w:t>7.3 Puente de Interoperabilidad Nativa (`pybind11`)</w:t>
      </w:r>
    </w:p>
    <w:p>
      <w:pPr>
        <w:pStyle w:val="ListBullet"/>
        <w:spacing w:before="20" w:after="40"/>
        <w:ind w:left="360"/>
      </w:pPr>
      <w:r>
        <w:rPr>
          <w:rFonts w:ascii="Calibri" w:hAnsi="Calibri"/>
          <w:color w:val="2D3748"/>
          <w:sz w:val="19"/>
        </w:rPr>
        <w:t xml:space="preserve">La carpeta </w:t>
      </w:r>
      <w:r>
        <w:rPr>
          <w:rFonts w:ascii="Consolas" w:hAnsi="Consolas"/>
          <w:color w:val="0369A1"/>
          <w:sz w:val="17"/>
        </w:rPr>
        <w:t>core_cpp/pybind/bindings.cpp</w:t>
      </w:r>
      <w:r>
        <w:rPr>
          <w:rFonts w:ascii="Calibri" w:hAnsi="Calibri"/>
          <w:color w:val="2D3748"/>
          <w:sz w:val="19"/>
        </w:rPr>
        <w:t xml:space="preserve"> define las envolturas nativas que exponen structs (</w:t>
      </w:r>
      <w:r>
        <w:rPr>
          <w:rFonts w:ascii="Consolas" w:hAnsi="Consolas"/>
          <w:color w:val="0369A1"/>
          <w:sz w:val="17"/>
        </w:rPr>
        <w:t>Group</w:t>
      </w:r>
      <w:r>
        <w:rPr>
          <w:rFonts w:ascii="Calibri" w:hAnsi="Calibri"/>
          <w:color w:val="2D3748"/>
          <w:sz w:val="19"/>
        </w:rPr>
        <w:t xml:space="preserve">, </w:t>
      </w:r>
      <w:r>
        <w:rPr>
          <w:rFonts w:ascii="Consolas" w:hAnsi="Consolas"/>
          <w:color w:val="0369A1"/>
          <w:sz w:val="17"/>
        </w:rPr>
        <w:t>Researcher</w:t>
      </w:r>
      <w:r>
        <w:rPr>
          <w:rFonts w:ascii="Calibri" w:hAnsi="Calibri"/>
          <w:color w:val="2D3748"/>
          <w:sz w:val="19"/>
        </w:rPr>
        <w:t xml:space="preserve">, </w:t>
      </w:r>
      <w:r>
        <w:rPr>
          <w:rFonts w:ascii="Consolas" w:hAnsi="Consolas"/>
          <w:color w:val="0369A1"/>
          <w:sz w:val="17"/>
        </w:rPr>
        <w:t>Product</w:t>
      </w:r>
      <w:r>
        <w:rPr>
          <w:rFonts w:ascii="Calibri" w:hAnsi="Calibri"/>
          <w:color w:val="2D3748"/>
          <w:sz w:val="19"/>
        </w:rPr>
        <w:t xml:space="preserve">, </w:t>
      </w:r>
      <w:r>
        <w:rPr>
          <w:rFonts w:ascii="Consolas" w:hAnsi="Consolas"/>
          <w:color w:val="0369A1"/>
          <w:sz w:val="17"/>
        </w:rPr>
        <w:t>ProductAuthor</w:t>
      </w:r>
      <w:r>
        <w:rPr>
          <w:rFonts w:ascii="Calibri" w:hAnsi="Calibri"/>
          <w:color w:val="2D3748"/>
          <w:sz w:val="19"/>
        </w:rPr>
        <w:t xml:space="preserve">, </w:t>
      </w:r>
      <w:r>
        <w:rPr>
          <w:rFonts w:ascii="Consolas" w:hAnsi="Consolas"/>
          <w:color w:val="0369A1"/>
          <w:sz w:val="17"/>
        </w:rPr>
        <w:t>Membership</w:t>
      </w:r>
      <w:r>
        <w:rPr>
          <w:rFonts w:ascii="Calibri" w:hAnsi="Calibri"/>
          <w:color w:val="2D3748"/>
          <w:sz w:val="19"/>
        </w:rPr>
        <w:t xml:space="preserve">, </w:t>
      </w:r>
      <w:r>
        <w:rPr>
          <w:rFonts w:ascii="Consolas" w:hAnsi="Consolas"/>
          <w:color w:val="0369A1"/>
          <w:sz w:val="17"/>
        </w:rPr>
        <w:t>Project</w:t>
      </w:r>
      <w:r>
        <w:rPr>
          <w:rFonts w:ascii="Calibri" w:hAnsi="Calibri"/>
          <w:color w:val="2D3748"/>
          <w:sz w:val="19"/>
        </w:rPr>
        <w:t xml:space="preserve">, </w:t>
      </w:r>
      <w:r>
        <w:rPr>
          <w:rFonts w:ascii="Consolas" w:hAnsi="Consolas"/>
          <w:color w:val="0369A1"/>
          <w:sz w:val="17"/>
        </w:rPr>
        <w:t>WorkPlan</w:t>
      </w:r>
      <w:r>
        <w:rPr>
          <w:rFonts w:ascii="Calibri" w:hAnsi="Calibri"/>
          <w:color w:val="2D3748"/>
          <w:sz w:val="19"/>
        </w:rPr>
        <w:t xml:space="preserve">, </w:t>
      </w:r>
      <w:r>
        <w:rPr>
          <w:rFonts w:ascii="Consolas" w:hAnsi="Consolas"/>
          <w:color w:val="0369A1"/>
          <w:sz w:val="17"/>
        </w:rPr>
        <w:t>ValidationQueueItem</w:t>
      </w:r>
      <w:r>
        <w:rPr>
          <w:rFonts w:ascii="Calibri" w:hAnsi="Calibri"/>
          <w:color w:val="2D3748"/>
          <w:sz w:val="19"/>
        </w:rPr>
        <w:t xml:space="preserve">, </w:t>
      </w:r>
      <w:r>
        <w:rPr>
          <w:rFonts w:ascii="Consolas" w:hAnsi="Consolas"/>
          <w:color w:val="0369A1"/>
          <w:sz w:val="17"/>
        </w:rPr>
        <w:t>UndoOperation</w:t>
      </w:r>
      <w:r>
        <w:rPr>
          <w:rFonts w:ascii="Calibri" w:hAnsi="Calibri"/>
          <w:color w:val="2D3748"/>
          <w:sz w:val="19"/>
        </w:rPr>
        <w:t xml:space="preserve">) y funciones de gestión al entorno Python bajo el módulo binario </w:t>
      </w:r>
      <w:r>
        <w:rPr>
          <w:rFonts w:ascii="Consolas" w:hAnsi="Consolas"/>
          <w:color w:val="0369A1"/>
          <w:sz w:val="17"/>
        </w:rPr>
        <w:t>abpoxx_pybind</w:t>
      </w:r>
      <w:r>
        <w:rPr>
          <w:rFonts w:ascii="Calibri" w:hAnsi="Calibri"/>
          <w:color w:val="2D3748"/>
          <w:sz w:val="19"/>
        </w:rPr>
        <w:t>.</w:t>
      </w:r>
    </w:p>
    <w:p>
      <w:pPr>
        <w:pStyle w:val="ListBullet"/>
        <w:spacing w:before="20" w:after="40"/>
        <w:ind w:left="360"/>
      </w:pPr>
      <w:r>
        <w:rPr>
          <w:rFonts w:ascii="Calibri" w:hAnsi="Calibri"/>
          <w:color w:val="2D3748"/>
          <w:sz w:val="19"/>
        </w:rPr>
        <w:t>Se transfieren tipos básicos de C++ a Python por valor y referencias controladas, permitiendo que un cambio ejecutado desde una solicitud HTTP de FastAPI modifique instantáneamente la multilista de nodos en C++.</w:t>
      </w:r>
    </w:p>
    <w:p>
      <w:pPr>
        <w:pStyle w:val="Heading2"/>
        <w:spacing w:before="280" w:after="80"/>
      </w:pPr>
      <w:r>
        <w:rPr>
          <w:rFonts w:ascii="Arial" w:hAnsi="Arial"/>
          <w:b/>
          <w:color w:val="2B6CB0"/>
          <w:sz w:val="27"/>
        </w:rPr>
        <w:t>8. Persistencia dual e inicialización</w:t>
      </w:r>
    </w:p>
    <w:p>
      <w:pPr>
        <w:spacing w:before="40" w:after="80" w:line="276" w:lineRule="auto"/>
      </w:pPr>
      <w:r>
        <w:rPr>
          <w:rFonts w:ascii="Calibri" w:hAnsi="Calibri"/>
          <w:color w:val="1E293B"/>
          <w:sz w:val="20"/>
        </w:rPr>
        <w:t>El sistema provee dos mecanismos de persistencia complementarios que aseguran la máxima resiliencia:</w:t>
      </w:r>
    </w:p>
    <w:p>
      <w:pPr>
        <w:pStyle w:val="Heading3"/>
        <w:spacing w:before="200" w:after="60"/>
      </w:pPr>
      <w:r>
        <w:rPr>
          <w:rFonts w:ascii="Arial" w:hAnsi="Arial"/>
          <w:b/>
          <w:color w:val="0D9488"/>
          <w:sz w:val="23"/>
        </w:rPr>
        <w:t>8.1 Motor Relacional SQL Server</w:t>
      </w:r>
    </w:p>
    <w:p>
      <w:pPr>
        <w:pStyle w:val="ListBullet"/>
        <w:spacing w:before="20" w:after="40"/>
        <w:ind w:left="360"/>
      </w:pPr>
      <w:r>
        <w:rPr>
          <w:rFonts w:ascii="Calibri" w:hAnsi="Calibri"/>
          <w:b/>
          <w:color w:val="2D3748"/>
          <w:sz w:val="19"/>
        </w:rPr>
        <w:t>Esquema de 22 tablas físicas:</w:t>
      </w:r>
      <w:r>
        <w:rPr>
          <w:rFonts w:ascii="Calibri" w:hAnsi="Calibri"/>
          <w:color w:val="2D3748"/>
          <w:sz w:val="19"/>
        </w:rPr>
        <w:t xml:space="preserve"> Define llaves primarias autoincrementales, restricciones de unicidad sobre códigos externos (</w:t>
      </w:r>
      <w:r>
        <w:rPr>
          <w:rFonts w:ascii="Consolas" w:hAnsi="Consolas"/>
          <w:color w:val="0369A1"/>
          <w:sz w:val="17"/>
        </w:rPr>
        <w:t>UQ_ResearchGroup_ExternalCode</w:t>
      </w:r>
      <w:r>
        <w:rPr>
          <w:rFonts w:ascii="Calibri" w:hAnsi="Calibri"/>
          <w:color w:val="2D3748"/>
          <w:sz w:val="19"/>
        </w:rPr>
        <w:t xml:space="preserve">, </w:t>
      </w:r>
      <w:r>
        <w:rPr>
          <w:rFonts w:ascii="Consolas" w:hAnsi="Consolas"/>
          <w:color w:val="0369A1"/>
          <w:sz w:val="17"/>
        </w:rPr>
        <w:t>UQ_Product_ExternalCode</w:t>
      </w:r>
      <w:r>
        <w:rPr>
          <w:rFonts w:ascii="Calibri" w:hAnsi="Calibri"/>
          <w:color w:val="2D3748"/>
          <w:sz w:val="19"/>
        </w:rPr>
        <w:t>), llaves foráneas con integridad referencial e índices especializados. El diagrama ER de la sección 38.2 detalla las 17 tablas del núcleo; las cinco restantes (</w:t>
      </w:r>
      <w:r>
        <w:rPr>
          <w:rFonts w:ascii="Consolas" w:hAnsi="Consolas"/>
          <w:color w:val="0369A1"/>
          <w:sz w:val="17"/>
        </w:rPr>
        <w:t>ResearchLine</w:t>
      </w:r>
      <w:r>
        <w:rPr>
          <w:rFonts w:ascii="Calibri" w:hAnsi="Calibri"/>
          <w:color w:val="2D3748"/>
          <w:sz w:val="19"/>
        </w:rPr>
        <w:t xml:space="preserve">, </w:t>
      </w:r>
      <w:r>
        <w:rPr>
          <w:rFonts w:ascii="Consolas" w:hAnsi="Consolas"/>
          <w:color w:val="0369A1"/>
          <w:sz w:val="17"/>
        </w:rPr>
        <w:t>GroupResearchLine</w:t>
      </w:r>
      <w:r>
        <w:rPr>
          <w:rFonts w:ascii="Calibri" w:hAnsi="Calibri"/>
          <w:color w:val="2D3748"/>
          <w:sz w:val="19"/>
        </w:rPr>
        <w:t xml:space="preserve">, </w:t>
      </w:r>
      <w:r>
        <w:rPr>
          <w:rFonts w:ascii="Consolas" w:hAnsi="Consolas"/>
          <w:color w:val="0369A1"/>
          <w:sz w:val="17"/>
        </w:rPr>
        <w:t>ResearcherProject</w:t>
      </w:r>
      <w:r>
        <w:rPr>
          <w:rFonts w:ascii="Calibri" w:hAnsi="Calibri"/>
          <w:color w:val="2D3748"/>
          <w:sz w:val="19"/>
        </w:rPr>
        <w:t xml:space="preserve">, </w:t>
      </w:r>
      <w:r>
        <w:rPr>
          <w:rFonts w:ascii="Consolas" w:hAnsi="Consolas"/>
          <w:color w:val="0369A1"/>
          <w:sz w:val="17"/>
        </w:rPr>
        <w:t>ProjectProduct</w:t>
      </w:r>
      <w:r>
        <w:rPr>
          <w:rFonts w:ascii="Calibri" w:hAnsi="Calibri"/>
          <w:color w:val="2D3748"/>
          <w:sz w:val="19"/>
        </w:rPr>
        <w:t xml:space="preserve">, </w:t>
      </w:r>
      <w:r>
        <w:rPr>
          <w:rFonts w:ascii="Consolas" w:hAnsi="Consolas"/>
          <w:color w:val="0369A1"/>
          <w:sz w:val="17"/>
        </w:rPr>
        <w:t>ImportRecord</w:t>
      </w:r>
      <w:r>
        <w:rPr>
          <w:rFonts w:ascii="Calibri" w:hAnsi="Calibri"/>
          <w:color w:val="2D3748"/>
          <w:sz w:val="19"/>
        </w:rPr>
        <w:t>) corresponden a enlaces de líneas y proyectos y al soporte de importaciones.</w:t>
      </w:r>
    </w:p>
    <w:p>
      <w:pPr>
        <w:pStyle w:val="ListBullet"/>
        <w:spacing w:before="20" w:after="40"/>
        <w:ind w:left="360"/>
      </w:pPr>
      <w:r>
        <w:rPr>
          <w:rFonts w:ascii="Calibri" w:hAnsi="Calibri"/>
          <w:b/>
          <w:color w:val="2D3748"/>
          <w:sz w:val="19"/>
        </w:rPr>
        <w:t>Operaciones Write-Through:</w:t>
      </w:r>
      <w:r>
        <w:rPr>
          <w:rFonts w:ascii="Calibri" w:hAnsi="Calibri"/>
          <w:color w:val="2D3748"/>
          <w:sz w:val="19"/>
        </w:rPr>
        <w:t xml:space="preserve"> Toda mutación aprobada en memoria RAM dispara inmediatamente una instrucción SQL mediante ODBC nativo (</w:t>
      </w:r>
      <w:r>
        <w:rPr>
          <w:rFonts w:ascii="Consolas" w:hAnsi="Consolas"/>
          <w:color w:val="0369A1"/>
          <w:sz w:val="17"/>
        </w:rPr>
        <w:t>SQLExecDirect</w:t>
      </w:r>
      <w:r>
        <w:rPr>
          <w:rFonts w:ascii="Calibri" w:hAnsi="Calibri"/>
          <w:color w:val="2D3748"/>
          <w:sz w:val="19"/>
        </w:rPr>
        <w:t xml:space="preserve"> con sentencias </w:t>
      </w:r>
      <w:r>
        <w:rPr>
          <w:rFonts w:ascii="Consolas" w:hAnsi="Consolas"/>
          <w:color w:val="0369A1"/>
          <w:sz w:val="17"/>
        </w:rPr>
        <w:t>MERGE</w:t>
      </w:r>
      <w:r>
        <w:rPr>
          <w:rFonts w:ascii="Calibri" w:hAnsi="Calibri"/>
          <w:color w:val="2D3748"/>
          <w:sz w:val="19"/>
        </w:rPr>
        <w:t>), garantizando que la base de datos física permanezca en exacta sincronía con la memoria.</w:t>
      </w:r>
    </w:p>
    <w:p>
      <w:pPr>
        <w:pStyle w:val="ListBullet"/>
        <w:spacing w:before="20" w:after="40"/>
        <w:ind w:left="360"/>
      </w:pPr>
      <w:r>
        <w:rPr>
          <w:rFonts w:ascii="Calibri" w:hAnsi="Calibri"/>
          <w:b/>
          <w:color w:val="2D3748"/>
          <w:sz w:val="19"/>
        </w:rPr>
        <w:t>Transaccionalidad en Validaciones:</w:t>
      </w:r>
      <w:r>
        <w:rPr>
          <w:rFonts w:ascii="Calibri" w:hAnsi="Calibri"/>
          <w:color w:val="2D3748"/>
          <w:sz w:val="19"/>
        </w:rPr>
        <w:t xml:space="preserve"> La validación de un producto actualiza atómicamente la tabla </w:t>
      </w:r>
      <w:r>
        <w:rPr>
          <w:rFonts w:ascii="Consolas" w:hAnsi="Consolas"/>
          <w:color w:val="0369A1"/>
          <w:sz w:val="17"/>
        </w:rPr>
        <w:t>Product</w:t>
      </w:r>
      <w:r>
        <w:rPr>
          <w:rFonts w:ascii="Calibri" w:hAnsi="Calibri"/>
          <w:color w:val="2D3748"/>
          <w:sz w:val="19"/>
        </w:rPr>
        <w:t xml:space="preserve">, el enlace </w:t>
      </w:r>
      <w:r>
        <w:rPr>
          <w:rFonts w:ascii="Consolas" w:hAnsi="Consolas"/>
          <w:color w:val="0369A1"/>
          <w:sz w:val="17"/>
        </w:rPr>
        <w:t>GroupProductLink</w:t>
      </w:r>
      <w:r>
        <w:rPr>
          <w:rFonts w:ascii="Calibri" w:hAnsi="Calibri"/>
          <w:color w:val="2D3748"/>
          <w:sz w:val="19"/>
        </w:rPr>
        <w:t xml:space="preserve">, el registro en </w:t>
      </w:r>
      <w:r>
        <w:rPr>
          <w:rFonts w:ascii="Consolas" w:hAnsi="Consolas"/>
          <w:color w:val="0369A1"/>
          <w:sz w:val="17"/>
        </w:rPr>
        <w:t>ValidationQueueItem</w:t>
      </w:r>
      <w:r>
        <w:rPr>
          <w:rFonts w:ascii="Calibri" w:hAnsi="Calibri"/>
          <w:color w:val="2D3748"/>
          <w:sz w:val="19"/>
        </w:rPr>
        <w:t xml:space="preserve"> e inserta una traza inmutable en </w:t>
      </w:r>
      <w:r>
        <w:rPr>
          <w:rFonts w:ascii="Consolas" w:hAnsi="Consolas"/>
          <w:color w:val="0369A1"/>
          <w:sz w:val="17"/>
        </w:rPr>
        <w:t>AuditLog</w:t>
      </w:r>
      <w:r>
        <w:rPr>
          <w:rFonts w:ascii="Calibri" w:hAnsi="Calibri"/>
          <w:color w:val="2D3748"/>
          <w:sz w:val="19"/>
        </w:rPr>
        <w:t>.</w:t>
      </w:r>
    </w:p>
    <w:p>
      <w:pPr>
        <w:pStyle w:val="Heading3"/>
        <w:spacing w:before="200" w:after="60"/>
      </w:pPr>
      <w:r>
        <w:rPr>
          <w:rFonts w:ascii="Arial" w:hAnsi="Arial"/>
          <w:b/>
          <w:color w:val="0D9488"/>
          <w:sz w:val="23"/>
        </w:rPr>
        <w:t>8.2 Archivo de persistencia serializado (`pea_data.json`)</w:t>
      </w:r>
    </w:p>
    <w:p>
      <w:pPr>
        <w:pStyle w:val="ListBullet"/>
        <w:spacing w:before="20" w:after="40"/>
        <w:ind w:left="360"/>
      </w:pPr>
      <w:r>
        <w:rPr>
          <w:rFonts w:ascii="Calibri" w:hAnsi="Calibri"/>
          <w:b/>
          <w:color w:val="2D3748"/>
          <w:sz w:val="19"/>
        </w:rPr>
        <w:t>Propósito:</w:t>
      </w:r>
      <w:r>
        <w:rPr>
          <w:rFonts w:ascii="Calibri" w:hAnsi="Calibri"/>
          <w:color w:val="2D3748"/>
          <w:sz w:val="19"/>
        </w:rPr>
        <w:t xml:space="preserve"> Cumplir las notas 9 y 10 del taller, proporcionando un archivo autocontenido que preserva todo el estado del sistema sin requerir un servidor de base de datos instalado.</w:t>
      </w:r>
    </w:p>
    <w:p>
      <w:pPr>
        <w:pStyle w:val="ListBullet"/>
        <w:spacing w:before="20" w:after="40"/>
        <w:ind w:left="360"/>
      </w:pPr>
      <w:r>
        <w:rPr>
          <w:rFonts w:ascii="Calibri" w:hAnsi="Calibri"/>
          <w:b/>
          <w:color w:val="2D3748"/>
          <w:sz w:val="19"/>
        </w:rPr>
        <w:t>Estructura canónica (12 colecciones):</w:t>
      </w:r>
    </w:p>
    <w:p>
      <w:pPr>
        <w:spacing w:before="40" w:after="80" w:line="276" w:lineRule="auto"/>
      </w:pPr>
      <w:r>
        <w:rPr>
          <w:rFonts w:ascii="Consolas" w:hAnsi="Consolas"/>
          <w:color w:val="0369A1"/>
          <w:sz w:val="17"/>
        </w:rPr>
      </w:r>
      <w:r>
        <w:rPr>
          <w:rFonts w:ascii="Calibri" w:hAnsi="Calibri"/>
          <w:color w:val="1E293B"/>
          <w:sz w:val="20"/>
        </w:rPr>
        <w:t>`json</w:t>
      </w:r>
    </w:p>
    <w:p>
      <w:pPr>
        <w:spacing w:before="40" w:after="80" w:line="276" w:lineRule="auto"/>
      </w:pPr>
      <w:r>
        <w:rPr>
          <w:rFonts w:ascii="Calibri" w:hAnsi="Calibri"/>
          <w:color w:val="1E293B"/>
          <w:sz w:val="20"/>
        </w:rPr>
        <w:t>{</w:t>
      </w:r>
    </w:p>
    <w:p>
      <w:pPr>
        <w:spacing w:before="40" w:after="80" w:line="276" w:lineRule="auto"/>
      </w:pPr>
      <w:r>
        <w:rPr>
          <w:rFonts w:ascii="Calibri" w:hAnsi="Calibri"/>
          <w:color w:val="1E293B"/>
          <w:sz w:val="20"/>
        </w:rPr>
        <w:t>"schemaVersion": "1.2",</w:t>
      </w:r>
    </w:p>
    <w:p>
      <w:pPr>
        <w:spacing w:before="40" w:after="80" w:line="276" w:lineRule="auto"/>
      </w:pPr>
      <w:r>
        <w:rPr>
          <w:rFonts w:ascii="Calibri" w:hAnsi="Calibri"/>
          <w:color w:val="1E293B"/>
          <w:sz w:val="20"/>
        </w:rPr>
        <w:t>"groups": [],</w:t>
      </w:r>
    </w:p>
    <w:p>
      <w:pPr>
        <w:spacing w:before="40" w:after="80" w:line="276" w:lineRule="auto"/>
      </w:pPr>
      <w:r>
        <w:rPr>
          <w:rFonts w:ascii="Calibri" w:hAnsi="Calibri"/>
          <w:color w:val="1E293B"/>
          <w:sz w:val="20"/>
        </w:rPr>
        <w:t>"researchers": [],</w:t>
      </w:r>
    </w:p>
    <w:p>
      <w:pPr>
        <w:spacing w:before="40" w:after="80" w:line="276" w:lineRule="auto"/>
      </w:pPr>
      <w:r>
        <w:rPr>
          <w:rFonts w:ascii="Calibri" w:hAnsi="Calibri"/>
          <w:color w:val="1E293B"/>
          <w:sz w:val="20"/>
        </w:rPr>
        <w:t>"memberships": [],</w:t>
      </w:r>
    </w:p>
    <w:p>
      <w:pPr>
        <w:spacing w:before="40" w:after="80" w:line="276" w:lineRule="auto"/>
      </w:pPr>
      <w:r>
        <w:rPr>
          <w:rFonts w:ascii="Calibri" w:hAnsi="Calibri"/>
          <w:color w:val="1E293B"/>
          <w:sz w:val="20"/>
        </w:rPr>
        <w:t>"products": [],</w:t>
      </w:r>
    </w:p>
    <w:p>
      <w:pPr>
        <w:spacing w:before="40" w:after="80" w:line="276" w:lineRule="auto"/>
      </w:pPr>
      <w:r>
        <w:rPr>
          <w:rFonts w:ascii="Calibri" w:hAnsi="Calibri"/>
          <w:color w:val="1E293B"/>
          <w:sz w:val="20"/>
        </w:rPr>
        <w:t>"authors": [],</w:t>
      </w:r>
    </w:p>
    <w:p>
      <w:pPr>
        <w:spacing w:before="40" w:after="80" w:line="276" w:lineRule="auto"/>
      </w:pPr>
      <w:r>
        <w:rPr>
          <w:rFonts w:ascii="Calibri" w:hAnsi="Calibri"/>
          <w:color w:val="1E293B"/>
          <w:sz w:val="20"/>
        </w:rPr>
        <w:t>"groupProductLinks": [],</w:t>
      </w:r>
    </w:p>
    <w:p>
      <w:pPr>
        <w:spacing w:before="40" w:after="80" w:line="276" w:lineRule="auto"/>
      </w:pPr>
      <w:r>
        <w:rPr>
          <w:rFonts w:ascii="Calibri" w:hAnsi="Calibri"/>
          <w:color w:val="1E293B"/>
          <w:sz w:val="20"/>
        </w:rPr>
        <w:t>"projects": [],</w:t>
      </w:r>
    </w:p>
    <w:p>
      <w:pPr>
        <w:spacing w:before="40" w:after="80" w:line="276" w:lineRule="auto"/>
      </w:pPr>
      <w:r>
        <w:rPr>
          <w:rFonts w:ascii="Calibri" w:hAnsi="Calibri"/>
          <w:color w:val="1E293B"/>
          <w:sz w:val="20"/>
        </w:rPr>
        <w:t>"groupProjectLinks": [],</w:t>
      </w:r>
    </w:p>
    <w:p>
      <w:pPr>
        <w:spacing w:before="40" w:after="80" w:line="276" w:lineRule="auto"/>
      </w:pPr>
      <w:r>
        <w:rPr>
          <w:rFonts w:ascii="Calibri" w:hAnsi="Calibri"/>
          <w:color w:val="1E293B"/>
          <w:sz w:val="20"/>
        </w:rPr>
        <w:t>"workPlans": [],</w:t>
      </w:r>
    </w:p>
    <w:p>
      <w:pPr>
        <w:spacing w:before="40" w:after="80" w:line="276" w:lineRule="auto"/>
      </w:pPr>
      <w:r>
        <w:rPr>
          <w:rFonts w:ascii="Calibri" w:hAnsi="Calibri"/>
          <w:color w:val="1E293B"/>
          <w:sz w:val="20"/>
        </w:rPr>
        <w:t>"validationQueue": [],</w:t>
      </w:r>
    </w:p>
    <w:p>
      <w:pPr>
        <w:spacing w:before="40" w:after="80" w:line="276" w:lineRule="auto"/>
      </w:pPr>
      <w:r>
        <w:rPr>
          <w:rFonts w:ascii="Calibri" w:hAnsi="Calibri"/>
          <w:color w:val="1E293B"/>
          <w:sz w:val="20"/>
        </w:rPr>
        <w:t>"undoOperations": []</w:t>
      </w:r>
    </w:p>
    <w:p>
      <w:pPr>
        <w:spacing w:before="40" w:after="80" w:line="276" w:lineRule="auto"/>
      </w:pPr>
      <w:r>
        <w:rPr>
          <w:rFonts w:ascii="Calibri" w:hAnsi="Calibri"/>
          <w:color w:val="1E293B"/>
          <w:sz w:val="20"/>
        </w:rPr>
        <w:t>}</w:t>
      </w:r>
    </w:p>
    <w:p>
      <w:pPr>
        <w:spacing w:before="40" w:after="80" w:line="276" w:lineRule="auto"/>
      </w:pPr>
      <w:r>
        <w:rPr>
          <w:rFonts w:ascii="Consolas" w:hAnsi="Consolas"/>
          <w:color w:val="0369A1"/>
          <w:sz w:val="17"/>
        </w:rPr>
      </w:r>
      <w:r>
        <w:rPr>
          <w:rFonts w:ascii="Consolas" w:hAnsi="Consolas"/>
          <w:color w:val="0369A1"/>
          <w:sz w:val="17"/>
        </w:rPr>
      </w:r>
    </w:p>
    <w:p>
      <w:pPr>
        <w:pStyle w:val="ListBullet"/>
        <w:spacing w:before="20" w:after="40"/>
        <w:ind w:left="360"/>
      </w:pPr>
      <w:r>
        <w:rPr>
          <w:rFonts w:ascii="Calibri" w:hAnsi="Calibri"/>
          <w:b/>
          <w:color w:val="2D3748"/>
          <w:sz w:val="19"/>
        </w:rPr>
        <w:t>Serialización manual en C++:</w:t>
      </w:r>
      <w:r>
        <w:rPr>
          <w:rFonts w:ascii="Calibri" w:hAnsi="Calibri"/>
          <w:color w:val="2D3748"/>
          <w:sz w:val="19"/>
        </w:rPr>
        <w:t xml:space="preserve"> Implementada en </w:t>
      </w:r>
      <w:r>
        <w:rPr>
          <w:rFonts w:ascii="Consolas" w:hAnsi="Consolas"/>
          <w:color w:val="0369A1"/>
          <w:sz w:val="17"/>
        </w:rPr>
        <w:t>json_persistence.cpp</w:t>
      </w:r>
      <w:r>
        <w:rPr>
          <w:rFonts w:ascii="Calibri" w:hAnsi="Calibri"/>
          <w:color w:val="2D3748"/>
          <w:sz w:val="19"/>
        </w:rPr>
        <w:t xml:space="preserve"> mediante flujos estándar (</w:t>
      </w:r>
      <w:r>
        <w:rPr>
          <w:rFonts w:ascii="Consolas" w:hAnsi="Consolas"/>
          <w:color w:val="0369A1"/>
          <w:sz w:val="17"/>
        </w:rPr>
        <w:t>std::ofstream</w:t>
      </w:r>
      <w:r>
        <w:rPr>
          <w:rFonts w:ascii="Calibri" w:hAnsi="Calibri"/>
          <w:color w:val="2D3748"/>
          <w:sz w:val="19"/>
        </w:rPr>
        <w:t>/</w:t>
      </w:r>
      <w:r>
        <w:rPr>
          <w:rFonts w:ascii="Consolas" w:hAnsi="Consolas"/>
          <w:color w:val="0369A1"/>
          <w:sz w:val="17"/>
        </w:rPr>
        <w:t>std::ifstream</w:t>
      </w:r>
      <w:r>
        <w:rPr>
          <w:rFonts w:ascii="Calibri" w:hAnsi="Calibri"/>
          <w:color w:val="2D3748"/>
          <w:sz w:val="19"/>
        </w:rPr>
        <w:t xml:space="preserve">) con escape riguroso de caracteres UTF-8 y caracteres de control (como el separador </w:t>
      </w:r>
      <w:r>
        <w:rPr>
          <w:rFonts w:ascii="Consolas" w:hAnsi="Consolas"/>
          <w:color w:val="0369A1"/>
          <w:sz w:val="17"/>
        </w:rPr>
        <w:t>\u001F</w:t>
      </w:r>
      <w:r>
        <w:rPr>
          <w:rFonts w:ascii="Calibri" w:hAnsi="Calibri"/>
          <w:color w:val="2D3748"/>
          <w:sz w:val="19"/>
        </w:rPr>
        <w:t xml:space="preserve"> usado en snapshots de la pila de deshacer).</w:t>
      </w:r>
    </w:p>
    <w:p>
      <w:pPr>
        <w:pStyle w:val="Heading3"/>
        <w:spacing w:before="200" w:after="60"/>
      </w:pPr>
      <w:r>
        <w:rPr>
          <w:rFonts w:ascii="Arial" w:hAnsi="Arial"/>
          <w:b/>
          <w:color w:val="0D9488"/>
          <w:sz w:val="23"/>
        </w:rPr>
        <w:t>8.3 Opciones de arranque del sistema</w:t>
      </w:r>
    </w:p>
    <w:p>
      <w:pPr>
        <w:spacing w:before="40" w:after="80" w:line="276" w:lineRule="auto"/>
      </w:pPr>
      <w:r>
        <w:rPr>
          <w:rFonts w:ascii="Calibri" w:hAnsi="Calibri"/>
          <w:color w:val="1E293B"/>
          <w:sz w:val="20"/>
        </w:rPr>
        <w:t>Al iniciar la aplicación, el usuario o administrador puede seleccionar uno de tres modos:</w:t>
      </w:r>
    </w:p>
    <w:p>
      <w:pPr>
        <w:pStyle w:val="ListNumber"/>
        <w:spacing w:before="20" w:after="40"/>
      </w:pPr>
      <w:r>
        <w:rPr>
          <w:rFonts w:ascii="Calibri" w:hAnsi="Calibri"/>
          <w:b/>
          <w:color w:val="2D3748"/>
          <w:sz w:val="19"/>
        </w:rPr>
        <w:t>Modo Database (`InitMode::Database`):</w:t>
      </w:r>
      <w:r>
        <w:rPr>
          <w:rFonts w:ascii="Calibri" w:hAnsi="Calibri"/>
          <w:color w:val="2D3748"/>
          <w:sz w:val="19"/>
        </w:rPr>
        <w:t xml:space="preserve"> Conecta a SQL Server vía ODBC, valida el esquema y reconstruye la totalidad de listas y multilistas en RAM a partir de las tablas físicas.</w:t>
      </w:r>
    </w:p>
    <w:p>
      <w:pPr>
        <w:pStyle w:val="ListNumber"/>
        <w:spacing w:before="20" w:after="40"/>
      </w:pPr>
      <w:r>
        <w:rPr>
          <w:rFonts w:ascii="Calibri" w:hAnsi="Calibri"/>
          <w:b/>
          <w:color w:val="2D3748"/>
          <w:sz w:val="19"/>
        </w:rPr>
        <w:t>Modo File (`InitMode::File`):</w:t>
      </w:r>
      <w:r>
        <w:rPr>
          <w:rFonts w:ascii="Calibri" w:hAnsi="Calibri"/>
          <w:color w:val="2D3748"/>
          <w:sz w:val="19"/>
        </w:rPr>
        <w:t xml:space="preserve"> Limpia la memoria RAM y reconstruye todas las entidades y enlaces a partir de un archivo </w:t>
      </w:r>
      <w:r>
        <w:rPr>
          <w:rFonts w:ascii="Consolas" w:hAnsi="Consolas"/>
          <w:color w:val="0369A1"/>
          <w:sz w:val="17"/>
        </w:rPr>
        <w:t>pea_data.json</w:t>
      </w:r>
      <w:r>
        <w:rPr>
          <w:rFonts w:ascii="Calibri" w:hAnsi="Calibri"/>
          <w:color w:val="2D3748"/>
          <w:sz w:val="19"/>
        </w:rPr>
        <w:t>.</w:t>
      </w:r>
    </w:p>
    <w:p>
      <w:pPr>
        <w:pStyle w:val="ListNumber"/>
        <w:spacing w:before="20" w:after="40"/>
      </w:pPr>
      <w:r>
        <w:rPr>
          <w:rFonts w:ascii="Calibri" w:hAnsi="Calibri"/>
          <w:b/>
          <w:color w:val="2D3748"/>
          <w:sz w:val="19"/>
        </w:rPr>
        <w:t>Modo Empty (`InitMode::Empty`):</w:t>
      </w:r>
      <w:r>
        <w:rPr>
          <w:rFonts w:ascii="Calibri" w:hAnsi="Calibri"/>
          <w:color w:val="2D3748"/>
          <w:sz w:val="19"/>
        </w:rPr>
        <w:t xml:space="preserve"> Inicializa el sistema con memoria completamente vacía para propósitos de prueba unitaria o demostración de creación desde cero, sin alterar la base de datos subyacente.</w:t>
      </w:r>
    </w:p>
    <w:p>
      <w:pPr>
        <w:pStyle w:val="Heading2"/>
        <w:spacing w:before="280" w:after="80"/>
      </w:pPr>
      <w:r>
        <w:rPr>
          <w:rFonts w:ascii="Arial" w:hAnsi="Arial"/>
          <w:b/>
          <w:color w:val="2B6CB0"/>
          <w:sz w:val="27"/>
        </w:rPr>
        <w:t>9. Dashboard estadístico integrado y resumen C++</w:t>
      </w:r>
    </w:p>
    <w:p>
      <w:pPr>
        <w:spacing w:before="40" w:after="80" w:line="276" w:lineRule="auto"/>
      </w:pPr>
      <w:r>
        <w:rPr>
          <w:rFonts w:ascii="Calibri" w:hAnsi="Calibri"/>
          <w:color w:val="1E293B"/>
          <w:sz w:val="20"/>
        </w:rPr>
        <w:t xml:space="preserve">Conforme a la decisión </w:t>
      </w:r>
      <w:r>
        <w:rPr>
          <w:rFonts w:ascii="Calibri" w:hAnsi="Calibri"/>
          <w:b/>
          <w:color w:val="1E293B"/>
          <w:sz w:val="20"/>
        </w:rPr>
        <w:t>D-02</w:t>
      </w:r>
      <w:r>
        <w:rPr>
          <w:rFonts w:ascii="Calibri" w:hAnsi="Calibri"/>
          <w:color w:val="1E293B"/>
          <w:sz w:val="20"/>
        </w:rPr>
        <w:t>, el análisis estadístico del sistema se resuelve en dos niveles complementarios:</w:t>
      </w:r>
    </w:p>
    <w:p>
      <w:pPr>
        <w:pStyle w:val="Heading3"/>
        <w:spacing w:before="200" w:after="60"/>
      </w:pPr>
      <w:r>
        <w:rPr>
          <w:rFonts w:ascii="Arial" w:hAnsi="Arial"/>
          <w:b/>
          <w:color w:val="0D9488"/>
          <w:sz w:val="23"/>
        </w:rPr>
        <w:t>9.1 Resumen tabular en Consola C++ (`pea_cli summary`)</w:t>
      </w:r>
    </w:p>
    <w:p>
      <w:pPr>
        <w:spacing w:before="40" w:after="80" w:line="276" w:lineRule="auto"/>
      </w:pPr>
      <w:r>
        <w:rPr>
          <w:rFonts w:ascii="Calibri" w:hAnsi="Calibri"/>
          <w:color w:val="1E293B"/>
          <w:sz w:val="20"/>
        </w:rPr>
        <w:t>Calculado puramente recorriendo los nodos enlazados en memoria:</w:t>
      </w:r>
    </w:p>
    <w:p>
      <w:pPr>
        <w:pStyle w:val="ListBullet"/>
        <w:spacing w:before="20" w:after="40"/>
        <w:ind w:left="360"/>
      </w:pPr>
      <w:r>
        <w:rPr>
          <w:rFonts w:ascii="Calibri" w:hAnsi="Calibri"/>
          <w:color w:val="2D3748"/>
          <w:sz w:val="19"/>
        </w:rPr>
        <w:t>Conteo total de grupos activos e inactivos.</w:t>
      </w:r>
    </w:p>
    <w:p>
      <w:pPr>
        <w:pStyle w:val="ListBullet"/>
        <w:spacing w:before="20" w:after="40"/>
        <w:ind w:left="360"/>
      </w:pPr>
      <w:r>
        <w:rPr>
          <w:rFonts w:ascii="Calibri" w:hAnsi="Calibri"/>
          <w:color w:val="2D3748"/>
          <w:sz w:val="19"/>
        </w:rPr>
        <w:t>Conteo total de investigadores y promedio de vinculación por grupo.</w:t>
      </w:r>
    </w:p>
    <w:p>
      <w:pPr>
        <w:pStyle w:val="ListBullet"/>
        <w:spacing w:before="20" w:after="40"/>
        <w:ind w:left="360"/>
      </w:pPr>
      <w:r>
        <w:rPr>
          <w:rFonts w:ascii="Calibri" w:hAnsi="Calibri"/>
          <w:color w:val="2D3748"/>
          <w:sz w:val="19"/>
        </w:rPr>
        <w:t>Total de productos registrados y recuento de enlaces multilista.</w:t>
      </w:r>
    </w:p>
    <w:p>
      <w:pPr>
        <w:pStyle w:val="ListBullet"/>
        <w:spacing w:before="20" w:after="40"/>
        <w:ind w:left="360"/>
      </w:pPr>
      <w:r>
        <w:rPr>
          <w:rFonts w:ascii="Calibri" w:hAnsi="Calibri"/>
          <w:color w:val="2D3748"/>
          <w:sz w:val="19"/>
        </w:rPr>
        <w:t>Estado de la cola de validación (ítems pendientes, validados y rechazados).</w:t>
      </w:r>
    </w:p>
    <w:p>
      <w:pPr>
        <w:pStyle w:val="ListBullet"/>
        <w:spacing w:before="20" w:after="40"/>
        <w:ind w:left="360"/>
      </w:pPr>
      <w:r>
        <w:rPr>
          <w:rFonts w:ascii="Calibri" w:hAnsi="Calibri"/>
          <w:color w:val="2D3748"/>
          <w:sz w:val="19"/>
        </w:rPr>
        <w:t>Profundidad de la pila de deshacer (operaciones disponibles para reversión).</w:t>
      </w:r>
    </w:p>
    <w:p>
      <w:pPr>
        <w:pStyle w:val="Heading3"/>
        <w:spacing w:before="200" w:after="60"/>
      </w:pPr>
      <w:r>
        <w:rPr>
          <w:rFonts w:ascii="Arial" w:hAnsi="Arial"/>
          <w:b/>
          <w:color w:val="0D9488"/>
          <w:sz w:val="23"/>
        </w:rPr>
        <w:t>9.2 Dashboard administrativo y Portal público (React + Recharts)</w:t>
      </w:r>
    </w:p>
    <w:p>
      <w:pPr>
        <w:pStyle w:val="ListBullet"/>
        <w:spacing w:before="20" w:after="40"/>
        <w:ind w:left="360"/>
      </w:pPr>
      <w:r>
        <w:rPr>
          <w:rFonts w:ascii="Calibri" w:hAnsi="Calibri"/>
          <w:b/>
          <w:color w:val="2D3748"/>
          <w:sz w:val="19"/>
        </w:rPr>
        <w:t>Portal Público (`/portal`):</w:t>
      </w:r>
      <w:r>
        <w:rPr>
          <w:rFonts w:ascii="Calibri" w:hAnsi="Calibri"/>
          <w:color w:val="2D3748"/>
          <w:sz w:val="19"/>
        </w:rPr>
        <w:t xml:space="preserve"> Orientado a la comunidad universitaria. Presenta gráficos interactivos con Recharts:</w:t>
      </w:r>
    </w:p>
    <w:p>
      <w:pPr>
        <w:pStyle w:val="ListBullet"/>
        <w:spacing w:before="20" w:after="40"/>
        <w:ind w:left="720"/>
      </w:pPr>
      <w:r>
        <w:rPr>
          <w:rFonts w:ascii="Calibri" w:hAnsi="Calibri"/>
          <w:color w:val="2D3748"/>
          <w:sz w:val="19"/>
        </w:rPr>
        <w:t>*Histograma de Producción por Año:* Evolución cronológica de productos dentro y fuera de la ventana de observación.</w:t>
      </w:r>
    </w:p>
    <w:p>
      <w:pPr>
        <w:pStyle w:val="ListBullet"/>
        <w:spacing w:before="20" w:after="40"/>
        <w:ind w:left="720"/>
      </w:pPr>
      <w:r>
        <w:rPr>
          <w:rFonts w:ascii="Calibri" w:hAnsi="Calibri"/>
          <w:color w:val="2D3748"/>
          <w:sz w:val="19"/>
        </w:rPr>
        <w:t>*Diagrama de Barras por Clasificación:* Distribución de grupos categorizados en A1, A, B, C y Reconocidos.</w:t>
      </w:r>
    </w:p>
    <w:p>
      <w:pPr>
        <w:pStyle w:val="ListBullet"/>
        <w:spacing w:before="20" w:after="40"/>
        <w:ind w:left="720"/>
      </w:pPr>
      <w:r>
        <w:rPr>
          <w:rFonts w:ascii="Calibri" w:hAnsi="Calibri"/>
          <w:color w:val="2D3748"/>
          <w:sz w:val="19"/>
        </w:rPr>
        <w:t>*Gráfico Donut de Estados:* Proporción de productos validados frente a pendientes y rechazados.</w:t>
      </w:r>
    </w:p>
    <w:p>
      <w:pPr>
        <w:pStyle w:val="ListBullet"/>
        <w:spacing w:before="20" w:after="40"/>
        <w:ind w:left="360"/>
      </w:pPr>
      <w:r>
        <w:rPr>
          <w:rFonts w:ascii="Calibri" w:hAnsi="Calibri"/>
          <w:b/>
          <w:color w:val="2D3748"/>
          <w:sz w:val="19"/>
        </w:rPr>
        <w:t>Dashboard de Administración (`/admin`):</w:t>
      </w:r>
      <w:r>
        <w:rPr>
          <w:rFonts w:ascii="Calibri" w:hAnsi="Calibri"/>
          <w:color w:val="2D3748"/>
          <w:sz w:val="19"/>
        </w:rPr>
        <w:t xml:space="preserve"> Tarjetas de métricas ejecutivas en tiempo real (KPIs), desglose tipológico por las 5 familias Minciencias del Modelo 2024, acceso directo a la cola de validación técnica y control del historial de operaciones con inspección de snapshots.</w:t>
      </w:r>
    </w:p>
    <w:p>
      <w:pPr>
        <w:pStyle w:val="Heading2"/>
        <w:spacing w:before="280" w:after="80"/>
      </w:pPr>
      <w:r>
        <w:rPr>
          <w:rFonts w:ascii="Arial" w:hAnsi="Arial"/>
          <w:b/>
          <w:color w:val="2B6CB0"/>
          <w:sz w:val="27"/>
        </w:rPr>
        <w:t>10. Entregables obligatorios</w:t>
      </w:r>
    </w:p>
    <w:p>
      <w:pPr>
        <w:spacing w:before="40" w:after="80" w:line="276" w:lineRule="auto"/>
      </w:pPr>
      <w:r>
        <w:rPr>
          <w:rFonts w:ascii="Calibri" w:hAnsi="Calibri"/>
          <w:color w:val="1E293B"/>
          <w:sz w:val="20"/>
        </w:rPr>
        <w:t>El proyecto satisface la totalidad de entregables estipulados para el Parcial 2:</w:t>
      </w:r>
    </w:p>
    <w:p>
      <w:pPr>
        <w:pStyle w:val="ListNumber"/>
        <w:spacing w:before="20" w:after="40"/>
      </w:pPr>
      <w:r>
        <w:rPr>
          <w:rFonts w:ascii="Calibri" w:hAnsi="Calibri"/>
          <w:b/>
          <w:color w:val="2D3748"/>
          <w:sz w:val="19"/>
        </w:rPr>
        <w:t>Código Fuente Completo:</w:t>
      </w:r>
      <w:r>
        <w:rPr>
          <w:rFonts w:ascii="Calibri" w:hAnsi="Calibri"/>
          <w:color w:val="2D3748"/>
          <w:sz w:val="19"/>
        </w:rPr>
        <w:t xml:space="preserve"> Estructurado en repositorio Git con historial limpio y trazable: [GitHub - WillQUERTY/sys-pea-integration](https://github.com/WillQUERTY/sys-pea-integration).</w:t>
      </w:r>
    </w:p>
    <w:p>
      <w:pPr>
        <w:pStyle w:val="ListNumber"/>
        <w:spacing w:before="20" w:after="40"/>
      </w:pPr>
      <w:r>
        <w:rPr>
          <w:rFonts w:ascii="Calibri" w:hAnsi="Calibri"/>
          <w:b/>
          <w:color w:val="2D3748"/>
          <w:sz w:val="19"/>
        </w:rPr>
        <w:t>Documento Técnico en Word (`docs/word/Parcial2_WP-DN-EO.docx`):</w:t>
      </w:r>
      <w:r>
        <w:rPr>
          <w:rFonts w:ascii="Calibri" w:hAnsi="Calibri"/>
          <w:color w:val="2D3748"/>
          <w:sz w:val="19"/>
        </w:rPr>
        <w:t xml:space="preserve"> Documento formal generado a partir de esta especificación integral maestra, que incluye arquitectura, diagramas, casos de uso, historias de usuario y matriz de trazabilidad.</w:t>
      </w:r>
    </w:p>
    <w:p>
      <w:pPr>
        <w:pStyle w:val="ListNumber"/>
        <w:spacing w:before="20" w:after="40"/>
      </w:pPr>
      <w:r>
        <w:rPr>
          <w:rFonts w:ascii="Calibri" w:hAnsi="Calibri"/>
          <w:b/>
          <w:color w:val="2D3748"/>
          <w:sz w:val="19"/>
        </w:rPr>
        <w:t>Archivo de Persistencia (`pea_data.json`):</w:t>
      </w:r>
      <w:r>
        <w:rPr>
          <w:rFonts w:ascii="Calibri" w:hAnsi="Calibri"/>
          <w:color w:val="2D3748"/>
          <w:sz w:val="19"/>
        </w:rPr>
        <w:t xml:space="preserve"> Archivo JSON generado con la producción completa, integrantes, productos enriquecidos y autores listo para prueba de carga independiente.</w:t>
      </w:r>
    </w:p>
    <w:p>
      <w:pPr>
        <w:pStyle w:val="ListNumber"/>
        <w:spacing w:before="20" w:after="40"/>
      </w:pPr>
      <w:r>
        <w:rPr>
          <w:rFonts w:ascii="Calibri" w:hAnsi="Calibri"/>
          <w:b/>
          <w:color w:val="2D3748"/>
          <w:sz w:val="19"/>
        </w:rPr>
        <w:t>Archivo de Identificación (`INTEGRANTES.txt`):</w:t>
      </w:r>
      <w:r>
        <w:rPr>
          <w:rFonts w:ascii="Calibri" w:hAnsi="Calibri"/>
          <w:color w:val="2D3748"/>
          <w:sz w:val="19"/>
        </w:rPr>
        <w:t xml:space="preserve"> Ficha institucional con datos del grupo de estudiantes (William Andrés Peñaranda Oñate, Donaldo David Noriega Palomino, Edinson José Olivero Rojas).</w:t>
      </w:r>
    </w:p>
    <w:p>
      <w:pPr>
        <w:pStyle w:val="ListNumber"/>
        <w:spacing w:before="20" w:after="40"/>
      </w:pPr>
      <w:r>
        <w:rPr>
          <w:rFonts w:ascii="Calibri" w:hAnsi="Calibri"/>
          <w:b/>
          <w:color w:val="2D3748"/>
          <w:sz w:val="19"/>
        </w:rPr>
        <w:t>Video Demostrativo (Sustentación):</w:t>
      </w:r>
      <w:r>
        <w:rPr>
          <w:rFonts w:ascii="Calibri" w:hAnsi="Calibri"/>
          <w:color w:val="2D3748"/>
          <w:sz w:val="19"/>
        </w:rPr>
        <w:t xml:space="preserve"> Grabación en alta definición sustentando los requisitos del taller, el funcionamiento independiente de </w:t>
      </w:r>
      <w:r>
        <w:rPr>
          <w:rFonts w:ascii="Consolas" w:hAnsi="Consolas"/>
          <w:color w:val="0369A1"/>
          <w:sz w:val="17"/>
        </w:rPr>
        <w:t>pea_cli</w:t>
      </w:r>
      <w:r>
        <w:rPr>
          <w:rFonts w:ascii="Calibri" w:hAnsi="Calibri"/>
          <w:color w:val="2D3748"/>
          <w:sz w:val="19"/>
        </w:rPr>
        <w:t>, la API FastAPI, la interfaz React y la reversión de operaciones con la pila: [PRESENTACIÓN KHEMIA (YouTube)](https://www.youtube.com/watch?v=eezB3oZ3n2w&amp;t=12s).</w:t>
      </w:r>
    </w:p>
    <w:p>
      <w:pPr>
        <w:pStyle w:val="ListNumber"/>
        <w:spacing w:before="20" w:after="40"/>
      </w:pPr>
      <w:r>
        <w:rPr>
          <w:rFonts w:ascii="Calibri" w:hAnsi="Calibri"/>
          <w:b/>
          <w:color w:val="2D3748"/>
          <w:sz w:val="19"/>
        </w:rPr>
        <w:t>Versión en Vivo en Internet (Despliegue Web):</w:t>
      </w:r>
      <w:r>
        <w:rPr>
          <w:rFonts w:ascii="Calibri" w:hAnsi="Calibri"/>
          <w:color w:val="2D3748"/>
          <w:sz w:val="19"/>
        </w:rPr>
        <w:t xml:space="preserve"> Acceso público web operativo en [http://155.133.22.12/](http://155.133.22.12/).</w:t>
      </w:r>
    </w:p>
    <w:p>
      <w:pPr>
        <w:pStyle w:val="ListNumber"/>
        <w:spacing w:before="20" w:after="40"/>
      </w:pPr>
      <w:r>
        <w:rPr>
          <w:rFonts w:ascii="Calibri" w:hAnsi="Calibri"/>
          <w:b/>
          <w:color w:val="2D3748"/>
          <w:sz w:val="19"/>
        </w:rPr>
        <w:t>Copia de Seguridad de la Base de Datos (`docs/peai.bak`):</w:t>
      </w:r>
      <w:r>
        <w:rPr>
          <w:rFonts w:ascii="Calibri" w:hAnsi="Calibri"/>
          <w:color w:val="2D3748"/>
          <w:sz w:val="19"/>
        </w:rPr>
        <w:t xml:space="preserve"> Archivo de respaldo físico de Microsoft SQL Server para restauración directa.</w:t>
      </w:r>
    </w:p>
    <w:p>
      <w:pPr>
        <w:pStyle w:val="ListNumber"/>
        <w:spacing w:before="20" w:after="40"/>
      </w:pPr>
      <w:r>
        <w:rPr>
          <w:rFonts w:ascii="Calibri" w:hAnsi="Calibri"/>
          <w:b/>
          <w:color w:val="2D3748"/>
          <w:sz w:val="19"/>
        </w:rPr>
        <w:t>Correo de entrega institucional:</w:t>
      </w:r>
      <w:r>
        <w:rPr>
          <w:rFonts w:ascii="Calibri" w:hAnsi="Calibri"/>
          <w:color w:val="2D3748"/>
          <w:sz w:val="19"/>
        </w:rPr>
        <w:t xml:space="preserve"> Remisión formal a la coordinación docente (</w:t>
      </w:r>
      <w:r>
        <w:rPr>
          <w:rFonts w:ascii="Consolas" w:hAnsi="Consolas"/>
          <w:color w:val="0369A1"/>
          <w:sz w:val="17"/>
        </w:rPr>
        <w:t>adithperez@unicesar.edu.co</w:t>
      </w:r>
      <w:r>
        <w:rPr>
          <w:rFonts w:ascii="Calibri" w:hAnsi="Calibri"/>
          <w:color w:val="2D3748"/>
          <w:sz w:val="19"/>
        </w:rPr>
        <w:t>).</w:t>
      </w:r>
    </w:p>
    <w:p>
      <w:pPr>
        <w:pStyle w:val="Heading2"/>
        <w:spacing w:before="280" w:after="80"/>
      </w:pPr>
      <w:r>
        <w:rPr>
          <w:rFonts w:ascii="Arial" w:hAnsi="Arial"/>
          <w:b/>
          <w:color w:val="2B6CB0"/>
          <w:sz w:val="27"/>
        </w:rPr>
        <w:t>11. Diagramas y documentación técnica</w:t>
      </w:r>
    </w:p>
    <w:p>
      <w:pPr>
        <w:spacing w:before="40" w:after="80" w:line="276" w:lineRule="auto"/>
      </w:pPr>
      <w:r>
        <w:rPr>
          <w:rFonts w:ascii="Calibri" w:hAnsi="Calibri"/>
          <w:color w:val="1E293B"/>
          <w:sz w:val="20"/>
        </w:rPr>
        <w:t>La documentación del sistema incorpora los siguientes modelos formales:</w:t>
      </w:r>
    </w:p>
    <w:p>
      <w:pPr>
        <w:pStyle w:val="ListBullet"/>
        <w:spacing w:before="20" w:after="40"/>
        <w:ind w:left="360"/>
      </w:pPr>
      <w:r>
        <w:rPr>
          <w:rFonts w:ascii="Calibri" w:hAnsi="Calibri"/>
          <w:b/>
          <w:color w:val="2D3748"/>
          <w:sz w:val="19"/>
        </w:rPr>
        <w:t>Diagrama de Casos de Uso:</w:t>
      </w:r>
      <w:r>
        <w:rPr>
          <w:rFonts w:ascii="Calibri" w:hAnsi="Calibri"/>
          <w:color w:val="2D3748"/>
          <w:sz w:val="19"/>
        </w:rPr>
        <w:t xml:space="preserve"> Interacciones entre actores (Administrador, Gestor, Validador, Investigador, Público) y casos centrales del sistema.</w:t>
      </w:r>
    </w:p>
    <w:p>
      <w:pPr>
        <w:pStyle w:val="ListBullet"/>
        <w:spacing w:before="20" w:after="40"/>
        <w:ind w:left="360"/>
      </w:pPr>
      <w:r>
        <w:rPr>
          <w:rFonts w:ascii="Calibri" w:hAnsi="Calibri"/>
          <w:b/>
          <w:color w:val="2D3748"/>
          <w:sz w:val="19"/>
        </w:rPr>
        <w:t>Diagrama Entidad-Relación (ER):</w:t>
      </w:r>
      <w:r>
        <w:rPr>
          <w:rFonts w:ascii="Calibri" w:hAnsi="Calibri"/>
          <w:color w:val="2D3748"/>
          <w:sz w:val="19"/>
        </w:rPr>
        <w:t xml:space="preserve"> Modelo físico de 22 tablas (17 detalladas en el diagrama) con llaves primarias, foráneas, tipos y restricciones.</w:t>
      </w:r>
    </w:p>
    <w:p>
      <w:pPr>
        <w:pStyle w:val="ListBullet"/>
        <w:spacing w:before="20" w:after="40"/>
        <w:ind w:left="360"/>
      </w:pPr>
      <w:r>
        <w:rPr>
          <w:rFonts w:ascii="Calibri" w:hAnsi="Calibri"/>
          <w:b/>
          <w:color w:val="2D3748"/>
          <w:sz w:val="19"/>
        </w:rPr>
        <w:t>Diagrama de Clases C++:</w:t>
      </w:r>
      <w:r>
        <w:rPr>
          <w:rFonts w:ascii="Calibri" w:hAnsi="Calibri"/>
          <w:color w:val="2D3748"/>
          <w:sz w:val="19"/>
        </w:rPr>
        <w:t xml:space="preserve"> Relación estructural entre nodos dinámicos (</w:t>
      </w:r>
      <w:r>
        <w:rPr>
          <w:rFonts w:ascii="Consolas" w:hAnsi="Consolas"/>
          <w:color w:val="0369A1"/>
          <w:sz w:val="17"/>
        </w:rPr>
        <w:t>GroupNode</w:t>
      </w:r>
      <w:r>
        <w:rPr>
          <w:rFonts w:ascii="Calibri" w:hAnsi="Calibri"/>
          <w:color w:val="2D3748"/>
          <w:sz w:val="19"/>
        </w:rPr>
        <w:t xml:space="preserve">, </w:t>
      </w:r>
      <w:r>
        <w:rPr>
          <w:rFonts w:ascii="Consolas" w:hAnsi="Consolas"/>
          <w:color w:val="0369A1"/>
          <w:sz w:val="17"/>
        </w:rPr>
        <w:t>MembershipNode</w:t>
      </w:r>
      <w:r>
        <w:rPr>
          <w:rFonts w:ascii="Calibri" w:hAnsi="Calibri"/>
          <w:color w:val="2D3748"/>
          <w:sz w:val="19"/>
        </w:rPr>
        <w:t>, etc.), clases de entidad y servicios coordinadores.</w:t>
      </w:r>
    </w:p>
    <w:p>
      <w:pPr>
        <w:pStyle w:val="ListBullet"/>
        <w:spacing w:before="20" w:after="40"/>
        <w:ind w:left="360"/>
      </w:pPr>
      <w:r>
        <w:rPr>
          <w:rFonts w:ascii="Calibri" w:hAnsi="Calibri"/>
          <w:b/>
          <w:color w:val="2D3748"/>
          <w:sz w:val="19"/>
        </w:rPr>
        <w:t>Diagramas de Secuencia UML:</w:t>
      </w:r>
      <w:r>
        <w:rPr>
          <w:rFonts w:ascii="Calibri" w:hAnsi="Calibri"/>
          <w:color w:val="2D3748"/>
          <w:sz w:val="19"/>
        </w:rPr>
        <w:t xml:space="preserve"> Flujos detallados para creación write-through, importación de GrupLAC con deduplicación, validación FIFO y deshacer LIFO.</w:t>
      </w:r>
    </w:p>
    <w:p>
      <w:pPr>
        <w:pStyle w:val="ListBullet"/>
        <w:spacing w:before="20" w:after="40"/>
        <w:ind w:left="360"/>
      </w:pPr>
      <w:r>
        <w:rPr>
          <w:rFonts w:ascii="Calibri" w:hAnsi="Calibri"/>
          <w:b/>
          <w:color w:val="2D3748"/>
          <w:sz w:val="19"/>
        </w:rPr>
        <w:t>Diagrama de Despliegue:</w:t>
      </w:r>
      <w:r>
        <w:rPr>
          <w:rFonts w:ascii="Calibri" w:hAnsi="Calibri"/>
          <w:color w:val="2D3748"/>
          <w:sz w:val="19"/>
        </w:rPr>
        <w:t xml:space="preserve"> Topología física de ejecución de los procesos en local o en servidor.</w:t>
      </w:r>
    </w:p>
    <w:p>
      <w:pPr>
        <w:pStyle w:val="Heading2"/>
        <w:spacing w:before="280" w:after="80"/>
      </w:pPr>
      <w:r>
        <w:rPr>
          <w:rFonts w:ascii="Arial" w:hAnsi="Arial"/>
          <w:b/>
          <w:color w:val="2B6CB0"/>
          <w:sz w:val="27"/>
        </w:rPr>
        <w:t>12. Matriz de trazabilidad y pruebas</w:t>
      </w:r>
    </w:p>
    <w:p>
      <w:pPr>
        <w:spacing w:before="40" w:after="80" w:line="276" w:lineRule="auto"/>
      </w:pPr>
      <w:r>
        <w:rPr>
          <w:rFonts w:ascii="Calibri" w:hAnsi="Calibri"/>
          <w:color w:val="1E293B"/>
          <w:sz w:val="20"/>
        </w:rPr>
        <w:t>El aseguramiento de calidad del sistema se sustenta en tres capas de pruebas automatizadas:</w:t>
      </w:r>
    </w:p>
    <w:p>
      <w:pPr>
        <w:pStyle w:val="ListNumber"/>
        <w:spacing w:before="20" w:after="40"/>
      </w:pPr>
      <w:r>
        <w:rPr>
          <w:rFonts w:ascii="Calibri" w:hAnsi="Calibri"/>
          <w:b/>
          <w:color w:val="2D3748"/>
          <w:sz w:val="19"/>
        </w:rPr>
        <w:t>Pruebas de Estructuras en C++ (`pea_tests.exe`):</w:t>
      </w:r>
      <w:r>
        <w:rPr>
          <w:rFonts w:ascii="Calibri" w:hAnsi="Calibri"/>
          <w:color w:val="2D3748"/>
          <w:sz w:val="19"/>
        </w:rPr>
        <w:t xml:space="preserve"> 159 aserciones unitarias que verifican la correcta gestión de memoria, inserción en cabeza/cola, actualización de punteros ortogonales, aislamiento de cascadas de borrado, LIFO de la pila, FIFO de la cola y serialización round-trip en JSON.</w:t>
      </w:r>
    </w:p>
    <w:p>
      <w:pPr>
        <w:pStyle w:val="ListNumber"/>
        <w:spacing w:before="20" w:after="40"/>
      </w:pPr>
      <w:r>
        <w:rPr>
          <w:rFonts w:ascii="Calibri" w:hAnsi="Calibri"/>
          <w:b/>
          <w:color w:val="2D3748"/>
          <w:sz w:val="19"/>
        </w:rPr>
        <w:t>Pruebas Automatizadas de Backend en Python (`pytest`):</w:t>
      </w:r>
      <w:r>
        <w:rPr>
          <w:rFonts w:ascii="Calibri" w:hAnsi="Calibri"/>
          <w:color w:val="2D3748"/>
          <w:sz w:val="19"/>
        </w:rPr>
        <w:t xml:space="preserve"> 18 suites de pruebas con 160 tests automatizados (141 aprobados y 19 saltados por el gate de base de datos en la verificación más reciente) que cubren, entre otras:</w:t>
      </w:r>
    </w:p>
    <w:p>
      <w:pPr>
        <w:pStyle w:val="ListBullet"/>
        <w:spacing w:before="20" w:after="40"/>
        <w:ind w:left="720"/>
      </w:pPr>
      <w:r>
        <w:rPr>
          <w:rFonts w:ascii="Calibri" w:hAnsi="Calibri"/>
          <w:color w:val="2D3748"/>
          <w:sz w:val="19"/>
        </w:rPr>
        <w:t>Reglas de vinculación temporal RV-001 y RV-002 (</w:t>
      </w:r>
      <w:r>
        <w:rPr>
          <w:rFonts w:ascii="Consolas" w:hAnsi="Consolas"/>
          <w:color w:val="0369A1"/>
          <w:sz w:val="17"/>
        </w:rPr>
        <w:t>test_membership_rules.py</w:t>
      </w:r>
      <w:r>
        <w:rPr>
          <w:rFonts w:ascii="Calibri" w:hAnsi="Calibri"/>
          <w:color w:val="2D3748"/>
          <w:sz w:val="19"/>
        </w:rPr>
        <w:t>).</w:t>
      </w:r>
    </w:p>
    <w:p>
      <w:pPr>
        <w:pStyle w:val="ListBullet"/>
        <w:spacing w:before="20" w:after="40"/>
        <w:ind w:left="720"/>
      </w:pPr>
      <w:r>
        <w:rPr>
          <w:rFonts w:ascii="Calibri" w:hAnsi="Calibri"/>
          <w:color w:val="2D3748"/>
          <w:sz w:val="19"/>
        </w:rPr>
        <w:t>Lógica simétrica y no recursión de la pila de deshacer (</w:t>
      </w:r>
      <w:r>
        <w:rPr>
          <w:rFonts w:ascii="Consolas" w:hAnsi="Consolas"/>
          <w:color w:val="0369A1"/>
          <w:sz w:val="17"/>
        </w:rPr>
        <w:t>test_undo_logic.py</w:t>
      </w:r>
      <w:r>
        <w:rPr>
          <w:rFonts w:ascii="Calibri" w:hAnsi="Calibri"/>
          <w:color w:val="2D3748"/>
          <w:sz w:val="19"/>
        </w:rPr>
        <w:t>).</w:t>
      </w:r>
    </w:p>
    <w:p>
      <w:pPr>
        <w:pStyle w:val="ListBullet"/>
        <w:spacing w:before="20" w:after="40"/>
        <w:ind w:left="720"/>
      </w:pPr>
      <w:r>
        <w:rPr>
          <w:rFonts w:ascii="Calibri" w:hAnsi="Calibri"/>
          <w:color w:val="2D3748"/>
          <w:sz w:val="19"/>
        </w:rPr>
        <w:t>Paginación, búsqueda y filtros de la cola de validación (</w:t>
      </w:r>
      <w:r>
        <w:rPr>
          <w:rFonts w:ascii="Consolas" w:hAnsi="Consolas"/>
          <w:color w:val="0369A1"/>
          <w:sz w:val="17"/>
        </w:rPr>
        <w:t>test_validation_queue_pagination.py</w:t>
      </w:r>
      <w:r>
        <w:rPr>
          <w:rFonts w:ascii="Calibri" w:hAnsi="Calibri"/>
          <w:color w:val="2D3748"/>
          <w:sz w:val="19"/>
        </w:rPr>
        <w:t>).</w:t>
      </w:r>
    </w:p>
    <w:p>
      <w:pPr>
        <w:pStyle w:val="ListBullet"/>
        <w:spacing w:before="20" w:after="40"/>
        <w:ind w:left="720"/>
      </w:pPr>
      <w:r>
        <w:rPr>
          <w:rFonts w:ascii="Calibri" w:hAnsi="Calibri"/>
          <w:color w:val="2D3748"/>
          <w:sz w:val="19"/>
        </w:rPr>
        <w:t>Contratos y catálogos de la API 2024 (</w:t>
      </w:r>
      <w:r>
        <w:rPr>
          <w:rFonts w:ascii="Consolas" w:hAnsi="Consolas"/>
          <w:color w:val="0369A1"/>
          <w:sz w:val="17"/>
        </w:rPr>
        <w:t>test_catalog_2024.py</w:t>
      </w:r>
      <w:r>
        <w:rPr>
          <w:rFonts w:ascii="Calibri" w:hAnsi="Calibri"/>
          <w:color w:val="2D3748"/>
          <w:sz w:val="19"/>
        </w:rPr>
        <w:t>).</w:t>
      </w:r>
    </w:p>
    <w:p>
      <w:pPr>
        <w:pStyle w:val="ListBullet"/>
        <w:spacing w:before="20" w:after="40"/>
        <w:ind w:left="720"/>
      </w:pPr>
      <w:r>
        <w:rPr>
          <w:rFonts w:ascii="Calibri" w:hAnsi="Calibri"/>
          <w:color w:val="2D3748"/>
          <w:sz w:val="19"/>
        </w:rPr>
        <w:t>Idempotencia de scrapers GrupLAC y CvLAC con resolución de identificadores externos.</w:t>
      </w:r>
    </w:p>
    <w:p>
      <w:pPr>
        <w:pStyle w:val="ListBullet"/>
        <w:spacing w:before="20" w:after="40"/>
        <w:ind w:left="720"/>
      </w:pPr>
      <w:r>
        <w:rPr>
          <w:rFonts w:ascii="Calibri" w:hAnsi="Calibri"/>
          <w:color w:val="2D3748"/>
          <w:sz w:val="19"/>
        </w:rPr>
        <w:t>Diagnóstico y semáforo Minciencias 2024 (</w:t>
      </w:r>
      <w:r>
        <w:rPr>
          <w:rFonts w:ascii="Consolas" w:hAnsi="Consolas"/>
          <w:color w:val="0369A1"/>
          <w:sz w:val="17"/>
        </w:rPr>
        <w:t>test_minciencias_evaluator.py</w:t>
      </w:r>
      <w:r>
        <w:rPr>
          <w:rFonts w:ascii="Calibri" w:hAnsi="Calibri"/>
          <w:color w:val="2D3748"/>
          <w:sz w:val="19"/>
        </w:rPr>
        <w:t>).</w:t>
      </w:r>
    </w:p>
    <w:p>
      <w:pPr>
        <w:pStyle w:val="ListBullet"/>
        <w:spacing w:before="20" w:after="40"/>
        <w:ind w:left="720"/>
      </w:pPr>
      <w:r>
        <w:rPr>
          <w:rFonts w:ascii="Calibri" w:hAnsi="Calibri"/>
          <w:color w:val="2D3748"/>
          <w:sz w:val="19"/>
        </w:rPr>
        <w:t>Red de colaboración y analítica comparada (</w:t>
      </w:r>
      <w:r>
        <w:rPr>
          <w:rFonts w:ascii="Consolas" w:hAnsi="Consolas"/>
          <w:color w:val="0369A1"/>
          <w:sz w:val="17"/>
        </w:rPr>
        <w:t>test_collaboration_network.py</w:t>
      </w:r>
      <w:r>
        <w:rPr>
          <w:rFonts w:ascii="Calibri" w:hAnsi="Calibri"/>
          <w:color w:val="2D3748"/>
          <w:sz w:val="19"/>
        </w:rPr>
        <w:t xml:space="preserve">, </w:t>
      </w:r>
      <w:r>
        <w:rPr>
          <w:rFonts w:ascii="Consolas" w:hAnsi="Consolas"/>
          <w:color w:val="0369A1"/>
          <w:sz w:val="17"/>
        </w:rPr>
        <w:t>test_analytics_comparator.py</w:t>
      </w:r>
      <w:r>
        <w:rPr>
          <w:rFonts w:ascii="Calibri" w:hAnsi="Calibri"/>
          <w:color w:val="2D3748"/>
          <w:sz w:val="19"/>
        </w:rPr>
        <w:t>).</w:t>
      </w:r>
    </w:p>
    <w:p>
      <w:pPr>
        <w:pStyle w:val="ListBullet"/>
        <w:spacing w:before="20" w:after="40"/>
        <w:ind w:left="720"/>
      </w:pPr>
      <w:r>
        <w:rPr>
          <w:rFonts w:ascii="Calibri" w:hAnsi="Calibri"/>
          <w:color w:val="2D3748"/>
          <w:sz w:val="19"/>
        </w:rPr>
        <w:t>Dossier ejecutivo, informe PDF de grupo y exportadores CSV (</w:t>
      </w:r>
      <w:r>
        <w:rPr>
          <w:rFonts w:ascii="Consolas" w:hAnsi="Consolas"/>
          <w:color w:val="0369A1"/>
          <w:sz w:val="17"/>
        </w:rPr>
        <w:t>test_dossier_and_exports.py</w:t>
      </w:r>
      <w:r>
        <w:rPr>
          <w:rFonts w:ascii="Calibri" w:hAnsi="Calibri"/>
          <w:color w:val="2D3748"/>
          <w:sz w:val="19"/>
        </w:rPr>
        <w:t>).</w:t>
      </w:r>
    </w:p>
    <w:p>
      <w:pPr>
        <w:pStyle w:val="ListBullet"/>
        <w:spacing w:before="20" w:after="40"/>
        <w:ind w:left="720"/>
      </w:pPr>
      <w:r>
        <w:rPr>
          <w:rFonts w:ascii="Calibri" w:hAnsi="Calibri"/>
          <w:color w:val="2D3748"/>
          <w:sz w:val="19"/>
        </w:rPr>
        <w:t>Importadores de CSV y PDF con sus endpoints de vista previa y confirmación idempotente (</w:t>
      </w:r>
      <w:r>
        <w:rPr>
          <w:rFonts w:ascii="Consolas" w:hAnsi="Consolas"/>
          <w:color w:val="0369A1"/>
          <w:sz w:val="17"/>
        </w:rPr>
        <w:t>test_import_*.py</w:t>
      </w:r>
      <w:r>
        <w:rPr>
          <w:rFonts w:ascii="Calibri" w:hAnsi="Calibri"/>
          <w:color w:val="2D3748"/>
          <w:sz w:val="19"/>
        </w:rPr>
        <w:t>).</w:t>
      </w:r>
    </w:p>
    <w:p>
      <w:pPr>
        <w:pStyle w:val="ListNumber"/>
        <w:spacing w:before="20" w:after="40"/>
      </w:pPr>
      <w:r>
        <w:rPr>
          <w:rFonts w:ascii="Calibri" w:hAnsi="Calibri"/>
          <w:b/>
          <w:color w:val="2D3748"/>
          <w:sz w:val="19"/>
        </w:rPr>
        <w:t>Pruebas de Integración y End-to-End en Navegador:</w:t>
      </w:r>
      <w:r>
        <w:rPr>
          <w:rFonts w:ascii="Calibri" w:hAnsi="Calibri"/>
          <w:color w:val="2D3748"/>
          <w:sz w:val="19"/>
        </w:rPr>
        <w:t xml:space="preserve"> Verificación interactiva de flujos completos en la SPA de React.</w:t>
      </w:r>
    </w:p>
    <w:p>
      <w:pPr>
        <w:pStyle w:val="Heading2"/>
        <w:spacing w:before="280" w:after="80"/>
      </w:pPr>
      <w:r>
        <w:rPr>
          <w:rFonts w:ascii="Arial" w:hAnsi="Arial"/>
          <w:b/>
          <w:color w:val="2B6CB0"/>
          <w:sz w:val="27"/>
        </w:rPr>
        <w:t>13. Alcance obligatorio y complementario</w:t>
      </w:r>
    </w:p>
    <w:p>
      <w:pPr>
        <w:pStyle w:val="Heading3"/>
        <w:spacing w:before="200" w:after="60"/>
      </w:pPr>
      <w:r>
        <w:rPr>
          <w:rFonts w:ascii="Arial" w:hAnsi="Arial"/>
          <w:b/>
          <w:color w:val="0D9488"/>
          <w:sz w:val="23"/>
        </w:rPr>
        <w:t>13.1 Alcance Obligatorio (100% Cubierto)</w:t>
      </w:r>
    </w:p>
    <w:p>
      <w:pPr>
        <w:pStyle w:val="ListBullet"/>
        <w:spacing w:before="20" w:after="40"/>
        <w:ind w:left="360"/>
      </w:pPr>
      <w:r>
        <w:rPr>
          <w:rFonts w:ascii="Calibri" w:hAnsi="Calibri"/>
          <w:color w:val="2D3748"/>
          <w:sz w:val="19"/>
        </w:rPr>
        <w:t>CRUD completo sobre todas las entidades mediante estructuras dinámicas manuales.</w:t>
      </w:r>
    </w:p>
    <w:p>
      <w:pPr>
        <w:pStyle w:val="ListBullet"/>
        <w:spacing w:before="20" w:after="40"/>
        <w:ind w:left="360"/>
      </w:pPr>
      <w:r>
        <w:rPr>
          <w:rFonts w:ascii="Calibri" w:hAnsi="Calibri"/>
          <w:color w:val="2D3748"/>
          <w:sz w:val="19"/>
        </w:rPr>
        <w:t>Multilistas ortogonales para integrantes, productos, autores y planes.</w:t>
      </w:r>
    </w:p>
    <w:p>
      <w:pPr>
        <w:pStyle w:val="ListBullet"/>
        <w:spacing w:before="20" w:after="40"/>
        <w:ind w:left="360"/>
      </w:pPr>
      <w:r>
        <w:rPr>
          <w:rFonts w:ascii="Calibri" w:hAnsi="Calibri"/>
          <w:color w:val="2D3748"/>
          <w:sz w:val="19"/>
        </w:rPr>
        <w:t>Pila LIFO de operaciones con reversión de estado anterior.</w:t>
      </w:r>
    </w:p>
    <w:p>
      <w:pPr>
        <w:pStyle w:val="ListBullet"/>
        <w:spacing w:before="20" w:after="40"/>
        <w:ind w:left="360"/>
      </w:pPr>
      <w:r>
        <w:rPr>
          <w:rFonts w:ascii="Calibri" w:hAnsi="Calibri"/>
          <w:color w:val="2D3748"/>
          <w:sz w:val="19"/>
        </w:rPr>
        <w:t>Cola FIFO para validación técnica de evidencias.</w:t>
      </w:r>
    </w:p>
    <w:p>
      <w:pPr>
        <w:pStyle w:val="ListBullet"/>
        <w:spacing w:before="20" w:after="40"/>
        <w:ind w:left="360"/>
      </w:pPr>
      <w:r>
        <w:rPr>
          <w:rFonts w:ascii="Calibri" w:hAnsi="Calibri"/>
          <w:color w:val="2D3748"/>
          <w:sz w:val="19"/>
        </w:rPr>
        <w:t>Filtrado por ventana de observación temporal (2 años, 5 años, rango libre).</w:t>
      </w:r>
    </w:p>
    <w:p>
      <w:pPr>
        <w:pStyle w:val="ListBullet"/>
        <w:spacing w:before="20" w:after="40"/>
        <w:ind w:left="360"/>
      </w:pPr>
      <w:r>
        <w:rPr>
          <w:rFonts w:ascii="Calibri" w:hAnsi="Calibri"/>
          <w:color w:val="2D3748"/>
          <w:sz w:val="19"/>
        </w:rPr>
        <w:t>Persistencia en base de datos relacional y en archivo JSON.</w:t>
      </w:r>
    </w:p>
    <w:p>
      <w:pPr>
        <w:pStyle w:val="ListBullet"/>
        <w:spacing w:before="20" w:after="40"/>
        <w:ind w:left="360"/>
      </w:pPr>
      <w:r>
        <w:rPr>
          <w:rFonts w:ascii="Calibri" w:hAnsi="Calibri"/>
          <w:color w:val="2D3748"/>
          <w:sz w:val="19"/>
        </w:rPr>
        <w:t>Dos soluciones operables (C++ y Python).</w:t>
      </w:r>
    </w:p>
    <w:p>
      <w:pPr>
        <w:pStyle w:val="Heading3"/>
        <w:spacing w:before="200" w:after="60"/>
      </w:pPr>
      <w:r>
        <w:rPr>
          <w:rFonts w:ascii="Arial" w:hAnsi="Arial"/>
          <w:b/>
          <w:color w:val="0D9488"/>
          <w:sz w:val="23"/>
        </w:rPr>
        <w:t>13.2 Alcance Complementario Incorporado</w:t>
      </w:r>
    </w:p>
    <w:p>
      <w:pPr>
        <w:pStyle w:val="ListBullet"/>
        <w:spacing w:before="20" w:after="40"/>
        <w:ind w:left="360"/>
      </w:pPr>
      <w:r>
        <w:rPr>
          <w:rFonts w:ascii="Calibri" w:hAnsi="Calibri"/>
          <w:b/>
          <w:color w:val="2D3748"/>
          <w:sz w:val="19"/>
        </w:rPr>
        <w:t>Interoperabilidad nativa pybind11:</w:t>
      </w:r>
      <w:r>
        <w:rPr>
          <w:rFonts w:ascii="Calibri" w:hAnsi="Calibri"/>
          <w:color w:val="2D3748"/>
          <w:sz w:val="19"/>
        </w:rPr>
        <w:t xml:space="preserve"> Puente C++/Python sin duplicación de lógica ni almacenamiento paralelo.</w:t>
      </w:r>
    </w:p>
    <w:p>
      <w:pPr>
        <w:pStyle w:val="ListBullet"/>
        <w:spacing w:before="20" w:after="40"/>
        <w:ind w:left="360"/>
      </w:pPr>
      <w:r>
        <w:rPr>
          <w:rFonts w:ascii="Calibri" w:hAnsi="Calibri"/>
          <w:b/>
          <w:color w:val="2D3748"/>
          <w:sz w:val="19"/>
        </w:rPr>
        <w:t>Aplicación Web React Moderna:</w:t>
      </w:r>
      <w:r>
        <w:rPr>
          <w:rFonts w:ascii="Calibri" w:hAnsi="Calibri"/>
          <w:color w:val="2D3748"/>
          <w:sz w:val="19"/>
        </w:rPr>
        <w:t xml:space="preserve"> Interfaz con diseño profesional, animaciones sutiles, componentes de accesibilidad y visualizaciones interactivas.</w:t>
      </w:r>
    </w:p>
    <w:p>
      <w:pPr>
        <w:pStyle w:val="ListBullet"/>
        <w:spacing w:before="20" w:after="40"/>
        <w:ind w:left="360"/>
      </w:pPr>
      <w:r>
        <w:rPr>
          <w:rFonts w:ascii="Calibri" w:hAnsi="Calibri"/>
          <w:b/>
          <w:color w:val="2D3748"/>
          <w:sz w:val="19"/>
        </w:rPr>
        <w:t>Ingesta Automatizada desde Scienti:</w:t>
      </w:r>
      <w:r>
        <w:rPr>
          <w:rFonts w:ascii="Calibri" w:hAnsi="Calibri"/>
          <w:color w:val="2D3748"/>
          <w:sz w:val="19"/>
        </w:rPr>
        <w:t xml:space="preserve"> Scrapers especializados que parsean páginas de GrupLAC y CvLAC en vivo, extrayendo datos estructurados y enriqueciendo registros.</w:t>
      </w:r>
    </w:p>
    <w:p>
      <w:pPr>
        <w:pStyle w:val="ListBullet"/>
        <w:spacing w:before="20" w:after="40"/>
        <w:ind w:left="360"/>
      </w:pPr>
      <w:r>
        <w:rPr>
          <w:rFonts w:ascii="Calibri" w:hAnsi="Calibri"/>
          <w:b/>
          <w:color w:val="2D3748"/>
          <w:sz w:val="19"/>
        </w:rPr>
        <w:t>Generación de Reportes PDF Institucionales:</w:t>
      </w:r>
      <w:r>
        <w:rPr>
          <w:rFonts w:ascii="Calibri" w:hAnsi="Calibri"/>
          <w:color w:val="2D3748"/>
          <w:sz w:val="19"/>
        </w:rPr>
        <w:t xml:space="preserve"> Exportación directa de informes consolidados de grupo con formato formal de la UPC.</w:t>
      </w:r>
    </w:p>
    <w:p>
      <w:pPr>
        <w:pStyle w:val="ListBullet"/>
        <w:spacing w:before="20" w:after="40"/>
        <w:ind w:left="360"/>
      </w:pPr>
      <w:r>
        <w:rPr>
          <w:rFonts w:ascii="Calibri" w:hAnsi="Calibri"/>
          <w:b/>
          <w:color w:val="2D3748"/>
          <w:sz w:val="19"/>
        </w:rPr>
        <w:t>Historial de Auditoría Inmutable:</w:t>
      </w:r>
      <w:r>
        <w:rPr>
          <w:rFonts w:ascii="Calibri" w:hAnsi="Calibri"/>
          <w:color w:val="2D3748"/>
          <w:sz w:val="19"/>
        </w:rPr>
        <w:t xml:space="preserve"> Registro transaccional en tabla </w:t>
      </w:r>
      <w:r>
        <w:rPr>
          <w:rFonts w:ascii="Consolas" w:hAnsi="Consolas"/>
          <w:color w:val="0369A1"/>
          <w:sz w:val="17"/>
        </w:rPr>
        <w:t>AuditLog</w:t>
      </w:r>
      <w:r>
        <w:rPr>
          <w:rFonts w:ascii="Calibri" w:hAnsi="Calibri"/>
          <w:color w:val="2D3748"/>
          <w:sz w:val="19"/>
        </w:rPr>
        <w:t xml:space="preserve"> para control de cambios.</w:t>
      </w:r>
    </w:p>
    <w:p>
      <w:pPr>
        <w:pStyle w:val="Heading2"/>
        <w:spacing w:before="280" w:after="80"/>
      </w:pPr>
      <w:r>
        <w:rPr>
          <w:rFonts w:ascii="Arial" w:hAnsi="Arial"/>
          <w:b/>
          <w:color w:val="2B6CB0"/>
          <w:sz w:val="27"/>
        </w:rPr>
        <w:t>14. Estructura final del repositorio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sys_pea_integration/</w:t>
              <w:br/>
              <w:t>├── backend/                  # Solución Python (FastAPI) — D-01</w:t>
              <w:br/>
              <w:t>│   ├── app/</w:t>
              <w:br/>
              <w:t>│   │   ├── main.py           # Ciclo de vida y arranque FastAPI</w:t>
              <w:br/>
              <w:t>│   │   ├── config.py         # Configuración y conexión ODBC</w:t>
              <w:br/>
              <w:t>│   │   ├── models.py         # Modelos Pydantic de la API</w:t>
              <w:br/>
              <w:t>│   │   ├── api/              # v1.py + routers/ (86 rutas: groups, researchers, products,</w:t>
              <w:br/>
              <w:t>│   │   │                     #   projects, plans, imports, analytics, system)</w:t>
              <w:br/>
              <w:t>│   │   ├── repository.py     # Fachada que delega en abpoxx_pybind (sin SQL directo)</w:t>
              <w:br/>
              <w:t>│   │   ├── scraping/         # Pipeline GrupLAC modular (client, parser, normalizer,</w:t>
              <w:br/>
              <w:t>│   │   │                     #   commit_service, cvlac/); scraper.py y cvlac_scraper.py son</w:t>
              <w:br/>
              <w:t>│   │   │                     #   fachadas (excepción pyodbc documentada)</w:t>
              <w:br/>
              <w:t>│   │   ├── pdf_import/       # Importador PDF modular (T-13): extractor, basic_data,</w:t>
              <w:br/>
              <w:t>│   │   │                     #   members_projects, products; import_pdf.py es fachada</w:t>
              <w:br/>
              <w:t>│   │   ├── import_csv.py     # Importador CSV del dataset oficial datos.gov.co (T-12)</w:t>
              <w:br/>
              <w:t>│   │   ├── evaluator/        # Diagnóstico Minciencias 2024: tier_rules, product_classifier,</w:t>
              <w:br/>
              <w:t>│   │   │                     #   metrics_collector, helpers; minciencias_evaluator.py es fachada</w:t>
              <w:br/>
              <w:t>│   │   ├── repositories/     # Acceso a datos por dominio (groups, researchers, products,</w:t>
              <w:br/>
              <w:t>│   │   │                     #   projects, work_plans, validation_queue, undo, audit, analytics)</w:t>
              <w:br/>
              <w:t>│   │   ├── reporting/        # Informes institucionales: gruppac_pdf, executive_dossier_pdf,</w:t>
              <w:br/>
              <w:t>│   │   │                     #   csv_exporters, canvas, theme; reports.py es fachada</w:t>
              <w:br/>
              <w:t>│   │   ├── datos_abiertos.py / datos_abiertos_grupos.py  # Enriquecimiento datos.gov.co</w:t>
              <w:br/>
              <w:t>│   │   ├── analytics_comparator.py                       # Comparador analítico entre vistas</w:t>
              <w:br/>
              <w:t>│   │   └── abpoxx_pybind.pyd # Módulo binario compilado C++</w:t>
              <w:br/>
              <w:t>│   ├── tests/                # 18 suites pytest (160 pruebas; 141 en verde, 19 por gate de BD)</w:t>
              <w:br/>
              <w:t>│   └── requirements.txt</w:t>
              <w:br/>
              <w:t>├── core_cpp/                 # Solución C(C++) — estructuras de datos manuales (D-01)</w:t>
              <w:br/>
              <w:t>│   ├── include/</w:t>
              <w:br/>
              <w:t>│   │   ├── core.h            # Cabecera raíz de agregación</w:t>
              <w:br/>
              <w:t>│   │   ├── entities/         # Structs de nodos (group, researcher, membership, product, project)</w:t>
              <w:br/>
              <w:t>│   │   ├── services/         # group/researcher/product/project/work_plan service,</w:t>
              <w:br/>
              <w:t>│   │   │                     #   undo_stack (pila LIFO), validation_queue (cola FIFO)</w:t>
              <w:br/>
              <w:t>│   │   └── persistence/      # Cabeceras ODBC (db_persistence.h) y JSON (json_persistence.h)</w:t>
              <w:br/>
              <w:t>│   ├── src/</w:t>
              <w:br/>
              <w:t>│   │   ├── pea_cli.cpp       # CLI ejecutable autónomo (solución C independiente)</w:t>
              <w:br/>
              <w:t>│   │   ├── cli/              # Comandos CLI modulares y REPL interactivo</w:t>
              <w:br/>
              <w:t>│   │   ├── services/         # Implementación de listas, multilistas, pila y cola</w:t>
              <w:br/>
              <w:t>│   │   └── persistence/      # db_persistence.cpp + db/ (loader, saver, operations,</w:t>
              <w:br/>
              <w:t>│   │                         #   entity_sync, analytics, catalogs); json_persistence.cpp +</w:t>
              <w:br/>
              <w:t>│   │                         #   json/ (loader, exporter, common)</w:t>
              <w:br/>
              <w:t>│   ├── pybind/</w:t>
              <w:br/>
              <w:t>│   │   └── bindings.cpp      # Envolturas nativas pybind11 -&gt; abpoxx_pybind.pyd</w:t>
              <w:br/>
              <w:t>│   ├── tests/</w:t>
              <w:br/>
              <w:t>│   │   └── test_structures.cpp # 159 aserciones unitarias de memoria</w:t>
              <w:br/>
              <w:t>│   └── CMakeLists.txt</w:t>
              <w:br/>
              <w:t>├── database/                 # Scripts SQL y catálogos</w:t>
              <w:br/>
              <w:t>│   ├── catalog_2024.json     # Catálogo canónico 5 familias y 70 subtipos</w:t>
              <w:br/>
              <w:t>│   ├── init_schema.sql       # DDL de 22 tablas y restricciones</w:t>
              <w:br/>
              <w:t>│   ├── recreate_database.sql # Recreación limpia de BD peai</w:t>
              <w:br/>
              <w:t>│   └── seed_catalog_2024.py  # Script de siembra e idempotencia</w:t>
              <w:br/>
              <w:t>├── frontend/web-react/       # Aplicación Web SPA (React + TypeScript)</w:t>
              <w:br/>
              <w:t>│   ├── src/</w:t>
              <w:br/>
              <w:t>│   │   ├── features/         # Módulos: dashboard, groups, researchers, products, projects,</w:t>
              <w:br/>
              <w:t>│   │   │                     #   import, portal, undo, validation-queue, system, settings, errors</w:t>
              <w:br/>
              <w:t>│   │   └── components/       # Componentes shadcn/Tailwind (+ config, context, hooks, lib,</w:t>
              <w:br/>
              <w:t>│   │                         #   routes, stores, styles, test-utils)</w:t>
              <w:br/>
              <w:t>│   └── package.json</w:t>
              <w:br/>
              <w:t>├── docs/                     # Especificaciones y documentos de entrega</w:t>
              <w:br/>
              <w:t>│   ├── word/                 # Parcial2_WP-DN-EO.docx (generado desde esta SPEC)</w:t>
              <w:br/>
              <w:t>│   ├── guion_sustentacion_video_parcial2.md  # Guion cronometrado de la sustentacion (~10 min)</w:t>
              <w:br/>
              <w:t>│   ├── diagrams/             # 11 diagramas Mermaid + PNG + SVG + galería web</w:t>
              <w:br/>
              <w:t>│   ├── modelo-medicion-2024.md y catálogo oficial de pesos  # Referencia normativa</w:t>
              <w:br/>
              <w:t>│   └── PEA-i_Especificacion_Integral_Cumplimiento_Taller2.md  # Documento maestro (esta SPEC)</w:t>
              <w:br/>
              <w:t>├── pea_data.json             # Archivo JSON de entrega (12 colecciones completas)</w:t>
              <w:br/>
              <w:t>├── build_cpp.bat             # Script de compilación automática MSVC</w:t>
              <w:br/>
              <w:t>└── README.md                 # Guía de instalación, despliegue y solución de problemas</w:t>
            </w:r>
          </w:p>
        </w:tc>
      </w:tr>
    </w:tbl>
    <w:p>
      <w:pPr>
        <w:spacing w:before="0" w:after="120"/>
      </w:pPr>
    </w:p>
    <w:p>
      <w:pPr>
        <w:pStyle w:val="Heading2"/>
        <w:spacing w:before="280" w:after="80"/>
      </w:pPr>
      <w:r>
        <w:rPr>
          <w:rFonts w:ascii="Arial" w:hAnsi="Arial"/>
          <w:b/>
          <w:color w:val="2B6CB0"/>
          <w:sz w:val="27"/>
        </w:rPr>
        <w:t>15. Lista de comprobación de entrega</w:t>
      </w:r>
    </w:p>
    <w:p>
      <w:pPr>
        <w:pStyle w:val="ListBullet"/>
        <w:spacing w:before="20" w:after="40"/>
        <w:ind w:left="360"/>
      </w:pPr>
      <w:r>
        <w:rPr>
          <w:rFonts w:ascii="Calibri" w:hAnsi="Calibri"/>
          <w:color w:val="2D3748"/>
          <w:sz w:val="19"/>
        </w:rPr>
        <w:t xml:space="preserve">Núcleo C++ compila sin advertencias y ejecuta </w:t>
      </w:r>
      <w:r>
        <w:rPr>
          <w:rFonts w:ascii="Consolas" w:hAnsi="Consolas"/>
          <w:color w:val="0369A1"/>
          <w:sz w:val="17"/>
        </w:rPr>
        <w:t>pea_tests.exe</w:t>
      </w:r>
      <w:r>
        <w:rPr>
          <w:rFonts w:ascii="Calibri" w:hAnsi="Calibri"/>
          <w:color w:val="2D3748"/>
          <w:sz w:val="19"/>
        </w:rPr>
        <w:t xml:space="preserve"> con 159/159 pruebas en verde.</w:t>
      </w:r>
    </w:p>
    <w:p>
      <w:pPr>
        <w:pStyle w:val="ListBullet"/>
        <w:spacing w:before="20" w:after="40"/>
        <w:ind w:left="360"/>
      </w:pPr>
      <w:r>
        <w:rPr>
          <w:rFonts w:ascii="Calibri" w:hAnsi="Calibri"/>
          <w:color w:val="2D3748"/>
          <w:sz w:val="19"/>
        </w:rPr>
        <w:t xml:space="preserve">Ejecutable </w:t>
      </w:r>
      <w:r>
        <w:rPr>
          <w:rFonts w:ascii="Consolas" w:hAnsi="Consolas"/>
          <w:color w:val="0369A1"/>
          <w:sz w:val="17"/>
        </w:rPr>
        <w:t>pea_cli.exe</w:t>
      </w:r>
      <w:r>
        <w:rPr>
          <w:rFonts w:ascii="Calibri" w:hAnsi="Calibri"/>
          <w:color w:val="2D3748"/>
          <w:sz w:val="19"/>
        </w:rPr>
        <w:t xml:space="preserve"> corre de forma autónoma con todos los comandos de gestión, multilistas y resumen.</w:t>
      </w:r>
    </w:p>
    <w:p>
      <w:pPr>
        <w:pStyle w:val="ListBullet"/>
        <w:spacing w:before="20" w:after="40"/>
        <w:ind w:left="360"/>
      </w:pPr>
      <w:r>
        <w:rPr>
          <w:rFonts w:ascii="Calibri" w:hAnsi="Calibri"/>
          <w:color w:val="2D3748"/>
          <w:sz w:val="19"/>
        </w:rPr>
        <w:t xml:space="preserve">Módulo </w:t>
      </w:r>
      <w:r>
        <w:rPr>
          <w:rFonts w:ascii="Consolas" w:hAnsi="Consolas"/>
          <w:color w:val="0369A1"/>
          <w:sz w:val="17"/>
        </w:rPr>
        <w:t>abpoxx_pybind.pyd</w:t>
      </w:r>
      <w:r>
        <w:rPr>
          <w:rFonts w:ascii="Calibri" w:hAnsi="Calibri"/>
          <w:color w:val="2D3748"/>
          <w:sz w:val="19"/>
        </w:rPr>
        <w:t xml:space="preserve"> comunica el core C++ con FastAPI en tiempo real.</w:t>
      </w:r>
    </w:p>
    <w:p>
      <w:pPr>
        <w:pStyle w:val="ListBullet"/>
        <w:spacing w:before="20" w:after="40"/>
        <w:ind w:left="360"/>
      </w:pPr>
      <w:r>
        <w:rPr>
          <w:rFonts w:ascii="Calibri" w:hAnsi="Calibri"/>
          <w:color w:val="2D3748"/>
          <w:sz w:val="19"/>
        </w:rPr>
        <w:t xml:space="preserve">Backend FastAPI arranca sin errores y expone la documentación interactiva en </w:t>
      </w:r>
      <w:r>
        <w:rPr>
          <w:rFonts w:ascii="Consolas" w:hAnsi="Consolas"/>
          <w:color w:val="0369A1"/>
          <w:sz w:val="17"/>
        </w:rPr>
        <w:t>/docs</w:t>
      </w:r>
      <w:r>
        <w:rPr>
          <w:rFonts w:ascii="Calibri" w:hAnsi="Calibri"/>
          <w:color w:val="2D3748"/>
          <w:sz w:val="19"/>
        </w:rPr>
        <w:t>.</w:t>
      </w:r>
    </w:p>
    <w:p>
      <w:pPr>
        <w:pStyle w:val="ListBullet"/>
        <w:spacing w:before="20" w:after="40"/>
        <w:ind w:left="360"/>
      </w:pPr>
      <w:r>
        <w:rPr>
          <w:rFonts w:ascii="Calibri" w:hAnsi="Calibri"/>
          <w:color w:val="2D3748"/>
          <w:sz w:val="19"/>
        </w:rPr>
        <w:t>18 suites de backend (</w:t>
      </w:r>
      <w:r>
        <w:rPr>
          <w:rFonts w:ascii="Consolas" w:hAnsi="Consolas"/>
          <w:color w:val="0369A1"/>
          <w:sz w:val="17"/>
        </w:rPr>
        <w:t>pytest</w:t>
      </w:r>
      <w:r>
        <w:rPr>
          <w:rFonts w:ascii="Calibri" w:hAnsi="Calibri"/>
          <w:color w:val="2D3748"/>
          <w:sz w:val="19"/>
        </w:rPr>
        <w:t>) en verde: 141 pruebas aprobadas, 19 saltadas por el gate de BD (</w:t>
      </w:r>
      <w:r>
        <w:rPr>
          <w:rFonts w:ascii="Consolas" w:hAnsi="Consolas"/>
          <w:color w:val="0369A1"/>
          <w:sz w:val="17"/>
        </w:rPr>
        <w:t>PEAI_TEST_DB=1</w:t>
      </w:r>
      <w:r>
        <w:rPr>
          <w:rFonts w:ascii="Calibri" w:hAnsi="Calibri"/>
          <w:color w:val="2D3748"/>
          <w:sz w:val="19"/>
        </w:rPr>
        <w:t>) y 160 recolectadas en total.</w:t>
      </w:r>
    </w:p>
    <w:p>
      <w:pPr>
        <w:pStyle w:val="ListBullet"/>
        <w:spacing w:before="20" w:after="40"/>
        <w:ind w:left="360"/>
      </w:pPr>
      <w:r>
        <w:rPr>
          <w:rFonts w:ascii="Calibri" w:hAnsi="Calibri"/>
          <w:color w:val="2D3748"/>
          <w:sz w:val="19"/>
        </w:rPr>
        <w:t>Reglas RV-001 y RV-002 implementadas en código, con pruebas automáticas y validación en API (HTTP 400).</w:t>
      </w:r>
    </w:p>
    <w:p>
      <w:pPr>
        <w:pStyle w:val="ListBullet"/>
        <w:spacing w:before="20" w:after="40"/>
        <w:ind w:left="360"/>
      </w:pPr>
      <w:r>
        <w:rPr>
          <w:rFonts w:ascii="Calibri" w:hAnsi="Calibri"/>
          <w:color w:val="2D3748"/>
          <w:sz w:val="19"/>
        </w:rPr>
        <w:t>Exportador JSON escribe todos los 20 campos de productos y la colección completa de autores.</w:t>
      </w:r>
    </w:p>
    <w:p>
      <w:pPr>
        <w:pStyle w:val="ListBullet"/>
        <w:spacing w:before="20" w:after="40"/>
        <w:ind w:left="360"/>
      </w:pPr>
      <w:r>
        <w:rPr>
          <w:rFonts w:ascii="Calibri" w:hAnsi="Calibri"/>
          <w:color w:val="2D3748"/>
          <w:sz w:val="19"/>
        </w:rPr>
        <w:t xml:space="preserve">Archivo </w:t>
      </w:r>
      <w:r>
        <w:rPr>
          <w:rFonts w:ascii="Consolas" w:hAnsi="Consolas"/>
          <w:color w:val="0369A1"/>
          <w:sz w:val="17"/>
        </w:rPr>
        <w:t>pea_data.json</w:t>
      </w:r>
      <w:r>
        <w:rPr>
          <w:rFonts w:ascii="Calibri" w:hAnsi="Calibri"/>
          <w:color w:val="2D3748"/>
          <w:sz w:val="19"/>
        </w:rPr>
        <w:t xml:space="preserve"> generado con datos íntegros de persistencia.</w:t>
      </w:r>
    </w:p>
    <w:p>
      <w:pPr>
        <w:pStyle w:val="ListBullet"/>
        <w:spacing w:before="20" w:after="40"/>
        <w:ind w:left="360"/>
      </w:pPr>
      <w:r>
        <w:rPr>
          <w:rFonts w:ascii="Calibri" w:hAnsi="Calibri"/>
          <w:color w:val="2D3748"/>
          <w:sz w:val="19"/>
        </w:rPr>
        <w:t>Base de datos SQL Server configurada con 22 tablas físicas y 70 subtipos canónicos del catálogo 2024.</w:t>
      </w:r>
    </w:p>
    <w:p>
      <w:pPr>
        <w:pStyle w:val="ListBullet"/>
        <w:spacing w:before="20" w:after="40"/>
        <w:ind w:left="360"/>
      </w:pPr>
      <w:r>
        <w:rPr>
          <w:rFonts w:ascii="Calibri" w:hAnsi="Calibri"/>
          <w:color w:val="2D3748"/>
          <w:sz w:val="19"/>
        </w:rPr>
        <w:t>Frontend React compila y renderiza portal público con gráficos Recharts y dashboard administrativo.</w:t>
      </w:r>
    </w:p>
    <w:p>
      <w:pPr>
        <w:pStyle w:val="ListBullet"/>
        <w:spacing w:before="20" w:after="40"/>
        <w:ind w:left="360"/>
      </w:pPr>
      <w:r>
        <w:rPr>
          <w:rFonts w:ascii="Calibri" w:hAnsi="Calibri"/>
          <w:color w:val="2D3748"/>
          <w:sz w:val="19"/>
        </w:rPr>
        <w:t>Documento maestro actualizado para compilación del informe Word de entrega.</w:t>
      </w:r>
    </w:p>
    <w:p>
      <w:pPr>
        <w:pStyle w:val="Heading1"/>
        <w:spacing w:before="360" w:after="120"/>
      </w:pPr>
      <w:r>
        <w:rPr>
          <w:rFonts w:ascii="Arial" w:hAnsi="Arial"/>
          <w:b/>
          <w:color w:val="1A365D"/>
          <w:sz w:val="32"/>
        </w:rPr>
        <w:t>PARTE II. COBERTURA EXPLÍCITA DEL TALLER</w:t>
      </w:r>
    </w:p>
    <w:p>
      <w:pPr>
        <w:pStyle w:val="Heading2"/>
        <w:spacing w:before="280" w:after="80"/>
      </w:pPr>
      <w:r>
        <w:rPr>
          <w:rFonts w:ascii="Arial" w:hAnsi="Arial"/>
          <w:b/>
          <w:color w:val="2B6CB0"/>
          <w:sz w:val="27"/>
        </w:rPr>
        <w:t>26. Declaración de cumplimiento</w:t>
      </w:r>
    </w:p>
    <w:p>
      <w:pPr>
        <w:spacing w:before="40" w:after="80" w:line="276" w:lineRule="auto"/>
      </w:pPr>
      <w:r>
        <w:rPr>
          <w:rFonts w:ascii="Calibri" w:hAnsi="Calibri"/>
          <w:color w:val="1E293B"/>
          <w:sz w:val="20"/>
        </w:rPr>
        <w:t>La solución se diseñó para cumplir los requisitos obligatorios del Parcial 2 — bajo las decisiones de alcance registradas en la sección 26.1 — y, de forma separada, varios complementos. El cumplimiento se evaluará en tres niveles: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DISEÑADO      La función está especificada en este documento.</w:t>
              <w:br/>
              <w:t>IMPLEMENTADO  La función existe y puede ejecutarse.</w:t>
              <w:br/>
              <w:t>EVIDENCIADO   La función tiene prueba, captura, salida o demostración reproducible.</w:t>
            </w:r>
          </w:p>
        </w:tc>
      </w:tr>
    </w:tbl>
    <w:p>
      <w:pPr>
        <w:spacing w:before="0" w:after="120"/>
      </w:pPr>
    </w:p>
    <w:p>
      <w:pPr>
        <w:spacing w:before="40" w:after="80" w:line="276" w:lineRule="auto"/>
      </w:pPr>
      <w:r>
        <w:rPr>
          <w:rFonts w:ascii="Calibri" w:hAnsi="Calibri"/>
          <w:color w:val="1E293B"/>
          <w:sz w:val="20"/>
        </w:rPr>
        <w:t xml:space="preserve">Solo podrá afirmarse cumplimiento total cuando cada requisito obligatorio esté </w:t>
      </w:r>
      <w:r>
        <w:rPr>
          <w:rFonts w:ascii="Calibri" w:hAnsi="Calibri"/>
          <w:b/>
          <w:color w:val="1E293B"/>
          <w:sz w:val="20"/>
        </w:rPr>
        <w:t>diseñado, implementado y evidenciado</w:t>
      </w:r>
      <w:r>
        <w:rPr>
          <w:rFonts w:ascii="Calibri" w:hAnsi="Calibri"/>
          <w:color w:val="1E293B"/>
          <w:sz w:val="20"/>
        </w:rPr>
        <w:t>.</w:t>
      </w:r>
    </w:p>
    <w:p>
      <w:pPr>
        <w:pStyle w:val="Heading3"/>
        <w:spacing w:before="200" w:after="60"/>
      </w:pPr>
      <w:r>
        <w:rPr>
          <w:rFonts w:ascii="Arial" w:hAnsi="Arial"/>
          <w:b/>
          <w:color w:val="0D9488"/>
          <w:sz w:val="23"/>
        </w:rPr>
        <w:t>26.1 Decisiones de alcance del equipo (25 de septiembre de 2026)</w:t>
      </w:r>
    </w:p>
    <w:p>
      <w:pPr>
        <w:spacing w:before="40" w:after="80" w:line="276" w:lineRule="auto"/>
      </w:pPr>
      <w:r>
        <w:rPr>
          <w:rFonts w:ascii="Calibri" w:hAnsi="Calibri"/>
          <w:color w:val="1E293B"/>
          <w:sz w:val="20"/>
        </w:rPr>
        <w:t>El equipo adopta tres decisiones de alcance derivadas del enfoque de solución integrada. Cada una queda registrada con su justificación y el riesgo residual aceptado, para sustentarla en el documento Word y en el video de entrega.</w:t>
      </w:r>
    </w:p>
    <w:p>
      <w:pPr>
        <w:pStyle w:val="Heading4"/>
        <w:spacing w:before="160" w:after="40"/>
      </w:pPr>
      <w:r>
        <w:rPr>
          <w:rFonts w:ascii="Arial" w:hAnsi="Arial"/>
          <w:b/>
          <w:color w:val="2D3748"/>
          <w:sz w:val="21"/>
        </w:rPr>
        <w:t>D-01 — Las dos soluciones se entregan integradas en una sola aplicación</w:t>
      </w:r>
    </w:p>
    <w:p>
      <w:pPr>
        <w:spacing w:before="40" w:after="80" w:line="276" w:lineRule="auto"/>
      </w:pPr>
      <w:r>
        <w:rPr>
          <w:rFonts w:ascii="Calibri" w:hAnsi="Calibri"/>
          <w:b/>
          <w:color w:val="1E293B"/>
          <w:sz w:val="20"/>
        </w:rPr>
        <w:t>Decisión.</w:t>
      </w:r>
      <w:r>
        <w:rPr>
          <w:rFonts w:ascii="Calibri" w:hAnsi="Calibri"/>
          <w:color w:val="1E293B"/>
          <w:sz w:val="20"/>
        </w:rPr>
        <w:t xml:space="preserve"> No se entregan archivos independientes </w:t>
      </w:r>
      <w:r>
        <w:rPr>
          <w:rFonts w:ascii="Consolas" w:hAnsi="Consolas"/>
          <w:color w:val="0369A1"/>
          <w:sz w:val="17"/>
        </w:rPr>
        <w:t>ABPOXX.cpp</w:t>
      </w:r>
      <w:r>
        <w:rPr>
          <w:rFonts w:ascii="Calibri" w:hAnsi="Calibri"/>
          <w:color w:val="1E293B"/>
          <w:sz w:val="20"/>
        </w:rPr>
        <w:t xml:space="preserve"> y </w:t>
      </w:r>
      <w:r>
        <w:rPr>
          <w:rFonts w:ascii="Consolas" w:hAnsi="Consolas"/>
          <w:color w:val="0369A1"/>
          <w:sz w:val="17"/>
        </w:rPr>
        <w:t>ABPOXX.py</w:t>
      </w:r>
      <w:r>
        <w:rPr>
          <w:rFonts w:ascii="Calibri" w:hAnsi="Calibri"/>
          <w:color w:val="1E293B"/>
          <w:sz w:val="20"/>
        </w:rPr>
        <w:t xml:space="preserve"> (notas 1 y 8 del taller). Las dos soluciones exigidas existen y son ejecutables por separado, pero conviven en un único proyecto: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Solución C/C++   núcleo C++ (core_cpp) y CLI pea_cli, ejecutable autónomo.</w:t>
              <w:br/>
              <w:t>Solución Python  backend FastAPI (backend/app), ejecutable autónomo.</w:t>
              <w:br/>
              <w:t>Integración      pybind11 conecta ambas sin duplicar lógica.</w:t>
            </w:r>
          </w:p>
        </w:tc>
      </w:tr>
    </w:tbl>
    <w:p>
      <w:pPr>
        <w:spacing w:before="0" w:after="120"/>
      </w:pPr>
    </w:p>
    <w:p>
      <w:pPr>
        <w:spacing w:before="40" w:after="80" w:line="276" w:lineRule="auto"/>
      </w:pPr>
      <w:r>
        <w:rPr>
          <w:rFonts w:ascii="Calibri" w:hAnsi="Calibri"/>
          <w:b/>
          <w:color w:val="1E293B"/>
          <w:sz w:val="20"/>
        </w:rPr>
        <w:t>Justificación.</w:t>
      </w:r>
      <w:r>
        <w:rPr>
          <w:rFonts w:ascii="Calibri" w:hAnsi="Calibri"/>
          <w:color w:val="1E293B"/>
          <w:sz w:val="20"/>
        </w:rPr>
        <w:t xml:space="preserve"> El taller pide dos soluciones, una en C/C++ y otra en Python; no exige que sean aplicaciones aisladas ni que la lógica se duplique. La arquitectura entregada contiene ambas — el núcleo C++ con las estructuras de datos manuales y su CLI, y el backend Python con la API REST y la ingesta — comunicadas por interoperabilidad nativa, que además es el complemento (d) del punto 14 del taller. Integrarlas en una sola aplicación demuestra más capacidad, no menos: en el video se prueban las dos soluciones operando de forma independiente y también integradas.</w:t>
      </w:r>
    </w:p>
    <w:p>
      <w:pPr>
        <w:spacing w:before="40" w:after="80" w:line="276" w:lineRule="auto"/>
      </w:pPr>
      <w:r>
        <w:rPr>
          <w:rFonts w:ascii="Calibri" w:hAnsi="Calibri"/>
          <w:b/>
          <w:color w:val="1E293B"/>
          <w:sz w:val="20"/>
        </w:rPr>
        <w:t>Cobertura.</w:t>
      </w:r>
      <w:r>
        <w:rPr>
          <w:rFonts w:ascii="Calibri" w:hAnsi="Calibri"/>
          <w:color w:val="1E293B"/>
          <w:sz w:val="20"/>
        </w:rPr>
        <w:t xml:space="preserve"> T-01 y T-02 se cumplen con </w:t>
      </w:r>
      <w:r>
        <w:rPr>
          <w:rFonts w:ascii="Consolas" w:hAnsi="Consolas"/>
          <w:color w:val="0369A1"/>
          <w:sz w:val="17"/>
        </w:rPr>
        <w:t>pea_cli.exe</w:t>
      </w:r>
      <w:r>
        <w:rPr>
          <w:rFonts w:ascii="Calibri" w:hAnsi="Calibri"/>
          <w:color w:val="1E293B"/>
          <w:sz w:val="20"/>
        </w:rPr>
        <w:t xml:space="preserve"> y con el backend FastAPI respectivamente. La desviación se limita a la forma de entrega: proyecto modular en lugar de archivo único con iniciales.</w:t>
      </w:r>
    </w:p>
    <w:p>
      <w:pPr>
        <w:spacing w:before="40" w:after="80" w:line="276" w:lineRule="auto"/>
      </w:pPr>
      <w:r>
        <w:rPr>
          <w:rFonts w:ascii="Calibri" w:hAnsi="Calibri"/>
          <w:b/>
          <w:color w:val="1E293B"/>
          <w:sz w:val="20"/>
        </w:rPr>
        <w:t>Riesgo residual aceptado.</w:t>
      </w:r>
      <w:r>
        <w:rPr>
          <w:rFonts w:ascii="Calibri" w:hAnsi="Calibri"/>
          <w:color w:val="1E293B"/>
          <w:sz w:val="20"/>
        </w:rPr>
        <w:t xml:space="preserve"> Las notas de entrega piden explícitamente dos archivos de texto con las iniciales de los integrantes. El equipo argumentará que el repositorio modular sustituye ventajosamente al archivo único y que renombrarlo sería un cambio cosmético; el riesgo es que el docente exija el literal, y se acepta.</w:t>
      </w:r>
    </w:p>
    <w:p>
      <w:pPr>
        <w:pStyle w:val="Heading4"/>
        <w:spacing w:before="160" w:after="40"/>
      </w:pPr>
      <w:r>
        <w:rPr>
          <w:rFonts w:ascii="Arial" w:hAnsi="Arial"/>
          <w:b/>
          <w:color w:val="2D3748"/>
          <w:sz w:val="21"/>
        </w:rPr>
        <w:t>D-02 — El dashboard estadístico se entrega en la aplicación integrada (React)</w:t>
      </w:r>
    </w:p>
    <w:p>
      <w:pPr>
        <w:spacing w:before="40" w:after="80" w:line="276" w:lineRule="auto"/>
      </w:pPr>
      <w:r>
        <w:rPr>
          <w:rFonts w:ascii="Calibri" w:hAnsi="Calibri"/>
          <w:b/>
          <w:color w:val="1E293B"/>
          <w:sz w:val="20"/>
        </w:rPr>
        <w:t>Decisión.</w:t>
      </w:r>
      <w:r>
        <w:rPr>
          <w:rFonts w:ascii="Calibri" w:hAnsi="Calibri"/>
          <w:color w:val="1E293B"/>
          <w:sz w:val="20"/>
        </w:rPr>
        <w:t xml:space="preserve"> No se genera un dashboard matplotlib autónomo (</w:t>
      </w:r>
      <w:r>
        <w:rPr>
          <w:rFonts w:ascii="Consolas" w:hAnsi="Consolas"/>
          <w:color w:val="0369A1"/>
          <w:sz w:val="17"/>
        </w:rPr>
        <w:t>dashboard_report.html</w:t>
      </w:r>
      <w:r>
        <w:rPr>
          <w:rFonts w:ascii="Calibri" w:hAnsi="Calibri"/>
          <w:color w:val="1E293B"/>
          <w:sz w:val="20"/>
        </w:rPr>
        <w:t xml:space="preserve"> con PNGs). El dashboard con la información estadística, el histograma y los diagramas de barras vive en la aplicación web React, servida por la solución Python (FastAPI), con las agregaciones calculadas por el núcleo C++.</w:t>
      </w:r>
    </w:p>
    <w:p>
      <w:pPr>
        <w:spacing w:before="40" w:after="80" w:line="276" w:lineRule="auto"/>
      </w:pPr>
      <w:r>
        <w:rPr>
          <w:rFonts w:ascii="Calibri" w:hAnsi="Calibri"/>
          <w:b/>
          <w:color w:val="1E293B"/>
          <w:sz w:val="20"/>
        </w:rPr>
        <w:t>Justificación.</w:t>
      </w:r>
      <w:r>
        <w:rPr>
          <w:rFonts w:ascii="Calibri" w:hAnsi="Calibri"/>
          <w:color w:val="1E293B"/>
          <w:sz w:val="20"/>
        </w:rPr>
        <w:t xml:space="preserve"> El punto 12 del taller pide que en Python el programa muestre un DASHBOARD con la información estadística, histogramas y diagramas de barras, y el propio punto 12c admite que el usuario final utilice diferentes vistas. La cadena entregada cumple el espíritu del requisito de punta a punta: el núcleo C++ calcula los agregados, FastAPI los expone en </w:t>
      </w:r>
      <w:r>
        <w:rPr>
          <w:rFonts w:ascii="Consolas" w:hAnsi="Consolas"/>
          <w:color w:val="0369A1"/>
          <w:sz w:val="17"/>
        </w:rPr>
        <w:t>/api/v1/dashboard/stats</w:t>
      </w:r>
      <w:r>
        <w:rPr>
          <w:rFonts w:ascii="Calibri" w:hAnsi="Calibri"/>
          <w:color w:val="1E293B"/>
          <w:sz w:val="20"/>
        </w:rPr>
        <w:t xml:space="preserve"> y React los presenta como histograma de producción por año, distribución del estado de validación y barras de clasificación de grupos. Duplicar ese mismo análisis en PNGs con matplotlib añadiría un artefacto redundante sin valor analítico adicional.</w:t>
      </w:r>
    </w:p>
    <w:p>
      <w:pPr>
        <w:spacing w:before="40" w:after="80" w:line="276" w:lineRule="auto"/>
      </w:pPr>
      <w:r>
        <w:rPr>
          <w:rFonts w:ascii="Calibri" w:hAnsi="Calibri"/>
          <w:b/>
          <w:color w:val="1E293B"/>
          <w:sz w:val="20"/>
        </w:rPr>
        <w:t>Cobertura.</w:t>
      </w:r>
      <w:r>
        <w:rPr>
          <w:rFonts w:ascii="Calibri" w:hAnsi="Calibri"/>
          <w:color w:val="1E293B"/>
          <w:sz w:val="20"/>
        </w:rPr>
        <w:t xml:space="preserve"> T-29 y T-30/T-31/T-32 se cumplen en la aplicación integrada.</w:t>
      </w:r>
    </w:p>
    <w:p>
      <w:pPr>
        <w:spacing w:before="40" w:after="80" w:line="276" w:lineRule="auto"/>
      </w:pPr>
      <w:r>
        <w:rPr>
          <w:rFonts w:ascii="Calibri" w:hAnsi="Calibri"/>
          <w:b/>
          <w:color w:val="1E293B"/>
          <w:sz w:val="20"/>
        </w:rPr>
        <w:t>Riesgo residual aceptado.</w:t>
      </w:r>
      <w:r>
        <w:rPr>
          <w:rFonts w:ascii="Calibri" w:hAnsi="Calibri"/>
          <w:color w:val="1E293B"/>
          <w:sz w:val="20"/>
        </w:rPr>
        <w:t xml:space="preserve"> Si el docente exige un dashboard ejecutable sin navegador, el equipo añadirá un modo </w:t>
      </w:r>
      <w:r>
        <w:rPr>
          <w:rFonts w:ascii="Consolas" w:hAnsi="Consolas"/>
          <w:color w:val="0369A1"/>
          <w:sz w:val="17"/>
        </w:rPr>
        <w:t>dashboard</w:t>
      </w:r>
      <w:r>
        <w:rPr>
          <w:rFonts w:ascii="Calibri" w:hAnsi="Calibri"/>
          <w:color w:val="1E293B"/>
          <w:sz w:val="20"/>
        </w:rPr>
        <w:t xml:space="preserve"> en el backend que genere el HTML con matplotlib. Se registra como trabajo futuro de bajo costo, no como incumplimiento.</w:t>
      </w:r>
    </w:p>
    <w:p>
      <w:pPr>
        <w:pStyle w:val="Heading4"/>
        <w:spacing w:before="160" w:after="40"/>
      </w:pPr>
      <w:r>
        <w:rPr>
          <w:rFonts w:ascii="Arial" w:hAnsi="Arial"/>
          <w:b/>
          <w:color w:val="2D3748"/>
          <w:sz w:val="21"/>
        </w:rPr>
        <w:t>D-03 — (SUSTITUIDA) La ingesta se cumple por la ruta URL oficial (SCIENTI); PDF y CSV quedan descartados</w:t>
      </w:r>
    </w:p>
    <w:tbl>
      <w:tblPr>
        <w:tblW w:type="auto" w:w="0"/>
        <w:jc w:val="center"/>
        <w:tblLayout w:type="fixed"/>
        <w:tblLook w:firstColumn="1" w:firstRow="1" w:lastColumn="0" w:lastRow="0" w:noHBand="0" w:noVBand="1" w:val="04A0"/>
        <w:tblBorders>
          <w:top w:val="none"/>
          <w:left w:val="single" w:sz="24" w:space="0" w:color="0D9488"/>
          <w:bottom w:val="none"/>
          <w:right w:val="none"/>
          <w:insideH w:val="none"/>
          <w:insideV w:val="none"/>
        </w:tblBorders>
      </w:tblPr>
      <w:tblGrid>
        <w:gridCol w:w="9360"/>
      </w:tblGrid>
      <w:tr>
        <w:tc>
          <w:tcPr>
            <w:tcW w:type="dxa" w:w="9360"/>
            <w:shd w:fill="F0FDFA"/>
            <w:tcMar>
              <w:top w:w="110" w:type="dxa"/>
              <w:bottom w:w="110" w:type="dxa"/>
              <w:left w:w="150" w:type="dxa"/>
              <w:right w:w="140" w:type="dxa"/>
            </w:tcMar>
          </w:tcPr>
          <w:p>
            <w:pPr>
              <w:spacing w:before="0" w:after="40" w:line="276" w:lineRule="auto"/>
            </w:pPr>
            <w:r>
              <w:rPr>
                <w:rFonts w:ascii="Arial" w:hAnsi="Arial"/>
                <w:b/>
                <w:color w:val="0F766E"/>
                <w:sz w:val="19"/>
              </w:rPr>
              <w:t>NOTA DE SUSTITUCIÓN (2026-10).</w:t>
              <w:br/>
            </w:r>
            <w:r>
              <w:rPr>
                <w:rFonts w:ascii="Calibri" w:hAnsi="Calibri"/>
                <w:color w:val="134E4A"/>
                <w:sz w:val="18"/>
              </w:rPr>
              <w:t xml:space="preserve">Esta decisión quedó sustituida al implementarse los importadores de archivo exigidos por T-12/T-13. El texto original se conserva a continuación por trazabilidad. El estado vigente es: </w:t>
            </w:r>
            <w:r>
              <w:rPr>
                <w:rFonts w:ascii="Calibri" w:hAnsi="Calibri"/>
                <w:b/>
                <w:color w:val="134E4A"/>
                <w:sz w:val="18"/>
              </w:rPr>
              <w:t>CSV</w:t>
            </w:r>
            <w:r>
              <w:rPr>
                <w:rFonts w:ascii="Calibri" w:hAnsi="Calibri"/>
                <w:color w:val="134E4A"/>
                <w:sz w:val="18"/>
              </w:rPr>
              <w:t xml:space="preserve"> mediante el dataset oficial de MinCiencias en datos.gov.co (Socrata </w:t>
            </w:r>
            <w:r>
              <w:rPr>
                <w:rFonts w:ascii="Consolas" w:hAnsi="Consolas"/>
                <w:color w:val="0369A1"/>
                <w:sz w:val="17"/>
              </w:rPr>
              <w:t>hrhc-c4wu</w:t>
            </w:r>
            <w:r>
              <w:rPr>
                <w:rFonts w:ascii="Calibri" w:hAnsi="Calibri"/>
                <w:color w:val="134E4A"/>
                <w:sz w:val="18"/>
              </w:rPr>
              <w:t xml:space="preserve">, tope de 200 grupos por importación, enriquecimiento GrupLAC opcional resuelto por el buscador oficial) y </w:t>
            </w:r>
            <w:r>
              <w:rPr>
                <w:rFonts w:ascii="Calibri" w:hAnsi="Calibri"/>
                <w:b/>
                <w:color w:val="134E4A"/>
                <w:sz w:val="18"/>
              </w:rPr>
              <w:t>PDF</w:t>
            </w:r>
            <w:r>
              <w:rPr>
                <w:rFonts w:ascii="Calibri" w:hAnsi="Calibri"/>
                <w:color w:val="134E4A"/>
                <w:sz w:val="18"/>
              </w:rPr>
              <w:t xml:space="preserve"> estilo GrupLAC (el reporte que genera el propio sistema o una impresión del visor de Scienti), ambos con flujo de vista previa y confirmación en los endpoints </w:t>
            </w:r>
            <w:r>
              <w:rPr>
                <w:rFonts w:ascii="Consolas" w:hAnsi="Consolas"/>
                <w:color w:val="0369A1"/>
                <w:sz w:val="17"/>
              </w:rPr>
              <w:t>/groups/import/csv(/preview)</w:t>
            </w:r>
            <w:r>
              <w:rPr>
                <w:rFonts w:ascii="Calibri" w:hAnsi="Calibri"/>
                <w:color w:val="134E4A"/>
                <w:sz w:val="18"/>
              </w:rPr>
              <w:t xml:space="preserve"> y </w:t>
            </w:r>
            <w:r>
              <w:rPr>
                <w:rFonts w:ascii="Consolas" w:hAnsi="Consolas"/>
                <w:color w:val="0369A1"/>
                <w:sz w:val="17"/>
              </w:rPr>
              <w:t>/groups/import/pdf(/preview)</w:t>
            </w:r>
            <w:r>
              <w:rPr>
                <w:rFonts w:ascii="Calibri" w:hAnsi="Calibri"/>
                <w:color w:val="134E4A"/>
                <w:sz w:val="18"/>
              </w:rPr>
              <w:t>. Las trampas de identidad que motivaron la exclusión original quedaron resueltas: la resolución COL→nro se hace únicamente por el buscador oficial (nunca por heurística de dígitos) y un PDF sin código COL válido se rechaza con HTTP 400.</w:t>
            </w:r>
          </w:p>
        </w:tc>
      </w:tr>
    </w:tbl>
    <w:p>
      <w:pPr>
        <w:spacing w:before="0" w:after="120"/>
      </w:pPr>
    </w:p>
    <w:p>
      <w:pPr>
        <w:spacing w:before="40" w:after="80" w:line="276" w:lineRule="auto"/>
      </w:pPr>
      <w:r>
        <w:rPr>
          <w:rFonts w:ascii="Calibri" w:hAnsi="Calibri"/>
          <w:b/>
          <w:color w:val="1E293B"/>
          <w:sz w:val="20"/>
        </w:rPr>
        <w:t>Decisión (original, sustituida).</w:t>
      </w:r>
      <w:r>
        <w:rPr>
          <w:rFonts w:ascii="Calibri" w:hAnsi="Calibri"/>
          <w:color w:val="1E293B"/>
          <w:sz w:val="20"/>
        </w:rPr>
        <w:t xml:space="preserve"> No se implementan importadores de PDF ni de CSV. La capacidad de carga de datos se cumple por la vía que el propio taller declara principal: descargar desde SCIENTI por URL.</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GrupLAC        scraping del grupo completo con vista previa y confirmación.</w:t>
              <w:br/>
              <w:t>CvLAC         scraping del currículo del investigador por cod_rh.</w:t>
              <w:br/>
              <w:t>Scienti       buscador oficial de grupos con resolución del nro real de GrupLAC.</w:t>
              <w:br/>
              <w:t>Datos abiertos enriquecimiento desde datasets oficiales (datos.gov.co).</w:t>
              <w:br/>
              <w:t>pea_data.json importación y exportación del archivo de persistencia.</w:t>
            </w:r>
          </w:p>
        </w:tc>
      </w:tr>
    </w:tbl>
    <w:p>
      <w:pPr>
        <w:spacing w:before="0" w:after="120"/>
      </w:pPr>
    </w:p>
    <w:p>
      <w:pPr>
        <w:spacing w:before="40" w:after="80" w:line="276" w:lineRule="auto"/>
      </w:pPr>
      <w:r>
        <w:rPr>
          <w:rFonts w:ascii="Calibri" w:hAnsi="Calibri"/>
          <w:b/>
          <w:color w:val="1E293B"/>
          <w:sz w:val="20"/>
        </w:rPr>
        <w:t>Justificación.</w:t>
      </w:r>
      <w:r>
        <w:rPr>
          <w:rFonts w:ascii="Calibri" w:hAnsi="Calibri"/>
          <w:color w:val="1E293B"/>
          <w:sz w:val="20"/>
        </w:rPr>
        <w:t xml:space="preserve"> El punto 7 del taller es disyuntivo: los programas deben estar en capacidad de "descargar los datos desde una URL (...) </w:t>
      </w:r>
      <w:r>
        <w:rPr>
          <w:rFonts w:ascii="Calibri" w:hAnsi="Calibri"/>
          <w:b/>
          <w:color w:val="1E293B"/>
          <w:sz w:val="20"/>
        </w:rPr>
        <w:t>o</w:t>
      </w:r>
      <w:r>
        <w:rPr>
          <w:rFonts w:ascii="Calibri" w:hAnsi="Calibri"/>
          <w:color w:val="1E293B"/>
          <w:sz w:val="20"/>
        </w:rPr>
        <w:t xml:space="preserve"> procesar un archivo PDF </w:t>
      </w:r>
      <w:r>
        <w:rPr>
          <w:rFonts w:ascii="Calibri" w:hAnsi="Calibri"/>
          <w:b/>
          <w:color w:val="1E293B"/>
          <w:sz w:val="20"/>
        </w:rPr>
        <w:t>o</w:t>
      </w:r>
      <w:r>
        <w:rPr>
          <w:rFonts w:ascii="Calibri" w:hAnsi="Calibri"/>
          <w:color w:val="1E293B"/>
          <w:sz w:val="20"/>
        </w:rPr>
        <w:t xml:space="preserve"> un archivo CSV". Las tres alternativas son equivalentes entre sí y el enunciado declara canónica la primera — la información de investigación "descargada desde el SCIENTI" (párrafo introductorio). Se implementó la ruta oficial en su totalidad; un PDF o un CSV es una copia degradada de esa misma fuente. Además, la carga desde archivo sí existe en el proyecto: las notas 9 y 10 del taller (persistencia en archivo y decisión de cargar el archivo o ejecutar sin datos) se cumplen con </w:t>
      </w:r>
      <w:r>
        <w:rPr>
          <w:rFonts w:ascii="Consolas" w:hAnsi="Consolas"/>
          <w:color w:val="0369A1"/>
          <w:sz w:val="17"/>
        </w:rPr>
        <w:t>pea_data.json</w:t>
      </w:r>
      <w:r>
        <w:rPr>
          <w:rFonts w:ascii="Calibri" w:hAnsi="Calibri"/>
          <w:color w:val="1E293B"/>
          <w:sz w:val="20"/>
        </w:rPr>
        <w:t xml:space="preserve"> y los endpoints </w:t>
      </w:r>
      <w:r>
        <w:rPr>
          <w:rFonts w:ascii="Consolas" w:hAnsi="Consolas"/>
          <w:color w:val="0369A1"/>
          <w:sz w:val="17"/>
        </w:rPr>
        <w:t>/system/initialize/file</w:t>
      </w:r>
      <w:r>
        <w:rPr>
          <w:rFonts w:ascii="Calibri" w:hAnsi="Calibri"/>
          <w:color w:val="1E293B"/>
          <w:sz w:val="20"/>
        </w:rPr>
        <w:t xml:space="preserve"> y </w:t>
      </w:r>
      <w:r>
        <w:rPr>
          <w:rFonts w:ascii="Consolas" w:hAnsi="Consolas"/>
          <w:color w:val="0369A1"/>
          <w:sz w:val="17"/>
        </w:rPr>
        <w:t>/system/export</w:t>
      </w:r>
      <w:r>
        <w:rPr>
          <w:rFonts w:ascii="Calibri" w:hAnsi="Calibri"/>
          <w:color w:val="1E293B"/>
          <w:sz w:val="20"/>
        </w:rPr>
        <w:t>.</w:t>
      </w:r>
    </w:p>
    <w:p>
      <w:pPr>
        <w:spacing w:before="40" w:after="80" w:line="276" w:lineRule="auto"/>
      </w:pPr>
      <w:r>
        <w:rPr>
          <w:rFonts w:ascii="Calibri" w:hAnsi="Calibri"/>
          <w:b/>
          <w:color w:val="1E293B"/>
          <w:sz w:val="20"/>
        </w:rPr>
        <w:t>Cobertura.</w:t>
      </w:r>
      <w:r>
        <w:rPr>
          <w:rFonts w:ascii="Calibri" w:hAnsi="Calibri"/>
          <w:color w:val="1E293B"/>
          <w:sz w:val="20"/>
        </w:rPr>
        <w:t xml:space="preserve"> T-11 cubierto e implementado; T-12 y T-13 descartados por esta decisión.</w:t>
      </w:r>
    </w:p>
    <w:p>
      <w:pPr>
        <w:spacing w:before="40" w:after="80" w:line="276" w:lineRule="auto"/>
      </w:pPr>
      <w:r>
        <w:rPr>
          <w:rFonts w:ascii="Calibri" w:hAnsi="Calibri"/>
          <w:b/>
          <w:color w:val="1E293B"/>
          <w:sz w:val="20"/>
        </w:rPr>
        <w:t>Riesgo residual aceptado.</w:t>
      </w:r>
      <w:r>
        <w:rPr>
          <w:rFonts w:ascii="Calibri" w:hAnsi="Calibri"/>
          <w:color w:val="1E293B"/>
          <w:sz w:val="20"/>
        </w:rPr>
        <w:t xml:space="preserve"> Ningún requisito obligatorio queda sin ruta de carga de datos. El riesgo se limita a la interpretación del "o" del punto 7, que el equipo defenderá en la sustentación.</w:t>
      </w:r>
    </w:p>
    <w:p>
      <w:pPr>
        <w:pStyle w:val="Heading2"/>
        <w:spacing w:before="280" w:after="80"/>
      </w:pPr>
      <w:r>
        <w:rPr>
          <w:rFonts w:ascii="Arial" w:hAnsi="Arial"/>
          <w:b/>
          <w:color w:val="2B6CB0"/>
          <w:sz w:val="27"/>
        </w:rPr>
        <w:t>27. Interpretación de las dos soluciones</w:t>
      </w:r>
    </w:p>
    <w:p>
      <w:pPr>
        <w:spacing w:before="40" w:after="80" w:line="276" w:lineRule="auto"/>
      </w:pPr>
      <w:r>
        <w:rPr>
          <w:rFonts w:ascii="Calibri" w:hAnsi="Calibri"/>
          <w:color w:val="1E293B"/>
          <w:sz w:val="20"/>
        </w:rPr>
        <w:t>El taller solicita una solución en C/C++ y otra en Python. Conforme a la decisión D-01, el proyecto contiene ambas soluciones — ejecutables de forma independiente e integradas en una sola entrega:</w:t>
      </w:r>
    </w:p>
    <w:p>
      <w:pPr>
        <w:pStyle w:val="Heading3"/>
        <w:spacing w:before="200" w:after="60"/>
      </w:pPr>
      <w:r>
        <w:rPr>
          <w:rFonts w:ascii="Arial" w:hAnsi="Arial"/>
          <w:b/>
          <w:color w:val="0D9488"/>
          <w:sz w:val="23"/>
        </w:rPr>
        <w:t>27.1 Solución C++</w:t>
      </w:r>
    </w:p>
    <w:p>
      <w:pPr>
        <w:spacing w:before="40" w:after="80" w:line="276" w:lineRule="auto"/>
      </w:pPr>
      <w:r>
        <w:rPr>
          <w:rFonts w:ascii="Calibri" w:hAnsi="Calibri"/>
          <w:color w:val="1E293B"/>
          <w:sz w:val="20"/>
        </w:rPr>
        <w:t>Código: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core_cpp/   núcleo con las estructuras manuales + CLI</w:t>
            </w:r>
          </w:p>
        </w:tc>
      </w:tr>
    </w:tbl>
    <w:p>
      <w:pPr>
        <w:spacing w:before="0" w:after="120"/>
      </w:pPr>
    </w:p>
    <w:p>
      <w:pPr>
        <w:spacing w:before="40" w:after="80" w:line="276" w:lineRule="auto"/>
      </w:pPr>
      <w:r>
        <w:rPr>
          <w:rFonts w:ascii="Calibri" w:hAnsi="Calibri"/>
          <w:color w:val="1E293B"/>
          <w:sz w:val="20"/>
        </w:rPr>
        <w:t>Ejecutable:</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pea_cli.exe</w:t>
            </w:r>
          </w:p>
        </w:tc>
      </w:tr>
    </w:tbl>
    <w:p>
      <w:pPr>
        <w:spacing w:before="0" w:after="120"/>
      </w:pPr>
    </w:p>
    <w:p>
      <w:pPr>
        <w:spacing w:before="40" w:after="80" w:line="276" w:lineRule="auto"/>
      </w:pPr>
      <w:r>
        <w:rPr>
          <w:rFonts w:ascii="Calibri" w:hAnsi="Calibri"/>
          <w:color w:val="1E293B"/>
          <w:sz w:val="20"/>
        </w:rPr>
        <w:t>Responsabilidades:</w:t>
      </w:r>
    </w:p>
    <w:p>
      <w:pPr>
        <w:pStyle w:val="ListBullet"/>
        <w:spacing w:before="20" w:after="40"/>
        <w:ind w:left="360"/>
      </w:pPr>
      <w:r>
        <w:rPr>
          <w:rFonts w:ascii="Calibri" w:hAnsi="Calibri"/>
          <w:color w:val="2D3748"/>
          <w:sz w:val="19"/>
        </w:rPr>
        <w:t>Cargar información desde SQL Server o archivo JSON.</w:t>
      </w:r>
    </w:p>
    <w:p>
      <w:pPr>
        <w:pStyle w:val="ListBullet"/>
        <w:spacing w:before="20" w:after="40"/>
        <w:ind w:left="360"/>
      </w:pPr>
      <w:r>
        <w:rPr>
          <w:rFonts w:ascii="Calibri" w:hAnsi="Calibri"/>
          <w:color w:val="2D3748"/>
          <w:sz w:val="19"/>
        </w:rPr>
        <w:t>Iniciar sin datos cuando el usuario lo seleccione.</w:t>
      </w:r>
    </w:p>
    <w:p>
      <w:pPr>
        <w:pStyle w:val="ListBullet"/>
        <w:spacing w:before="20" w:after="40"/>
        <w:ind w:left="360"/>
      </w:pPr>
      <w:r>
        <w:rPr>
          <w:rFonts w:ascii="Calibri" w:hAnsi="Calibri"/>
          <w:color w:val="2D3748"/>
          <w:sz w:val="19"/>
        </w:rPr>
        <w:t>Gestionar grupos, investigadores y productos.</w:t>
      </w:r>
    </w:p>
    <w:p>
      <w:pPr>
        <w:pStyle w:val="ListBullet"/>
        <w:spacing w:before="20" w:after="40"/>
        <w:ind w:left="360"/>
      </w:pPr>
      <w:r>
        <w:rPr>
          <w:rFonts w:ascii="Calibri" w:hAnsi="Calibri"/>
          <w:color w:val="2D3748"/>
          <w:sz w:val="19"/>
        </w:rPr>
        <w:t>Ejecutar CRUD sobre las estructuras.</w:t>
      </w:r>
    </w:p>
    <w:p>
      <w:pPr>
        <w:pStyle w:val="ListBullet"/>
        <w:spacing w:before="20" w:after="40"/>
        <w:ind w:left="360"/>
      </w:pPr>
      <w:r>
        <w:rPr>
          <w:rFonts w:ascii="Calibri" w:hAnsi="Calibri"/>
          <w:color w:val="2D3748"/>
          <w:sz w:val="19"/>
        </w:rPr>
        <w:t>Mostrar resúmenes, tablas y números.</w:t>
      </w:r>
    </w:p>
    <w:p>
      <w:pPr>
        <w:pStyle w:val="ListBullet"/>
        <w:spacing w:before="20" w:after="40"/>
        <w:ind w:left="360"/>
      </w:pPr>
      <w:r>
        <w:rPr>
          <w:rFonts w:ascii="Calibri" w:hAnsi="Calibri"/>
          <w:color w:val="2D3748"/>
          <w:sz w:val="19"/>
        </w:rPr>
        <w:t>Recorrer listas y multilistas.</w:t>
      </w:r>
    </w:p>
    <w:p>
      <w:pPr>
        <w:pStyle w:val="ListBullet"/>
        <w:spacing w:before="20" w:after="40"/>
        <w:ind w:left="360"/>
      </w:pPr>
      <w:r>
        <w:rPr>
          <w:rFonts w:ascii="Calibri" w:hAnsi="Calibri"/>
          <w:color w:val="2D3748"/>
          <w:sz w:val="19"/>
        </w:rPr>
        <w:t>Consultar la pila de operaciones.</w:t>
      </w:r>
    </w:p>
    <w:p>
      <w:pPr>
        <w:pStyle w:val="ListBullet"/>
        <w:spacing w:before="20" w:after="40"/>
        <w:ind w:left="360"/>
      </w:pPr>
      <w:r>
        <w:rPr>
          <w:rFonts w:ascii="Calibri" w:hAnsi="Calibri"/>
          <w:color w:val="2D3748"/>
          <w:sz w:val="19"/>
        </w:rPr>
        <w:t>Consultar y procesar la cola de validación.</w:t>
      </w:r>
    </w:p>
    <w:p>
      <w:pPr>
        <w:pStyle w:val="ListBullet"/>
        <w:spacing w:before="20" w:after="40"/>
        <w:ind w:left="360"/>
      </w:pPr>
      <w:r>
        <w:rPr>
          <w:rFonts w:ascii="Calibri" w:hAnsi="Calibri"/>
          <w:color w:val="2D3748"/>
          <w:sz w:val="19"/>
        </w:rPr>
        <w:t>Exportar el estado a archivo JSON.</w:t>
      </w:r>
    </w:p>
    <w:p>
      <w:pPr>
        <w:pStyle w:val="Heading3"/>
        <w:spacing w:before="200" w:after="60"/>
      </w:pPr>
      <w:r>
        <w:rPr>
          <w:rFonts w:ascii="Arial" w:hAnsi="Arial"/>
          <w:b/>
          <w:color w:val="0D9488"/>
          <w:sz w:val="23"/>
        </w:rPr>
        <w:t>27.2 Solución Python</w:t>
      </w:r>
    </w:p>
    <w:p>
      <w:pPr>
        <w:spacing w:before="40" w:after="80" w:line="276" w:lineRule="auto"/>
      </w:pPr>
      <w:r>
        <w:rPr>
          <w:rFonts w:ascii="Calibri" w:hAnsi="Calibri"/>
          <w:color w:val="1E293B"/>
          <w:sz w:val="20"/>
        </w:rPr>
        <w:t>Código: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backend/app/   FastAPI + scraping + estadísticas</w:t>
            </w:r>
          </w:p>
        </w:tc>
      </w:tr>
    </w:tbl>
    <w:p>
      <w:pPr>
        <w:spacing w:before="0" w:after="120"/>
      </w:pPr>
    </w:p>
    <w:p>
      <w:pPr>
        <w:spacing w:before="40" w:after="80" w:line="276" w:lineRule="auto"/>
      </w:pPr>
      <w:r>
        <w:rPr>
          <w:rFonts w:ascii="Calibri" w:hAnsi="Calibri"/>
          <w:color w:val="1E293B"/>
          <w:sz w:val="20"/>
        </w:rPr>
        <w:t>Ejecución:</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python -m uvicorn app.main:app --host 127.0.0.1 --port 8000</w:t>
            </w:r>
          </w:p>
        </w:tc>
      </w:tr>
    </w:tbl>
    <w:p>
      <w:pPr>
        <w:spacing w:before="0" w:after="120"/>
      </w:pPr>
    </w:p>
    <w:p>
      <w:pPr>
        <w:spacing w:before="40" w:after="80" w:line="276" w:lineRule="auto"/>
      </w:pPr>
      <w:r>
        <w:rPr>
          <w:rFonts w:ascii="Calibri" w:hAnsi="Calibri"/>
          <w:color w:val="1E293B"/>
          <w:sz w:val="20"/>
        </w:rPr>
        <w:t>Responsabilidades:</w:t>
      </w:r>
    </w:p>
    <w:p>
      <w:pPr>
        <w:pStyle w:val="ListBullet"/>
        <w:spacing w:before="20" w:after="40"/>
        <w:ind w:left="360"/>
      </w:pPr>
      <w:r>
        <w:rPr>
          <w:rFonts w:ascii="Calibri" w:hAnsi="Calibri"/>
          <w:color w:val="2D3748"/>
          <w:sz w:val="19"/>
        </w:rPr>
        <w:t>Ejecutar FastAPI y exponer la API REST.</w:t>
      </w:r>
    </w:p>
    <w:p>
      <w:pPr>
        <w:pStyle w:val="ListBullet"/>
        <w:spacing w:before="20" w:after="40"/>
        <w:ind w:left="360"/>
      </w:pPr>
      <w:r>
        <w:rPr>
          <w:rFonts w:ascii="Calibri" w:hAnsi="Calibri"/>
          <w:color w:val="2D3748"/>
          <w:sz w:val="19"/>
        </w:rPr>
        <w:t>Importar desde URL: GrupLAC, CvLAC, buscador Scienti y datos abiertos (D-03); y por archivo: CSV del dataset oficial y PDF estilo GrupLAC, con vista previa y confirmación (D-03 sustituida).</w:t>
      </w:r>
    </w:p>
    <w:p>
      <w:pPr>
        <w:pStyle w:val="ListBullet"/>
        <w:spacing w:before="20" w:after="40"/>
        <w:ind w:left="360"/>
      </w:pPr>
      <w:r>
        <w:rPr>
          <w:rFonts w:ascii="Calibri" w:hAnsi="Calibri"/>
          <w:color w:val="2D3748"/>
          <w:sz w:val="19"/>
        </w:rPr>
        <w:t xml:space="preserve">Servir las estadísticas del dashboard vía </w:t>
      </w:r>
      <w:r>
        <w:rPr>
          <w:rFonts w:ascii="Consolas" w:hAnsi="Consolas"/>
          <w:color w:val="0369A1"/>
          <w:sz w:val="17"/>
        </w:rPr>
        <w:t>/api/v1/dashboard/stats</w:t>
      </w:r>
      <w:r>
        <w:rPr>
          <w:rFonts w:ascii="Calibri" w:hAnsi="Calibri"/>
          <w:color w:val="2D3748"/>
          <w:sz w:val="19"/>
        </w:rPr>
        <w:t>, con agregaciones calculadas por el núcleo C++.</w:t>
      </w:r>
    </w:p>
    <w:p>
      <w:pPr>
        <w:pStyle w:val="ListBullet"/>
        <w:spacing w:before="20" w:after="40"/>
        <w:ind w:left="360"/>
      </w:pPr>
      <w:r>
        <w:rPr>
          <w:rFonts w:ascii="Calibri" w:hAnsi="Calibri"/>
          <w:color w:val="2D3748"/>
          <w:sz w:val="19"/>
        </w:rPr>
        <w:t>Consumir el núcleo C++ mediante pybind11 (interoperabilidad nativa).</w:t>
      </w:r>
    </w:p>
    <w:p>
      <w:pPr>
        <w:pStyle w:val="Heading3"/>
        <w:spacing w:before="200" w:after="60"/>
      </w:pPr>
      <w:r>
        <w:rPr>
          <w:rFonts w:ascii="Arial" w:hAnsi="Arial"/>
          <w:b/>
          <w:color w:val="0D9488"/>
          <w:sz w:val="23"/>
        </w:rPr>
        <w:t>27.3 Aplicación integrada</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React</w:t>
              <w:br/>
              <w:t xml:space="preserve">   ↓ HTTP/JSON</w:t>
              <w:br/>
              <w:t>FastAPI</w:t>
              <w:br/>
              <w:t xml:space="preserve">   ↓ llamada nativa</w:t>
              <w:br/>
              <w:t>pybind11</w:t>
              <w:br/>
              <w:t xml:space="preserve">   ↓</w:t>
              <w:br/>
              <w:t>Núcleo C++</w:t>
              <w:br/>
              <w:t xml:space="preserve">   ↓</w:t>
              <w:br/>
              <w:t>SQL Server</w:t>
            </w:r>
          </w:p>
        </w:tc>
      </w:tr>
    </w:tbl>
    <w:p>
      <w:pPr>
        <w:spacing w:before="0" w:after="120"/>
      </w:pPr>
    </w:p>
    <w:p>
      <w:pPr>
        <w:spacing w:before="40" w:after="80" w:line="276" w:lineRule="auto"/>
      </w:pPr>
      <w:r>
        <w:rPr>
          <w:rFonts w:ascii="Calibri" w:hAnsi="Calibri"/>
          <w:color w:val="1E293B"/>
          <w:sz w:val="20"/>
        </w:rPr>
        <w:t>La aplicación integrada es la entrega (D-01): no sustituye a las dos soluciones, las unifica. Ambas son demostrables de forma independiente y también operando juntas.</w:t>
      </w:r>
    </w:p>
    <w:p>
      <w:pPr>
        <w:pStyle w:val="Heading2"/>
        <w:spacing w:before="280" w:after="80"/>
      </w:pPr>
      <w:r>
        <w:rPr>
          <w:rFonts w:ascii="Arial" w:hAnsi="Arial"/>
          <w:b/>
          <w:color w:val="2B6CB0"/>
          <w:sz w:val="27"/>
        </w:rPr>
        <w:t>28. Matriz completa de requisitos del taller</w:t>
      </w:r>
    </w:p>
    <w:tbl>
      <w:tblPr>
        <w:tblW w:type="auto" w:w="0"/>
        <w:jc w:val="center"/>
        <w:tblLook w:firstColumn="1" w:firstRow="1" w:lastColumn="0" w:lastRow="0" w:noHBand="0" w:noVBand="1" w:val="04A0"/>
        <w:tblBorders>
          <w:top w:val="single" w:sz="6" w:space="0" w:color="CBD5E1"/>
          <w:left w:val="none"/>
          <w:bottom w:val="single" w:sz="12" w:space="0" w:color="1A365D"/>
          <w:right w:val="none"/>
          <w:insideH w:val="single" w:sz="4" w:space="0" w:color="CBD5E1"/>
          <w:insideV w:val="none"/>
        </w:tblBorders>
      </w:tblPr>
      <w:tblGrid>
        <w:gridCol w:w="1872"/>
        <w:gridCol w:w="1872"/>
        <w:gridCol w:w="1872"/>
        <w:gridCol w:w="1872"/>
        <w:gridCol w:w="1872"/>
      </w:tblGrid>
      <w:tr>
        <w:trPr>
          <w:tblHeader/>
          <w:cantSplit/>
        </w:trPr>
        <w:tc>
          <w:tcPr>
            <w:tcW w:type="dxa" w:w="1080"/>
            <w:shd w:fill="1A365D"/>
            <w:tcMar>
              <w:top w:w="130" w:type="dxa"/>
              <w:bottom w:w="130" w:type="dxa"/>
              <w:left w:w="110" w:type="dxa"/>
              <w:right w:w="110" w:type="dxa"/>
            </w:tcMar>
            <w:vAlign w:val="center"/>
          </w:tcPr>
          <w:p>
            <w:pPr>
              <w:spacing w:before="0" w:after="0" w:line="252" w:lineRule="auto"/>
              <w:jc w:val="center"/>
            </w:pPr>
            <w:r/>
            <w:r>
              <w:rPr>
                <w:rFonts w:ascii="Arial" w:hAnsi="Arial"/>
                <w:b/>
                <w:color w:val="FFFFFF"/>
                <w:sz w:val="19"/>
              </w:rPr>
              <w:t>ID</w:t>
            </w:r>
          </w:p>
        </w:tc>
        <w:tc>
          <w:tcPr>
            <w:tcW w:type="dxa" w:w="2016"/>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Requisito</w:t>
            </w:r>
          </w:p>
        </w:tc>
        <w:tc>
          <w:tcPr>
            <w:tcW w:type="dxa" w:w="2016"/>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Componente</w:t>
            </w:r>
          </w:p>
        </w:tc>
        <w:tc>
          <w:tcPr>
            <w:tcW w:type="dxa" w:w="2592"/>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Evidencia esperada</w:t>
            </w:r>
          </w:p>
        </w:tc>
        <w:tc>
          <w:tcPr>
            <w:tcW w:type="dxa" w:w="1656"/>
            <w:shd w:fill="1A365D"/>
            <w:tcMar>
              <w:top w:w="130" w:type="dxa"/>
              <w:bottom w:w="130" w:type="dxa"/>
              <w:left w:w="110" w:type="dxa"/>
              <w:right w:w="110" w:type="dxa"/>
            </w:tcMar>
            <w:vAlign w:val="center"/>
          </w:tcPr>
          <w:p>
            <w:pPr>
              <w:spacing w:before="0" w:after="0" w:line="252" w:lineRule="auto"/>
              <w:jc w:val="center"/>
            </w:pPr>
            <w:r/>
            <w:r>
              <w:rPr>
                <w:rFonts w:ascii="Arial" w:hAnsi="Arial"/>
                <w:b/>
                <w:color w:val="FFFFFF"/>
                <w:sz w:val="19"/>
              </w:rPr>
              <w:t>Estado del diseño</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Solución en C/C++</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pea_cli</w:t>
            </w:r>
            <w:r>
              <w:rPr>
                <w:rFonts w:ascii="Calibri" w:hAnsi="Calibri"/>
                <w:color w:val="334155"/>
                <w:sz w:val="17"/>
              </w:rPr>
              <w:t>, núcleo C++</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Ejecución en consola</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(D-01)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T-02</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Solución en Python</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Backend FastAPI</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API en ejecución + dashboard integrado</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(D-01)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T-03</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grupos</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 + API + React</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CRUD funcional</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T-04</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investigadores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 + API + React</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CRUD funcional</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T-05</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productos por grupo</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Multilista + SQL</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Consulta por grupo</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T-06</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productos por investigador</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Autorías + multilista</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Consulta por investigador</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T-07</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integrantes del grupo</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GroupMembership</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Periodos y CRUD</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(Impl)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T-08</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planes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WorkPlan</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CRUD y asociación</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T-09</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información personal</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Researcher</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Formulario protegido</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T-10</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Identificar entradas y salidas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Catálogo formal</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Sección 31</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Descargar desde URL</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Importador Python (GrupLAC/CvLAC/Scienti)</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Prueba con URL real de SCIENTI</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(Impl)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T-12</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Procesar PDF</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Importador </w:t>
            </w:r>
            <w:r>
              <w:rPr>
                <w:rFonts w:ascii="Consolas" w:hAnsi="Consolas"/>
                <w:color w:val="0369A1"/>
                <w:sz w:val="16"/>
              </w:rPr>
              <w:t>import_pdf.py</w:t>
            </w:r>
            <w:r>
              <w:rPr>
                <w:rFonts w:ascii="Calibri" w:hAnsi="Calibri"/>
                <w:color w:val="334155"/>
                <w:sz w:val="17"/>
              </w:rPr>
              <w:t xml:space="preserve"> (parser de secciones)</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Round-trip del reporte propio + </w:t>
            </w:r>
            <w:r>
              <w:rPr>
                <w:rFonts w:ascii="Consolas" w:hAnsi="Consolas"/>
                <w:color w:val="0369A1"/>
                <w:sz w:val="16"/>
              </w:rPr>
              <w:t>/groups/import/pdf(/preview)</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(Impl)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T-13</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Procesar CSV</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Importador </w:t>
            </w:r>
            <w:r>
              <w:rPr>
                <w:rFonts w:ascii="Consolas" w:hAnsi="Consolas"/>
                <w:color w:val="0369A1"/>
                <w:sz w:val="16"/>
              </w:rPr>
              <w:t>import_csv.py</w:t>
            </w:r>
            <w:r>
              <w:rPr>
                <w:rFonts w:ascii="Calibri" w:hAnsi="Calibri"/>
                <w:color w:val="334155"/>
                <w:sz w:val="17"/>
              </w:rPr>
              <w:t xml:space="preserve"> (dataset hrhc-c4wu)</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Fixture oficial + </w:t>
            </w:r>
            <w:r>
              <w:rPr>
                <w:rFonts w:ascii="Consolas" w:hAnsi="Consolas"/>
                <w:color w:val="0369A1"/>
                <w:sz w:val="16"/>
              </w:rPr>
              <w:t>/groups/import/csv(/preview)</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(Impl)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T-14</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Diseñar listas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 manual</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Pruebas de nodos</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T-15</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Usar multilistas</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 manual</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Recorridos multidimensionales</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T-16</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Usar pilas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Historial deshacer</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Push, pop y undo</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T-17</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Usar colas</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Validación FIFO</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Enqueue, front y dequeue</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T-18</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Crear e incluir</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Servicios C++</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Pruebas CRUD</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T-19</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Eliminar</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Servicios C++</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Eliminación permitida</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T-20</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Desactivar</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Servicios C++</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Estado inactivo</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Consultar</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CLI, API y UI</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Búsquedas</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T-22</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Modificar</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Servicios C++</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Actualización</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T-23</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Persistir</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SQL Server + JSON</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Reinicio y recarga</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T-24</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Categoría de producto</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Catálogos</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Selector y validación</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T-25</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Validar productos</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Cola + validación</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Flujo completo</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T-26</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Filtrar por año</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Ventanas</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2, 5 y personalizados</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T-27</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Editar cualquier dato permitido</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UI + servicios</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Formularios y auditoría</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T-28</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Resumen C++ en tablas y números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CLI</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Salida de consola</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T-29</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Dashboard estadístico</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React servido por FastAPI</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Histograma y barras en la web</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T-30</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Vista por grupo</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React (detalle de grupo)</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Pantalla</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(Impl)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Vista por investigador</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React (detalle de investigador)</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Pantalla</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(Impl)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T-32</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Vista por producto</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React (listado filtrable)</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Pantalla</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(Impl)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T-33</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Archivo de persistencia</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JSON</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pea_data.json</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T-34</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Cargar archivo o iniciar vacío</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Inicialización</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Selector de arranque</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T-35</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Word de especificación</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Documentación</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.docx</w:t>
            </w:r>
            <w:r>
              <w:rPr>
                <w:rFonts w:ascii="Calibri" w:hAnsi="Calibri"/>
                <w:color w:val="334155"/>
                <w:sz w:val="17"/>
              </w:rPr>
              <w:t xml:space="preserve"> final</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T-36</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Diagramas recomendados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Documentación</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ER, casos, clases, secuencia</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T-37</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Historias de usuario y SPEC</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Documentación</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Catálogo trazable</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T-38</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Video aproximado de 10 minutos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Entrega</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Enlace o carpeta</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T-39</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Integrantes visibles en video</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Entrega</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Video final</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T-40</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Identidad UPC en video</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Entrega</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Portada y elementos visuales</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T-41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Archivo de identificación</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Entrega</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INTEGRANTES.txt</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T-42</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Archivos con iniciales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Entrega</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Sustituido por proyecto modular</w:t>
            </w:r>
          </w:p>
        </w:tc>
        <w:tc>
          <w:tcPr>
            <w:tcW w:type="dxa" w:w="1656"/>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Sustituido (D-01)</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T-43</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Correo y asunto correctos</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Entrega</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Lista de envío</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C-01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Git y GitHub</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Repositorio</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Historial de commits</w:t>
            </w:r>
          </w:p>
        </w:tc>
        <w:tc>
          <w:tcPr>
            <w:tcW w:type="dxa" w:w="1656"/>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Complemento</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C-02</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Base de datos</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SQL Server</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Esquema y conexión</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C-03</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GUI creativa</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React</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Aplicación web</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C-04</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Interoperabilidad</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pybind11</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Importación nativa</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C-05</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Documentación</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/docs</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Paquete documental</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C-06</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Rust</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Ninguno</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No requerido</w:t>
            </w:r>
          </w:p>
        </w:tc>
        <w:tc>
          <w:tcPr>
            <w:tcW w:type="dxa" w:w="1656"/>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Fuera de alcance</w:t>
            </w:r>
          </w:p>
        </w:tc>
      </w:tr>
    </w:tbl>
    <w:p>
      <w:pPr>
        <w:spacing w:before="0" w:after="120"/>
      </w:pPr>
    </w:p>
    <w:tbl>
      <w:tblPr>
        <w:tblW w:type="auto" w:w="0"/>
        <w:jc w:val="center"/>
        <w:tblLayout w:type="fixed"/>
        <w:tblLook w:firstColumn="1" w:firstRow="1" w:lastColumn="0" w:lastRow="0" w:noHBand="0" w:noVBand="1" w:val="04A0"/>
        <w:tblBorders>
          <w:top w:val="none"/>
          <w:left w:val="single" w:sz="24" w:space="0" w:color="0D9488"/>
          <w:bottom w:val="none"/>
          <w:right w:val="none"/>
          <w:insideH w:val="none"/>
          <w:insideV w:val="none"/>
        </w:tblBorders>
      </w:tblPr>
      <w:tblGrid>
        <w:gridCol w:w="9360"/>
      </w:tblGrid>
      <w:tr>
        <w:tc>
          <w:tcPr>
            <w:tcW w:type="dxa" w:w="9360"/>
            <w:shd w:fill="F0FDFA"/>
            <w:tcMar>
              <w:top w:w="110" w:type="dxa"/>
              <w:bottom w:w="110" w:type="dxa"/>
              <w:left w:w="150" w:type="dxa"/>
              <w:right w:w="140" w:type="dxa"/>
            </w:tcMar>
          </w:tcPr>
          <w:p>
            <w:pPr>
              <w:spacing w:before="0" w:after="40" w:line="276" w:lineRule="auto"/>
            </w:pPr>
            <w:r>
              <w:rPr>
                <w:rFonts w:ascii="Arial" w:hAnsi="Arial"/>
                <w:b/>
                <w:color w:val="0F766E"/>
                <w:sz w:val="19"/>
              </w:rPr>
              <w:t>NOTA TÉCNICA INSTITUCIONAL</w:t>
              <w:br/>
            </w:r>
            <w:r>
              <w:rPr>
                <w:rFonts w:ascii="Calibri" w:hAnsi="Calibri"/>
                <w:color w:val="134E4A"/>
                <w:sz w:val="18"/>
              </w:rPr>
              <w:t>La columna “Estado del diseño” no sustituye las pruebas de implementación.</w:t>
            </w:r>
          </w:p>
        </w:tc>
      </w:tr>
    </w:tbl>
    <w:p>
      <w:pPr>
        <w:spacing w:before="0" w:after="120"/>
      </w:pPr>
    </w:p>
    <w:p>
      <w:pPr>
        <w:pStyle w:val="Heading2"/>
        <w:spacing w:before="280" w:after="80"/>
      </w:pPr>
      <w:r>
        <w:rPr>
          <w:rFonts w:ascii="Arial" w:hAnsi="Arial"/>
          <w:b/>
          <w:color w:val="2B6CB0"/>
          <w:sz w:val="27"/>
        </w:rPr>
        <w:t>29. Hipercubo de información</w:t>
      </w:r>
    </w:p>
    <w:p>
      <w:pPr>
        <w:spacing w:before="40" w:after="80" w:line="276" w:lineRule="auto"/>
      </w:pPr>
      <w:r>
        <w:rPr>
          <w:rFonts w:ascii="Calibri" w:hAnsi="Calibri"/>
          <w:color w:val="1E293B"/>
          <w:sz w:val="20"/>
        </w:rPr>
        <w:t>El taller recomienda una aproximación basada en un hipercubo. PEA-i modelará la información como un espacio multidimensional de análisis, sin requerir un servidor OLAP.</w:t>
      </w:r>
    </w:p>
    <w:p>
      <w:pPr>
        <w:pStyle w:val="Heading3"/>
        <w:spacing w:before="200" w:after="60"/>
      </w:pPr>
      <w:r>
        <w:rPr>
          <w:rFonts w:ascii="Arial" w:hAnsi="Arial"/>
          <w:b/>
          <w:color w:val="0D9488"/>
          <w:sz w:val="23"/>
        </w:rPr>
        <w:t>29.1 Dimensiones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D1  Grupo</w:t>
              <w:br/>
              <w:t>D2  Investigador</w:t>
              <w:br/>
              <w:t>D3  Producto</w:t>
              <w:br/>
              <w:t>D4  Tiempo</w:t>
              <w:br/>
              <w:t>D5  Familia de producto</w:t>
              <w:br/>
              <w:t>D6  Subtipo de producto</w:t>
              <w:br/>
              <w:t>D7  Categoría de calidad</w:t>
              <w:br/>
              <w:t>D8  Proyecto</w:t>
              <w:br/>
              <w:t>D9  Línea de investigación</w:t>
              <w:br/>
              <w:t>D10 Institución</w:t>
              <w:br/>
              <w:t>D11 Estado de validación</w:t>
              <w:br/>
              <w:t>D12 Convocatoria</w:t>
            </w:r>
          </w:p>
        </w:tc>
      </w:tr>
    </w:tbl>
    <w:p>
      <w:pPr>
        <w:spacing w:before="0" w:after="120"/>
      </w:pPr>
    </w:p>
    <w:p>
      <w:pPr>
        <w:pStyle w:val="Heading3"/>
        <w:spacing w:before="200" w:after="60"/>
      </w:pPr>
      <w:r>
        <w:rPr>
          <w:rFonts w:ascii="Arial" w:hAnsi="Arial"/>
          <w:b/>
          <w:color w:val="0D9488"/>
          <w:sz w:val="23"/>
        </w:rPr>
        <w:t>29.2 Medidas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Cantidad de productos</w:t>
              <w:br/>
              <w:t>Cantidad de investigadores</w:t>
              <w:br/>
              <w:t>Cantidad de grupos</w:t>
              <w:br/>
              <w:t>Cantidad de proyectos</w:t>
              <w:br/>
              <w:t>Cantidad de productos validados</w:t>
              <w:br/>
              <w:t>Cantidad de productos pendientes</w:t>
              <w:br/>
              <w:t>Cantidad de productos por familia</w:t>
              <w:br/>
              <w:t>Cantidad de productos por año</w:t>
              <w:br/>
              <w:t>Cantidad de integrantes activos</w:t>
              <w:br/>
              <w:t>Duración de vinculaciones</w:t>
            </w:r>
          </w:p>
        </w:tc>
      </w:tr>
    </w:tbl>
    <w:p>
      <w:pPr>
        <w:spacing w:before="0" w:after="120"/>
      </w:pPr>
    </w:p>
    <w:p>
      <w:pPr>
        <w:pStyle w:val="Heading3"/>
        <w:spacing w:before="200" w:after="60"/>
      </w:pPr>
      <w:r>
        <w:rPr>
          <w:rFonts w:ascii="Arial" w:hAnsi="Arial"/>
          <w:b/>
          <w:color w:val="0D9488"/>
          <w:sz w:val="23"/>
        </w:rPr>
        <w:t>29.3 Operaciones analíticas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Slice:</w:t>
              <w:br/>
              <w:t xml:space="preserve">  Productos del año 2025.</w:t>
              <w:br/>
              <w:br/>
              <w:t>Dice:</w:t>
              <w:br/>
              <w:t xml:space="preserve">  Productos validados de la familia Nuevo Conocimiento,</w:t>
              <w:br/>
              <w:t xml:space="preserve">  generados por un grupo en una ventana de cinco años.</w:t>
              <w:br/>
              <w:br/>
              <w:t>Drill-down:</w:t>
              <w:br/>
              <w:t xml:space="preserve">  Familia -&gt; subtipo -&gt; producto.</w:t>
              <w:br/>
              <w:br/>
              <w:t>Roll-up:</w:t>
              <w:br/>
              <w:t xml:space="preserve">  Producto -&gt; subtipo -&gt; familia -&gt; total institucional.</w:t>
              <w:br/>
              <w:br/>
              <w:t>Pivot:</w:t>
              <w:br/>
              <w:t xml:space="preserve">  Comparar grupos en filas y años en columnas.</w:t>
            </w:r>
          </w:p>
        </w:tc>
      </w:tr>
    </w:tbl>
    <w:p>
      <w:pPr>
        <w:spacing w:before="0" w:after="120"/>
      </w:pPr>
    </w:p>
    <w:p>
      <w:pPr>
        <w:pStyle w:val="Heading3"/>
        <w:spacing w:before="200" w:after="60"/>
      </w:pPr>
      <w:r>
        <w:rPr>
          <w:rFonts w:ascii="Arial" w:hAnsi="Arial"/>
          <w:b/>
          <w:color w:val="0D9488"/>
          <w:sz w:val="23"/>
        </w:rPr>
        <w:t>29.4 Consultas del hipercubo</w:t>
      </w:r>
    </w:p>
    <w:p>
      <w:pPr>
        <w:pStyle w:val="ListBullet"/>
        <w:spacing w:before="20" w:after="40"/>
        <w:ind w:left="360"/>
      </w:pPr>
      <w:r>
        <w:rPr>
          <w:rFonts w:ascii="Calibri" w:hAnsi="Calibri"/>
          <w:color w:val="2D3748"/>
          <w:sz w:val="19"/>
        </w:rPr>
        <w:t>Productos por grupo y año.</w:t>
      </w:r>
    </w:p>
    <w:p>
      <w:pPr>
        <w:pStyle w:val="ListBullet"/>
        <w:spacing w:before="20" w:after="40"/>
        <w:ind w:left="360"/>
      </w:pPr>
      <w:r>
        <w:rPr>
          <w:rFonts w:ascii="Calibri" w:hAnsi="Calibri"/>
          <w:color w:val="2D3748"/>
          <w:sz w:val="19"/>
        </w:rPr>
        <w:t>Producción por investigador y familia.</w:t>
      </w:r>
    </w:p>
    <w:p>
      <w:pPr>
        <w:pStyle w:val="ListBullet"/>
        <w:spacing w:before="20" w:after="40"/>
        <w:ind w:left="360"/>
      </w:pPr>
      <w:r>
        <w:rPr>
          <w:rFonts w:ascii="Calibri" w:hAnsi="Calibri"/>
          <w:color w:val="2D3748"/>
          <w:sz w:val="19"/>
        </w:rPr>
        <w:t>Productos validados por grupo y ventana.</w:t>
      </w:r>
    </w:p>
    <w:p>
      <w:pPr>
        <w:pStyle w:val="ListBullet"/>
        <w:spacing w:before="20" w:after="40"/>
        <w:ind w:left="360"/>
      </w:pPr>
      <w:r>
        <w:rPr>
          <w:rFonts w:ascii="Calibri" w:hAnsi="Calibri"/>
          <w:color w:val="2D3748"/>
          <w:sz w:val="19"/>
        </w:rPr>
        <w:t>Proyectos por línea y estado.</w:t>
      </w:r>
    </w:p>
    <w:p>
      <w:pPr>
        <w:pStyle w:val="ListBullet"/>
        <w:spacing w:before="20" w:after="40"/>
        <w:ind w:left="360"/>
      </w:pPr>
      <w:r>
        <w:rPr>
          <w:rFonts w:ascii="Calibri" w:hAnsi="Calibri"/>
          <w:color w:val="2D3748"/>
          <w:sz w:val="19"/>
        </w:rPr>
        <w:t>Investigadores por grupo y clasificación.</w:t>
      </w:r>
    </w:p>
    <w:p>
      <w:pPr>
        <w:pStyle w:val="ListBullet"/>
        <w:spacing w:before="20" w:after="40"/>
        <w:ind w:left="360"/>
      </w:pPr>
      <w:r>
        <w:rPr>
          <w:rFonts w:ascii="Calibri" w:hAnsi="Calibri"/>
          <w:color w:val="2D3748"/>
          <w:sz w:val="19"/>
        </w:rPr>
        <w:t>Producción institucional por convocatoria.</w:t>
      </w:r>
    </w:p>
    <w:p>
      <w:pPr>
        <w:pStyle w:val="Heading3"/>
        <w:spacing w:before="200" w:after="60"/>
      </w:pPr>
      <w:r>
        <w:rPr>
          <w:rFonts w:ascii="Arial" w:hAnsi="Arial"/>
          <w:b/>
          <w:color w:val="0D9488"/>
          <w:sz w:val="23"/>
        </w:rPr>
        <w:t>29.5 Implementación propuesta</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SQL Server:</w:t>
              <w:br/>
              <w:t xml:space="preserve">  tablas normalizadas, vistas y consultas agregadas.</w:t>
              <w:br/>
              <w:br/>
              <w:t>Python:</w:t>
              <w:br/>
              <w:t xml:space="preserve">  DataFrames y cálculos descriptivos.</w:t>
              <w:br/>
              <w:br/>
              <w:t>React:</w:t>
              <w:br/>
              <w:t xml:space="preserve">  filtros, tablas dinámicas y gráficos.</w:t>
              <w:br/>
              <w:br/>
              <w:t>C++:</w:t>
              <w:br/>
              <w:t xml:space="preserve">  recorridos de multilista y resúmenes numéricos.</w:t>
            </w:r>
          </w:p>
        </w:tc>
      </w:tr>
    </w:tbl>
    <w:p>
      <w:pPr>
        <w:spacing w:before="0" w:after="120"/>
      </w:pPr>
    </w:p>
    <w:p>
      <w:pPr>
        <w:pStyle w:val="Heading2"/>
        <w:spacing w:before="280" w:after="80"/>
      </w:pPr>
      <w:r>
        <w:rPr>
          <w:rFonts w:ascii="Arial" w:hAnsi="Arial"/>
          <w:b/>
          <w:color w:val="2B6CB0"/>
          <w:sz w:val="27"/>
        </w:rPr>
        <w:t>30. Modelo de multilista formal</w:t>
      </w:r>
    </w:p>
    <w:p>
      <w:pPr>
        <w:spacing w:before="40" w:after="80" w:line="276" w:lineRule="auto"/>
      </w:pPr>
      <w:r>
        <w:rPr>
          <w:rFonts w:ascii="Calibri" w:hAnsi="Calibri"/>
          <w:color w:val="1E293B"/>
          <w:sz w:val="20"/>
        </w:rPr>
        <w:t>La multilista no se reemplazará por consultas SQL. Se implementará manualmente en C++.</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struct GroupNode {</w:t>
              <w:br/>
              <w:t xml:space="preserve">    Group data;</w:t>
              <w:br/>
              <w:t xml:space="preserve">    GroupNode* nextGroup;</w:t>
              <w:br/>
              <w:t xml:space="preserve">    MembershipNode* firstMember;</w:t>
              <w:br/>
              <w:t xml:space="preserve">    GroupProductNode* firstProduct;</w:t>
              <w:br/>
              <w:t xml:space="preserve">    GroupProjectNode* firstProject;</w:t>
              <w:br/>
              <w:t xml:space="preserve">    PlanNode* firstPlan;</w:t>
              <w:br/>
              <w:t>};</w:t>
              <w:br/>
              <w:br/>
              <w:t>struct MembershipNode {</w:t>
              <w:br/>
              <w:t xml:space="preserve">    int membershipId;</w:t>
              <w:br/>
              <w:t xml:space="preserve">    int researcherId;</w:t>
              <w:br/>
              <w:t xml:space="preserve">    MembershipNode* nextInGroup;</w:t>
              <w:br/>
              <w:t xml:space="preserve">    MembershipNode* nextForResearcher;</w:t>
              <w:br/>
              <w:t>};</w:t>
              <w:br/>
              <w:br/>
              <w:t>struct GroupProductNode {</w:t>
              <w:br/>
              <w:t xml:space="preserve">    int linkId;</w:t>
              <w:br/>
              <w:t xml:space="preserve">    int productId;</w:t>
              <w:br/>
              <w:t xml:space="preserve">    GroupProductNode* nextInGroup;</w:t>
              <w:br/>
              <w:t xml:space="preserve">    GroupProductNode* nextForProduct;</w:t>
              <w:br/>
              <w:t>};</w:t>
            </w:r>
          </w:p>
        </w:tc>
      </w:tr>
    </w:tbl>
    <w:p>
      <w:pPr>
        <w:spacing w:before="0" w:after="120"/>
      </w:pPr>
    </w:p>
    <w:p>
      <w:pPr>
        <w:spacing w:before="40" w:after="80" w:line="276" w:lineRule="auto"/>
      </w:pPr>
      <w:r>
        <w:rPr>
          <w:rFonts w:ascii="Calibri" w:hAnsi="Calibri"/>
          <w:color w:val="1E293B"/>
          <w:sz w:val="20"/>
        </w:rPr>
        <w:t>Recorridos mínimos: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Grupo -&gt; integrantes</w:t>
              <w:br/>
              <w:t>Grupo -&gt; productos</w:t>
              <w:br/>
              <w:t>Grupo -&gt; proyectos</w:t>
              <w:br/>
              <w:t>Grupo -&gt; planes</w:t>
              <w:br/>
              <w:t>Investigador -&gt; grupos</w:t>
              <w:br/>
              <w:t>Investigador -&gt; productos</w:t>
              <w:br/>
              <w:t>Producto -&gt; autores</w:t>
              <w:br/>
              <w:t>Producto -&gt; grupos</w:t>
            </w:r>
          </w:p>
        </w:tc>
      </w:tr>
    </w:tbl>
    <w:p>
      <w:pPr>
        <w:spacing w:before="0" w:after="120"/>
      </w:pPr>
    </w:p>
    <w:p>
      <w:pPr>
        <w:pStyle w:val="Heading2"/>
        <w:spacing w:before="280" w:after="80"/>
      </w:pPr>
      <w:r>
        <w:rPr>
          <w:rFonts w:ascii="Arial" w:hAnsi="Arial"/>
          <w:b/>
          <w:color w:val="2B6CB0"/>
          <w:sz w:val="27"/>
        </w:rPr>
        <w:t>31. Variables de entrada y salida</w:t>
      </w:r>
    </w:p>
    <w:p>
      <w:pPr>
        <w:pStyle w:val="Heading3"/>
        <w:spacing w:before="200" w:after="60"/>
      </w:pPr>
      <w:r>
        <w:rPr>
          <w:rFonts w:ascii="Arial" w:hAnsi="Arial"/>
          <w:b/>
          <w:color w:val="0D9488"/>
          <w:sz w:val="23"/>
        </w:rPr>
        <w:t>31.1 Grupo de investigación</w:t>
      </w:r>
    </w:p>
    <w:p>
      <w:pPr>
        <w:pStyle w:val="Heading4"/>
        <w:spacing w:before="160" w:after="40"/>
      </w:pPr>
      <w:r>
        <w:rPr>
          <w:rFonts w:ascii="Arial" w:hAnsi="Arial"/>
          <w:b/>
          <w:color w:val="2D3748"/>
          <w:sz w:val="21"/>
        </w:rPr>
        <w:t>Entradas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external_code</w:t>
              <w:br/>
              <w:t>name</w:t>
              <w:br/>
              <w:t>acronym</w:t>
              <w:br/>
              <w:t>description</w:t>
              <w:br/>
              <w:t>mission</w:t>
              <w:br/>
              <w:t>vision</w:t>
              <w:br/>
              <w:t>declared_creation_date</w:t>
              <w:br/>
              <w:t>knowledge_area</w:t>
              <w:br/>
              <w:t>knowledge_subarea</w:t>
              <w:br/>
              <w:t>city</w:t>
              <w:br/>
              <w:t>department</w:t>
              <w:br/>
              <w:t>website</w:t>
              <w:br/>
              <w:t>email</w:t>
              <w:br/>
              <w:t>leader_id</w:t>
              <w:br/>
              <w:t>institution_aval_ids</w:t>
              <w:br/>
              <w:t>research_line_ids</w:t>
              <w:br/>
              <w:t>work_plan</w:t>
              <w:br/>
              <w:t>status</w:t>
            </w:r>
          </w:p>
        </w:tc>
      </w:tr>
    </w:tbl>
    <w:p>
      <w:pPr>
        <w:spacing w:before="0" w:after="120"/>
      </w:pPr>
    </w:p>
    <w:p>
      <w:pPr>
        <w:pStyle w:val="Heading4"/>
        <w:spacing w:before="160" w:after="40"/>
      </w:pPr>
      <w:r>
        <w:rPr>
          <w:rFonts w:ascii="Arial" w:hAnsi="Arial"/>
          <w:b/>
          <w:color w:val="2D3748"/>
          <w:sz w:val="21"/>
        </w:rPr>
        <w:t>Salidas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id</w:t>
              <w:br/>
              <w:t>current_classification</w:t>
              <w:br/>
              <w:t>classification_history</w:t>
              <w:br/>
              <w:t>active_member_count</w:t>
              <w:br/>
              <w:t>product_count</w:t>
              <w:br/>
              <w:t>products_by_family</w:t>
              <w:br/>
              <w:t>products_by_year</w:t>
              <w:br/>
              <w:t>active_project_count</w:t>
              <w:br/>
              <w:t>research_lines</w:t>
              <w:br/>
              <w:t>current_plan</w:t>
              <w:br/>
              <w:t>recognition_readiness</w:t>
              <w:br/>
              <w:t>validation_warnings</w:t>
            </w:r>
          </w:p>
        </w:tc>
      </w:tr>
    </w:tbl>
    <w:p>
      <w:pPr>
        <w:spacing w:before="0" w:after="120"/>
      </w:pPr>
    </w:p>
    <w:p>
      <w:pPr>
        <w:pStyle w:val="Heading3"/>
        <w:spacing w:before="200" w:after="60"/>
      </w:pPr>
      <w:r>
        <w:rPr>
          <w:rFonts w:ascii="Arial" w:hAnsi="Arial"/>
          <w:b/>
          <w:color w:val="0D9488"/>
          <w:sz w:val="23"/>
        </w:rPr>
        <w:t>31.2 Investigador</w:t>
      </w:r>
    </w:p>
    <w:p>
      <w:pPr>
        <w:pStyle w:val="Heading4"/>
        <w:spacing w:before="160" w:after="40"/>
      </w:pPr>
      <w:r>
        <w:rPr>
          <w:rFonts w:ascii="Arial" w:hAnsi="Arial"/>
          <w:b/>
          <w:color w:val="2D3748"/>
          <w:sz w:val="21"/>
        </w:rPr>
        <w:t>Entradas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external_code</w:t>
              <w:br/>
              <w:t>identification_type</w:t>
              <w:br/>
              <w:t>identification_number</w:t>
              <w:br/>
              <w:t>first_names</w:t>
              <w:br/>
              <w:t>last_names</w:t>
              <w:br/>
              <w:t>nationality</w:t>
              <w:br/>
              <w:t>country_of_residence</w:t>
              <w:br/>
              <w:t>institutional_email</w:t>
              <w:br/>
              <w:t>orcid</w:t>
              <w:br/>
              <w:t>highest_education_level</w:t>
              <w:br/>
              <w:t>education_records</w:t>
              <w:br/>
              <w:t>memberships</w:t>
              <w:br/>
              <w:t>classification_records</w:t>
              <w:br/>
              <w:t>status</w:t>
            </w:r>
          </w:p>
        </w:tc>
      </w:tr>
    </w:tbl>
    <w:p>
      <w:pPr>
        <w:spacing w:before="0" w:after="120"/>
      </w:pPr>
    </w:p>
    <w:p>
      <w:pPr>
        <w:pStyle w:val="Heading4"/>
        <w:spacing w:before="160" w:after="40"/>
      </w:pPr>
      <w:r>
        <w:rPr>
          <w:rFonts w:ascii="Arial" w:hAnsi="Arial"/>
          <w:b/>
          <w:color w:val="2D3748"/>
          <w:sz w:val="21"/>
        </w:rPr>
        <w:t>Salidas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id</w:t>
              <w:br/>
              <w:t>display_name</w:t>
              <w:br/>
              <w:t>groups</w:t>
              <w:br/>
              <w:t>membership_periods</w:t>
              <w:br/>
              <w:t>products</w:t>
              <w:br/>
              <w:t>products_by_year</w:t>
              <w:br/>
              <w:t>products_by_family</w:t>
              <w:br/>
              <w:t>projects</w:t>
              <w:br/>
              <w:t>classification_history</w:t>
              <w:br/>
              <w:t>total_production</w:t>
              <w:br/>
              <w:t>validation_warnings</w:t>
            </w:r>
          </w:p>
        </w:tc>
      </w:tr>
    </w:tbl>
    <w:p>
      <w:pPr>
        <w:spacing w:before="0" w:after="120"/>
      </w:pPr>
    </w:p>
    <w:p>
      <w:pPr>
        <w:pStyle w:val="Heading3"/>
        <w:spacing w:before="200" w:after="60"/>
      </w:pPr>
      <w:r>
        <w:rPr>
          <w:rFonts w:ascii="Arial" w:hAnsi="Arial"/>
          <w:b/>
          <w:color w:val="0D9488"/>
          <w:sz w:val="23"/>
        </w:rPr>
        <w:t>31.3 Producto</w:t>
      </w:r>
    </w:p>
    <w:p>
      <w:pPr>
        <w:pStyle w:val="Heading4"/>
        <w:spacing w:before="160" w:after="40"/>
      </w:pPr>
      <w:r>
        <w:rPr>
          <w:rFonts w:ascii="Arial" w:hAnsi="Arial"/>
          <w:b/>
          <w:color w:val="2D3748"/>
          <w:sz w:val="21"/>
        </w:rPr>
        <w:t>Entradas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external_code</w:t>
              <w:br/>
              <w:t>title</w:t>
              <w:br/>
              <w:t>description</w:t>
              <w:br/>
              <w:t>family_id</w:t>
              <w:br/>
              <w:t>subtype_id</w:t>
              <w:br/>
              <w:t>quality_category_id</w:t>
              <w:br/>
              <w:t>obtained_date</w:t>
              <w:br/>
              <w:t>publication_date</w:t>
              <w:br/>
              <w:t>language</w:t>
              <w:br/>
              <w:t>country</w:t>
              <w:br/>
              <w:t>doi</w:t>
              <w:br/>
              <w:t>isbn</w:t>
              <w:br/>
              <w:t>issn</w:t>
              <w:br/>
              <w:t>url</w:t>
              <w:br/>
              <w:t>authors</w:t>
              <w:br/>
              <w:t>project_ids</w:t>
              <w:br/>
              <w:t>evidence</w:t>
              <w:br/>
              <w:t>specialized_attributes</w:t>
            </w:r>
          </w:p>
        </w:tc>
      </w:tr>
    </w:tbl>
    <w:p>
      <w:pPr>
        <w:spacing w:before="0" w:after="120"/>
      </w:pPr>
    </w:p>
    <w:p>
      <w:pPr>
        <w:pStyle w:val="Heading4"/>
        <w:spacing w:before="160" w:after="40"/>
      </w:pPr>
      <w:r>
        <w:rPr>
          <w:rFonts w:ascii="Arial" w:hAnsi="Arial"/>
          <w:b/>
          <w:color w:val="2D3748"/>
          <w:sz w:val="21"/>
        </w:rPr>
        <w:t>Salidas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id</w:t>
              <w:br/>
              <w:t>validation_status</w:t>
              <w:br/>
              <w:t>group_links</w:t>
              <w:br/>
              <w:t>project_links</w:t>
              <w:br/>
              <w:t>author_list</w:t>
              <w:br/>
              <w:t>observation_windows</w:t>
              <w:br/>
              <w:t>quality_result</w:t>
              <w:br/>
              <w:t>duplicate_candidates</w:t>
              <w:br/>
              <w:t>validation_findings</w:t>
              <w:br/>
              <w:t>source_trace</w:t>
            </w:r>
          </w:p>
        </w:tc>
      </w:tr>
    </w:tbl>
    <w:p>
      <w:pPr>
        <w:spacing w:before="0" w:after="120"/>
      </w:pPr>
    </w:p>
    <w:p>
      <w:pPr>
        <w:pStyle w:val="Heading3"/>
        <w:spacing w:before="200" w:after="60"/>
      </w:pPr>
      <w:r>
        <w:rPr>
          <w:rFonts w:ascii="Arial" w:hAnsi="Arial"/>
          <w:b/>
          <w:color w:val="0D9488"/>
          <w:sz w:val="23"/>
        </w:rPr>
        <w:t>31.4 Proyecto</w:t>
      </w:r>
    </w:p>
    <w:p>
      <w:pPr>
        <w:pStyle w:val="Heading4"/>
        <w:spacing w:before="160" w:after="40"/>
      </w:pPr>
      <w:r>
        <w:rPr>
          <w:rFonts w:ascii="Arial" w:hAnsi="Arial"/>
          <w:b/>
          <w:color w:val="2D3748"/>
          <w:sz w:val="21"/>
        </w:rPr>
        <w:t>Entradas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title</w:t>
              <w:br/>
              <w:t>summary</w:t>
              <w:br/>
              <w:t>project_type</w:t>
              <w:br/>
              <w:t>start_date</w:t>
              <w:br/>
              <w:t>end_date</w:t>
              <w:br/>
              <w:t>status</w:t>
              <w:br/>
              <w:t>funding_type</w:t>
              <w:br/>
              <w:t>budget</w:t>
              <w:br/>
              <w:t>principal_investigator_id</w:t>
              <w:br/>
              <w:t>group_ids</w:t>
              <w:br/>
              <w:t>research_line_ids</w:t>
            </w:r>
          </w:p>
        </w:tc>
      </w:tr>
    </w:tbl>
    <w:p>
      <w:pPr>
        <w:spacing w:before="0" w:after="120"/>
      </w:pPr>
    </w:p>
    <w:p>
      <w:pPr>
        <w:pStyle w:val="Heading4"/>
        <w:spacing w:before="160" w:after="40"/>
      </w:pPr>
      <w:r>
        <w:rPr>
          <w:rFonts w:ascii="Arial" w:hAnsi="Arial"/>
          <w:b/>
          <w:color w:val="2D3748"/>
          <w:sz w:val="21"/>
        </w:rPr>
        <w:t>Salidas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id</w:t>
              <w:br/>
              <w:t>participating_groups</w:t>
              <w:br/>
              <w:t>participating_researchers</w:t>
              <w:br/>
              <w:t>related_products</w:t>
              <w:br/>
              <w:t>duration</w:t>
              <w:br/>
              <w:t>execution_status</w:t>
              <w:br/>
              <w:t>validation_warnings</w:t>
            </w:r>
          </w:p>
        </w:tc>
      </w:tr>
    </w:tbl>
    <w:p>
      <w:pPr>
        <w:spacing w:before="0" w:after="120"/>
      </w:pPr>
    </w:p>
    <w:p>
      <w:pPr>
        <w:pStyle w:val="Heading3"/>
        <w:spacing w:before="200" w:after="60"/>
      </w:pPr>
      <w:r>
        <w:rPr>
          <w:rFonts w:ascii="Arial" w:hAnsi="Arial"/>
          <w:b/>
          <w:color w:val="0D9488"/>
          <w:sz w:val="23"/>
        </w:rPr>
        <w:t>31.5 Importación</w:t>
      </w:r>
    </w:p>
    <w:p>
      <w:pPr>
        <w:pStyle w:val="Heading4"/>
        <w:spacing w:before="160" w:after="40"/>
      </w:pPr>
      <w:r>
        <w:rPr>
          <w:rFonts w:ascii="Arial" w:hAnsi="Arial"/>
          <w:b/>
          <w:color w:val="2D3748"/>
          <w:sz w:val="21"/>
        </w:rPr>
        <w:t>Entradas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source_type</w:t>
              <w:br/>
              <w:t>source_url</w:t>
              <w:br/>
              <w:t>file</w:t>
              <w:br/>
              <w:t>mapping_configuration</w:t>
              <w:br/>
              <w:t>duplicate_policy</w:t>
            </w:r>
          </w:p>
        </w:tc>
      </w:tr>
    </w:tbl>
    <w:p>
      <w:pPr>
        <w:spacing w:before="0" w:after="120"/>
      </w:pPr>
    </w:p>
    <w:p>
      <w:pPr>
        <w:pStyle w:val="Heading4"/>
        <w:spacing w:before="160" w:after="40"/>
      </w:pPr>
      <w:r>
        <w:rPr>
          <w:rFonts w:ascii="Arial" w:hAnsi="Arial"/>
          <w:b/>
          <w:color w:val="2D3748"/>
          <w:sz w:val="21"/>
        </w:rPr>
        <w:t>Salidas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job_id</w:t>
              <w:br/>
              <w:t>status</w:t>
              <w:br/>
              <w:t>new_records</w:t>
              <w:br/>
              <w:t>exact_matches</w:t>
              <w:br/>
              <w:t>probable_duplicates</w:t>
              <w:br/>
              <w:t>warnings</w:t>
              <w:br/>
              <w:t>errors</w:t>
              <w:br/>
              <w:t>ignored_records</w:t>
              <w:br/>
              <w:t>commit_result</w:t>
            </w:r>
          </w:p>
        </w:tc>
      </w:tr>
    </w:tbl>
    <w:p>
      <w:pPr>
        <w:spacing w:before="0" w:after="120"/>
      </w:pPr>
    </w:p>
    <w:p>
      <w:pPr>
        <w:pStyle w:val="Heading2"/>
        <w:spacing w:before="280" w:after="80"/>
      </w:pPr>
      <w:r>
        <w:rPr>
          <w:rFonts w:ascii="Arial" w:hAnsi="Arial"/>
          <w:b/>
          <w:color w:val="2B6CB0"/>
          <w:sz w:val="27"/>
        </w:rPr>
        <w:t>32. CRUD y persistencia por estructura</w:t>
      </w:r>
    </w:p>
    <w:tbl>
      <w:tblPr>
        <w:tblW w:type="auto" w:w="0"/>
        <w:jc w:val="center"/>
        <w:tblLook w:firstColumn="1" w:firstRow="1" w:lastColumn="0" w:lastRow="0" w:noHBand="0" w:noVBand="1" w:val="04A0"/>
        <w:tblBorders>
          <w:top w:val="single" w:sz="6" w:space="0" w:color="CBD5E1"/>
          <w:left w:val="none"/>
          <w:bottom w:val="single" w:sz="12" w:space="0" w:color="1A365D"/>
          <w:right w:val="none"/>
          <w:insideH w:val="single" w:sz="4" w:space="0" w:color="CBD5E1"/>
          <w:insideV w:val="none"/>
        </w:tblBorders>
      </w:tblPr>
      <w:tblGrid>
        <w:gridCol w:w="1337"/>
        <w:gridCol w:w="1337"/>
        <w:gridCol w:w="1337"/>
        <w:gridCol w:w="1337"/>
        <w:gridCol w:w="1337"/>
        <w:gridCol w:w="1337"/>
        <w:gridCol w:w="1337"/>
      </w:tblGrid>
      <w:tr>
        <w:trPr>
          <w:tblHeader/>
          <w:cantSplit/>
        </w:trPr>
        <w:tc>
          <w:tcPr>
            <w:tcW w:type="dxa" w:w="1656"/>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Estructura</w:t>
            </w:r>
          </w:p>
        </w:tc>
        <w:tc>
          <w:tcPr>
            <w:tcW w:type="dxa" w:w="122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Crear/Incluir</w:t>
            </w:r>
          </w:p>
        </w:tc>
        <w:tc>
          <w:tcPr>
            <w:tcW w:type="dxa" w:w="122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Consultar</w:t>
            </w:r>
          </w:p>
        </w:tc>
        <w:tc>
          <w:tcPr>
            <w:tcW w:type="dxa" w:w="122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Modificar</w:t>
            </w:r>
          </w:p>
        </w:tc>
        <w:tc>
          <w:tcPr>
            <w:tcW w:type="dxa" w:w="122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Desactivar</w:t>
            </w:r>
          </w:p>
        </w:tc>
        <w:tc>
          <w:tcPr>
            <w:tcW w:type="dxa" w:w="1368"/>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Eliminar/Extraer</w:t>
            </w:r>
          </w:p>
        </w:tc>
        <w:tc>
          <w:tcPr>
            <w:tcW w:type="dxa" w:w="1440"/>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Persistencia</w:t>
            </w:r>
          </w:p>
        </w:tc>
      </w:tr>
      <w:tr>
        <w:trPr>
          <w:cantSplit/>
        </w:trPr>
        <w:tc>
          <w:tcPr>
            <w:tcW w:type="dxa" w:w="165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Lista de grupos</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insertar nodo</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buscar/recorrer</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actualizar dato</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marcar nodo</w:t>
            </w:r>
          </w:p>
        </w:tc>
        <w:tc>
          <w:tcPr>
            <w:tcW w:type="dxa" w:w="136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remover nodo</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ResearchGroup</w:t>
            </w:r>
          </w:p>
        </w:tc>
      </w:tr>
      <w:tr>
        <w:trPr>
          <w:cantSplit/>
        </w:trPr>
        <w:tc>
          <w:tcPr>
            <w:tcW w:type="dxa" w:w="165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Lista de investigadores</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insertar nodo</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buscar/recorrer</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actualizar dato</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marcar nodo</w:t>
            </w:r>
          </w:p>
        </w:tc>
        <w:tc>
          <w:tcPr>
            <w:tcW w:type="dxa" w:w="136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remover nodo</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Researcher</w:t>
            </w:r>
          </w:p>
        </w:tc>
      </w:tr>
      <w:tr>
        <w:trPr>
          <w:cantSplit/>
        </w:trPr>
        <w:tc>
          <w:tcPr>
            <w:tcW w:type="dxa" w:w="165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Lista de productos</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insertar nodo</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buscar/recorrer</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actualizar dato</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marcar nodo</w:t>
            </w:r>
          </w:p>
        </w:tc>
        <w:tc>
          <w:tcPr>
            <w:tcW w:type="dxa" w:w="136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remover nodo</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Product</w:t>
            </w:r>
          </w:p>
        </w:tc>
      </w:tr>
      <w:tr>
        <w:trPr>
          <w:cantSplit/>
        </w:trPr>
        <w:tc>
          <w:tcPr>
            <w:tcW w:type="dxa" w:w="165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Multilista</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crear enlace</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recorrer dimensión</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actualizar enlace</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desactivar enlace</w:t>
            </w:r>
          </w:p>
        </w:tc>
        <w:tc>
          <w:tcPr>
            <w:tcW w:type="dxa" w:w="136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desasociar</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tablas intermedias</w:t>
            </w:r>
          </w:p>
        </w:tc>
      </w:tr>
      <w:tr>
        <w:trPr>
          <w:cantSplit/>
        </w:trPr>
        <w:tc>
          <w:tcPr>
            <w:tcW w:type="dxa" w:w="165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Pila</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push</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top</w:t>
            </w:r>
            <w:r>
              <w:rPr>
                <w:rFonts w:ascii="Calibri" w:hAnsi="Calibri"/>
                <w:color w:val="334155"/>
                <w:sz w:val="17"/>
              </w:rPr>
              <w:t>/listar</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marcar operación</w:t>
            </w:r>
          </w:p>
        </w:tc>
        <w:tc>
          <w:tcPr>
            <w:tcW w:type="dxa" w:w="1224"/>
            <w:shd w:fill="F8FAFC"/>
            <w:tcMar>
              <w:top w:w="70" w:type="dxa"/>
              <w:bottom w:w="70" w:type="dxa"/>
              <w:left w:w="100" w:type="dxa"/>
              <w:right w:w="100" w:type="dxa"/>
            </w:tcMar>
            <w:vAlign w:val="center"/>
            <w:shd w:fill="F1F5F9"/>
          </w:tcPr>
          <w:p>
            <w:pPr>
              <w:spacing w:before="0" w:after="0" w:line="252" w:lineRule="auto"/>
              <w:jc w:val="center"/>
            </w:pPr>
            <w:r/>
            <w:r>
              <w:rPr>
                <w:rFonts w:ascii="Arial" w:hAnsi="Arial"/>
                <w:b/>
                <w:color w:val="64748B"/>
                <w:sz w:val="17"/>
              </w:rPr>
              <w:t xml:space="preserve"> – N/A – </w:t>
            </w:r>
          </w:p>
        </w:tc>
        <w:tc>
          <w:tcPr>
            <w:tcW w:type="dxa" w:w="1368"/>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pop</w:t>
            </w:r>
            <w:r>
              <w:rPr>
                <w:rFonts w:ascii="Calibri" w:hAnsi="Calibri"/>
                <w:color w:val="334155"/>
                <w:sz w:val="17"/>
              </w:rPr>
              <w:t>/undo</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UndoOperation</w:t>
            </w:r>
          </w:p>
        </w:tc>
      </w:tr>
      <w:tr>
        <w:trPr>
          <w:cantSplit/>
        </w:trPr>
        <w:tc>
          <w:tcPr>
            <w:tcW w:type="dxa" w:w="165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Cola</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enqueue</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front</w:t>
            </w:r>
            <w:r>
              <w:rPr>
                <w:rFonts w:ascii="Calibri" w:hAnsi="Calibri"/>
                <w:color w:val="334155"/>
                <w:sz w:val="17"/>
              </w:rPr>
              <w:t>/listar</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estado/intentos</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cancelar</w:t>
            </w:r>
          </w:p>
        </w:tc>
        <w:tc>
          <w:tcPr>
            <w:tcW w:type="dxa" w:w="136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dequeue</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ValidationQueueItem</w:t>
            </w:r>
          </w:p>
        </w:tc>
      </w:tr>
    </w:tbl>
    <w:p>
      <w:pPr>
        <w:spacing w:before="0" w:after="120"/>
      </w:pPr>
    </w:p>
    <w:p>
      <w:pPr>
        <w:pStyle w:val="Heading3"/>
        <w:spacing w:before="200" w:after="60"/>
      </w:pPr>
      <w:r>
        <w:rPr>
          <w:rFonts w:ascii="Arial" w:hAnsi="Arial"/>
          <w:b/>
          <w:color w:val="0D9488"/>
          <w:sz w:val="23"/>
        </w:rPr>
        <w:t>32.1 Persistencia de la lista</w:t>
      </w:r>
    </w:p>
    <w:p>
      <w:pPr>
        <w:spacing w:before="40" w:after="80" w:line="276" w:lineRule="auto"/>
      </w:pPr>
      <w:r>
        <w:rPr>
          <w:rFonts w:ascii="Calibri" w:hAnsi="Calibri"/>
          <w:color w:val="1E293B"/>
          <w:sz w:val="20"/>
        </w:rPr>
        <w:t>Las entidades se guardan en tablas principales. Al iniciar el núcleo, las tablas se recorren para reconstruir nodos y enlaces.</w:t>
      </w:r>
    </w:p>
    <w:p>
      <w:pPr>
        <w:pStyle w:val="Heading3"/>
        <w:spacing w:before="200" w:after="60"/>
      </w:pPr>
      <w:r>
        <w:rPr>
          <w:rFonts w:ascii="Arial" w:hAnsi="Arial"/>
          <w:b/>
          <w:color w:val="0D9488"/>
          <w:sz w:val="23"/>
        </w:rPr>
        <w:t>32.2 Persistencia de la multilista</w:t>
      </w:r>
    </w:p>
    <w:p>
      <w:pPr>
        <w:spacing w:before="40" w:after="80" w:line="276" w:lineRule="auto"/>
      </w:pPr>
      <w:r>
        <w:rPr>
          <w:rFonts w:ascii="Calibri" w:hAnsi="Calibri"/>
          <w:color w:val="1E293B"/>
          <w:sz w:val="20"/>
        </w:rPr>
        <w:t>Las relaciones se guardan en:</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GroupMembership</w:t>
              <w:br/>
              <w:t>GroupProductLink</w:t>
              <w:br/>
              <w:t>GroupProject</w:t>
              <w:br/>
              <w:t>ResearcherProject</w:t>
              <w:br/>
              <w:t>ProjectProduct</w:t>
            </w:r>
          </w:p>
        </w:tc>
      </w:tr>
    </w:tbl>
    <w:p>
      <w:pPr>
        <w:spacing w:before="0" w:after="120"/>
      </w:pPr>
    </w:p>
    <w:p>
      <w:pPr>
        <w:pStyle w:val="Heading3"/>
        <w:spacing w:before="200" w:after="60"/>
      </w:pPr>
      <w:r>
        <w:rPr>
          <w:rFonts w:ascii="Arial" w:hAnsi="Arial"/>
          <w:b/>
          <w:color w:val="0D9488"/>
          <w:sz w:val="23"/>
        </w:rPr>
        <w:t>32.3 Persistencia de la pila</w:t>
      </w:r>
    </w:p>
    <w:p>
      <w:pPr>
        <w:spacing w:before="40" w:after="80" w:line="276" w:lineRule="auto"/>
      </w:pPr>
      <w:r>
        <w:rPr>
          <w:rFonts w:ascii="Calibri" w:hAnsi="Calibri"/>
          <w:color w:val="1E293B"/>
          <w:sz w:val="20"/>
        </w:rPr>
        <w:t>Solo se persisten operaciones reversibles. Una operación deshecha conserva su registro y la fecha de reversión.</w:t>
      </w:r>
    </w:p>
    <w:p>
      <w:pPr>
        <w:pStyle w:val="Heading3"/>
        <w:spacing w:before="200" w:after="60"/>
      </w:pPr>
      <w:r>
        <w:rPr>
          <w:rFonts w:ascii="Arial" w:hAnsi="Arial"/>
          <w:b/>
          <w:color w:val="0D9488"/>
          <w:sz w:val="23"/>
        </w:rPr>
        <w:t>32.4 Persistencia de la cola</w:t>
      </w:r>
    </w:p>
    <w:p>
      <w:pPr>
        <w:spacing w:before="40" w:after="80" w:line="276" w:lineRule="auto"/>
      </w:pPr>
      <w:r>
        <w:rPr>
          <w:rFonts w:ascii="Calibri" w:hAnsi="Calibri"/>
          <w:color w:val="1E293B"/>
          <w:sz w:val="20"/>
        </w:rPr>
        <w:t>Los elementos pendientes conservan orden de llegada, estado, intentos y asignación.</w:t>
      </w:r>
    </w:p>
    <w:p>
      <w:pPr>
        <w:pStyle w:val="Heading2"/>
        <w:spacing w:before="280" w:after="80"/>
      </w:pPr>
      <w:r>
        <w:rPr>
          <w:rFonts w:ascii="Arial" w:hAnsi="Arial"/>
          <w:b/>
          <w:color w:val="2B6CB0"/>
          <w:sz w:val="27"/>
        </w:rPr>
        <w:t>33. Persistencia dual</w:t>
      </w:r>
    </w:p>
    <w:p>
      <w:pPr>
        <w:pStyle w:val="Heading3"/>
        <w:spacing w:before="200" w:after="60"/>
      </w:pPr>
      <w:r>
        <w:rPr>
          <w:rFonts w:ascii="Arial" w:hAnsi="Arial"/>
          <w:b/>
          <w:color w:val="0D9488"/>
          <w:sz w:val="23"/>
        </w:rPr>
        <w:t>33.1 Persistencia principal</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SQL Server</w:t>
            </w:r>
          </w:p>
        </w:tc>
      </w:tr>
    </w:tbl>
    <w:p>
      <w:pPr>
        <w:spacing w:before="0" w:after="120"/>
      </w:pPr>
    </w:p>
    <w:p>
      <w:pPr>
        <w:spacing w:before="40" w:after="80" w:line="276" w:lineRule="auto"/>
      </w:pPr>
      <w:r>
        <w:rPr>
          <w:rFonts w:ascii="Calibri" w:hAnsi="Calibri"/>
          <w:color w:val="1E293B"/>
          <w:sz w:val="20"/>
        </w:rPr>
        <w:t>Responsabilidades:</w:t>
      </w:r>
    </w:p>
    <w:p>
      <w:pPr>
        <w:pStyle w:val="ListBullet"/>
        <w:spacing w:before="20" w:after="40"/>
        <w:ind w:left="360"/>
      </w:pPr>
      <w:r>
        <w:rPr>
          <w:rFonts w:ascii="Calibri" w:hAnsi="Calibri"/>
          <w:color w:val="2D3748"/>
          <w:sz w:val="19"/>
        </w:rPr>
        <w:t>Fuente definitiva de verdad.</w:t>
      </w:r>
    </w:p>
    <w:p>
      <w:pPr>
        <w:pStyle w:val="ListBullet"/>
        <w:spacing w:before="20" w:after="40"/>
        <w:ind w:left="360"/>
      </w:pPr>
      <w:r>
        <w:rPr>
          <w:rFonts w:ascii="Calibri" w:hAnsi="Calibri"/>
          <w:color w:val="2D3748"/>
          <w:sz w:val="19"/>
        </w:rPr>
        <w:t>Integridad referencial.</w:t>
      </w:r>
    </w:p>
    <w:p>
      <w:pPr>
        <w:pStyle w:val="ListBullet"/>
        <w:spacing w:before="20" w:after="40"/>
        <w:ind w:left="360"/>
      </w:pPr>
      <w:r>
        <w:rPr>
          <w:rFonts w:ascii="Calibri" w:hAnsi="Calibri"/>
          <w:color w:val="2D3748"/>
          <w:sz w:val="19"/>
        </w:rPr>
        <w:t>Transacciones.</w:t>
      </w:r>
    </w:p>
    <w:p>
      <w:pPr>
        <w:pStyle w:val="ListBullet"/>
        <w:spacing w:before="20" w:after="40"/>
        <w:ind w:left="360"/>
      </w:pPr>
      <w:r>
        <w:rPr>
          <w:rFonts w:ascii="Calibri" w:hAnsi="Calibri"/>
          <w:color w:val="2D3748"/>
          <w:sz w:val="19"/>
        </w:rPr>
        <w:t>Recuperación después de reiniciar.</w:t>
      </w:r>
    </w:p>
    <w:p>
      <w:pPr>
        <w:pStyle w:val="ListBullet"/>
        <w:spacing w:before="20" w:after="40"/>
        <w:ind w:left="360"/>
      </w:pPr>
      <w:r>
        <w:rPr>
          <w:rFonts w:ascii="Calibri" w:hAnsi="Calibri"/>
          <w:color w:val="2D3748"/>
          <w:sz w:val="19"/>
        </w:rPr>
        <w:t>Consultas analíticas.</w:t>
      </w:r>
    </w:p>
    <w:p>
      <w:pPr>
        <w:pStyle w:val="Heading3"/>
        <w:spacing w:before="200" w:after="60"/>
      </w:pPr>
      <w:r>
        <w:rPr>
          <w:rFonts w:ascii="Arial" w:hAnsi="Arial"/>
          <w:b/>
          <w:color w:val="0D9488"/>
          <w:sz w:val="23"/>
        </w:rPr>
        <w:t>33.2 Archivo de persistencia para entrega</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persistence/pea_data.json</w:t>
            </w:r>
          </w:p>
        </w:tc>
      </w:tr>
    </w:tbl>
    <w:p>
      <w:pPr>
        <w:spacing w:before="0" w:after="120"/>
      </w:pPr>
    </w:p>
    <w:p>
      <w:pPr>
        <w:spacing w:before="40" w:after="80" w:line="276" w:lineRule="auto"/>
      </w:pPr>
      <w:r>
        <w:rPr>
          <w:rFonts w:ascii="Calibri" w:hAnsi="Calibri"/>
          <w:color w:val="1E293B"/>
          <w:sz w:val="20"/>
        </w:rPr>
        <w:t>Contenido mínimo: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w:t>
              <w:br/>
              <w:t xml:space="preserve">  "schemaVersion": "1.0",</w:t>
              <w:br/>
              <w:t xml:space="preserve">  "exportedAt": "2026-09-24T00:00:00Z",</w:t>
              <w:br/>
              <w:t xml:space="preserve">  "groups": [],</w:t>
              <w:br/>
              <w:t xml:space="preserve">  "researchers": [],</w:t>
              <w:br/>
              <w:t xml:space="preserve">  "memberships": [],</w:t>
              <w:br/>
              <w:t xml:space="preserve">  "products": [],</w:t>
              <w:br/>
              <w:t xml:space="preserve">  "authors": [],</w:t>
              <w:br/>
              <w:t xml:space="preserve">  "groupProductLinks": [],</w:t>
              <w:br/>
              <w:t xml:space="preserve">  "workPlans": [],</w:t>
              <w:br/>
              <w:t xml:space="preserve">  "projects": [],</w:t>
              <w:br/>
              <w:t xml:space="preserve">  "validationQueue": [],</w:t>
              <w:br/>
              <w:t xml:space="preserve">  "undoOperations": []</w:t>
              <w:br/>
              <w:t>}</w:t>
            </w:r>
          </w:p>
        </w:tc>
      </w:tr>
    </w:tbl>
    <w:p>
      <w:pPr>
        <w:spacing w:before="0" w:after="120"/>
      </w:pPr>
    </w:p>
    <w:p>
      <w:pPr>
        <w:pStyle w:val="Heading3"/>
        <w:spacing w:before="200" w:after="60"/>
      </w:pPr>
      <w:r>
        <w:rPr>
          <w:rFonts w:ascii="Arial" w:hAnsi="Arial"/>
          <w:b/>
          <w:color w:val="0D9488"/>
          <w:sz w:val="23"/>
        </w:rPr>
        <w:t>33.3 Inicio de la aplicación</w:t>
      </w:r>
    </w:p>
    <w:p>
      <w:pPr>
        <w:spacing w:before="40" w:after="80" w:line="276" w:lineRule="auto"/>
      </w:pPr>
      <w:r>
        <w:rPr>
          <w:rFonts w:ascii="Calibri" w:hAnsi="Calibri"/>
          <w:color w:val="1E293B"/>
          <w:sz w:val="20"/>
        </w:rPr>
        <w:t>Opciones: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1. Usar datos existentes de SQL Server.</w:t>
              <w:br/>
              <w:t>2. Importar un archivo pea_data.json.</w:t>
              <w:br/>
              <w:t>3. Iniciar sin datos.</w:t>
            </w:r>
          </w:p>
        </w:tc>
      </w:tr>
    </w:tbl>
    <w:p>
      <w:pPr>
        <w:spacing w:before="0" w:after="120"/>
      </w:pPr>
    </w:p>
    <w:p>
      <w:pPr>
        <w:spacing w:before="40" w:after="80" w:line="276" w:lineRule="auto"/>
      </w:pPr>
      <w:r>
        <w:rPr>
          <w:rFonts w:ascii="Calibri" w:hAnsi="Calibri"/>
          <w:color w:val="1E293B"/>
          <w:sz w:val="20"/>
        </w:rPr>
        <w:t>Endpoints sugeridos: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POST /api/system/initialize/database</w:t>
              <w:br/>
              <w:t>POST /api/system/initialize/file</w:t>
              <w:br/>
              <w:t>POST /api/system/initialize/empty</w:t>
              <w:br/>
              <w:t>GET  /api/system/export</w:t>
            </w:r>
          </w:p>
        </w:tc>
      </w:tr>
    </w:tbl>
    <w:p>
      <w:pPr>
        <w:spacing w:before="0" w:after="120"/>
      </w:pPr>
    </w:p>
    <w:p>
      <w:pPr>
        <w:spacing w:before="40" w:after="80" w:line="276" w:lineRule="auto"/>
      </w:pPr>
      <w:r>
        <w:rPr>
          <w:rFonts w:ascii="Calibri" w:hAnsi="Calibri"/>
          <w:color w:val="1E293B"/>
          <w:sz w:val="20"/>
        </w:rPr>
        <w:t>La opción “iniciar sin datos” no elimina automáticamente la base de datos existente. Debe crear una sesión o entorno vacío controlado, o requerir una confirmación administrativa explícita para limpiar datos de desarrollo.</w:t>
      </w:r>
    </w:p>
    <w:p>
      <w:pPr>
        <w:pStyle w:val="Heading2"/>
        <w:spacing w:before="280" w:after="80"/>
      </w:pPr>
      <w:r>
        <w:rPr>
          <w:rFonts w:ascii="Arial" w:hAnsi="Arial"/>
          <w:b/>
          <w:color w:val="2B6CB0"/>
          <w:sz w:val="27"/>
        </w:rPr>
        <w:t>34. Estadísticas de la solución C++</w:t>
      </w:r>
    </w:p>
    <w:p>
      <w:pPr>
        <w:spacing w:before="40" w:after="80" w:line="276" w:lineRule="auto"/>
      </w:pPr>
      <w:r>
        <w:rPr>
          <w:rFonts w:ascii="Calibri" w:hAnsi="Calibri"/>
          <w:color w:val="1E293B"/>
          <w:sz w:val="20"/>
        </w:rPr>
        <w:t>La CLI C++ debe presentar tablas y números, sin requerir GUI.</w:t>
      </w:r>
    </w:p>
    <w:p>
      <w:pPr>
        <w:spacing w:before="40" w:after="80" w:line="276" w:lineRule="auto"/>
      </w:pPr>
      <w:r>
        <w:rPr>
          <w:rFonts w:ascii="Calibri" w:hAnsi="Calibri"/>
          <w:color w:val="1E293B"/>
          <w:sz w:val="20"/>
        </w:rPr>
        <w:t>Comandos mínimos: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pea_cli groups list</w:t>
              <w:br/>
              <w:t>pea_cli researchers list</w:t>
              <w:br/>
              <w:t>pea_cli products list</w:t>
              <w:br/>
              <w:t>pea_cli summary</w:t>
              <w:br/>
              <w:t>pea_cli products by-year 2022 2026</w:t>
              <w:br/>
              <w:t>pea_cli structures groups</w:t>
              <w:br/>
              <w:t>pea_cli structures multilist --group 1</w:t>
              <w:br/>
              <w:t>pea_cli queue list</w:t>
              <w:br/>
              <w:t>pea_cli queue process</w:t>
              <w:br/>
              <w:t>pea_cli history top</w:t>
              <w:br/>
              <w:t>pea_cli history undo</w:t>
              <w:br/>
              <w:t>pea_cli export persistence/pea_data.json</w:t>
            </w:r>
          </w:p>
        </w:tc>
      </w:tr>
    </w:tbl>
    <w:p>
      <w:pPr>
        <w:spacing w:before="0" w:after="120"/>
      </w:pPr>
    </w:p>
    <w:p>
      <w:pPr>
        <w:spacing w:before="40" w:after="80" w:line="276" w:lineRule="auto"/>
      </w:pPr>
      <w:r>
        <w:rPr>
          <w:rFonts w:ascii="Calibri" w:hAnsi="Calibri"/>
          <w:color w:val="1E293B"/>
          <w:sz w:val="20"/>
        </w:rPr>
        <w:t>Resumen esperado: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w:t>
              <w:br/>
              <w:t>| Indicador                      | Total |</w:t>
              <w:br/>
              <w:t>+--------------------------------+-------+</w:t>
              <w:br/>
              <w:t>| Grupos activos                 |    12 |</w:t>
              <w:br/>
              <w:t>| Investigadores activos         |    84 |</w:t>
              <w:br/>
              <w:t>| Productos registrados          |   240 |</w:t>
              <w:br/>
              <w:t>| Productos validados            |   213 |</w:t>
              <w:br/>
              <w:t>| Productos pendientes           |    27 |</w:t>
              <w:br/>
              <w:t>+--------------------------------+-------+</w:t>
            </w:r>
          </w:p>
        </w:tc>
      </w:tr>
    </w:tbl>
    <w:p>
      <w:pPr>
        <w:spacing w:before="0" w:after="120"/>
      </w:pPr>
    </w:p>
    <w:p>
      <w:pPr>
        <w:spacing w:before="40" w:after="80" w:line="276" w:lineRule="auto"/>
      </w:pPr>
      <w:r>
        <w:rPr>
          <w:rFonts w:ascii="Calibri" w:hAnsi="Calibri"/>
          <w:color w:val="1E293B"/>
          <w:sz w:val="20"/>
        </w:rPr>
        <w:t>Los valores anteriores son únicamente un ejemplo de presentación, no datos reales del proyecto.</w:t>
      </w:r>
    </w:p>
    <w:p>
      <w:pPr>
        <w:pStyle w:val="Heading2"/>
        <w:spacing w:before="280" w:after="80"/>
      </w:pPr>
      <w:r>
        <w:rPr>
          <w:rFonts w:ascii="Arial" w:hAnsi="Arial"/>
          <w:b/>
          <w:color w:val="2B6CB0"/>
          <w:sz w:val="27"/>
        </w:rPr>
        <w:t>35. Dashboard estadístico (decisión D-02)</w:t>
      </w:r>
    </w:p>
    <w:p>
      <w:pPr>
        <w:spacing w:before="40" w:after="80" w:line="276" w:lineRule="auto"/>
      </w:pPr>
      <w:r>
        <w:rPr>
          <w:rFonts w:ascii="Calibri" w:hAnsi="Calibri"/>
          <w:color w:val="1E293B"/>
          <w:sz w:val="20"/>
        </w:rPr>
        <w:t>Conforme a la decisión D-02, el dashboard exigido en el punto 12 del taller se entrega dentro de la aplicación integrada: la vista es React, el servicio es la solución Python (FastAPI) y las agregaciones las calcula el núcleo C++ a través de pybind11. No se genera un dashboard matplotlib autónomo.</w:t>
      </w:r>
    </w:p>
    <w:p>
      <w:pPr>
        <w:pStyle w:val="Heading3"/>
        <w:spacing w:before="200" w:after="60"/>
      </w:pPr>
      <w:r>
        <w:rPr>
          <w:rFonts w:ascii="Arial" w:hAnsi="Arial"/>
          <w:b/>
          <w:color w:val="0D9488"/>
          <w:sz w:val="23"/>
        </w:rPr>
        <w:t>35.1 Cadena de generación</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Núcleo C++ (agregaciones sobre SQL Server y estructuras)</w:t>
              <w:br/>
              <w:t xml:space="preserve">   ↓ pybind11</w:t>
              <w:br/>
              <w:t>FastAPI  GET /api/v1/dashboard/stats</w:t>
              <w:br/>
              <w:t xml:space="preserve">   ↓ HTTP/JSON</w:t>
              <w:br/>
              <w:t>React   dashboard web</w:t>
            </w:r>
          </w:p>
        </w:tc>
      </w:tr>
    </w:tbl>
    <w:p>
      <w:pPr>
        <w:spacing w:before="0" w:after="120"/>
      </w:pPr>
    </w:p>
    <w:p>
      <w:pPr>
        <w:pStyle w:val="Heading3"/>
        <w:spacing w:before="200" w:after="60"/>
      </w:pPr>
      <w:r>
        <w:rPr>
          <w:rFonts w:ascii="Arial" w:hAnsi="Arial"/>
          <w:b/>
          <w:color w:val="0D9488"/>
          <w:sz w:val="23"/>
        </w:rPr>
        <w:t>35.2 Visualizaciones entregadas</w:t>
      </w:r>
    </w:p>
    <w:p>
      <w:pPr>
        <w:pStyle w:val="ListBullet"/>
        <w:spacing w:before="20" w:after="40"/>
        <w:ind w:left="360"/>
      </w:pPr>
      <w:r>
        <w:rPr>
          <w:rFonts w:ascii="Calibri" w:hAnsi="Calibri"/>
          <w:color w:val="2D3748"/>
          <w:sz w:val="19"/>
        </w:rPr>
        <w:t>Histograma de producción por año de obtención.</w:t>
      </w:r>
    </w:p>
    <w:p>
      <w:pPr>
        <w:pStyle w:val="ListBullet"/>
        <w:spacing w:before="20" w:after="40"/>
        <w:ind w:left="360"/>
      </w:pPr>
      <w:r>
        <w:rPr>
          <w:rFonts w:ascii="Calibri" w:hAnsi="Calibri"/>
          <w:color w:val="2D3748"/>
          <w:sz w:val="19"/>
        </w:rPr>
        <w:t>Distribución del estado de validación (válidos, pendientes, rechazados).</w:t>
      </w:r>
    </w:p>
    <w:p>
      <w:pPr>
        <w:pStyle w:val="ListBullet"/>
        <w:spacing w:before="20" w:after="40"/>
        <w:ind w:left="360"/>
      </w:pPr>
      <w:r>
        <w:rPr>
          <w:rFonts w:ascii="Calibri" w:hAnsi="Calibri"/>
          <w:color w:val="2D3748"/>
          <w:sz w:val="19"/>
        </w:rPr>
        <w:t>Barras de clasificación de grupos por categoría Minciencias.</w:t>
      </w:r>
    </w:p>
    <w:p>
      <w:pPr>
        <w:pStyle w:val="ListBullet"/>
        <w:spacing w:before="20" w:after="40"/>
        <w:ind w:left="360"/>
      </w:pPr>
      <w:r>
        <w:rPr>
          <w:rFonts w:ascii="Calibri" w:hAnsi="Calibri"/>
          <w:color w:val="2D3748"/>
          <w:sz w:val="19"/>
        </w:rPr>
        <w:t>KPIs numéricos generales (grupos, investigadores, productos, validaciones).</w:t>
      </w:r>
    </w:p>
    <w:p>
      <w:pPr>
        <w:pStyle w:val="Heading3"/>
        <w:spacing w:before="200" w:after="60"/>
      </w:pPr>
      <w:r>
        <w:rPr>
          <w:rFonts w:ascii="Arial" w:hAnsi="Arial"/>
          <w:b/>
          <w:color w:val="0D9488"/>
          <w:sz w:val="23"/>
        </w:rPr>
        <w:t>35.3 Vistas obligatorias</w:t>
      </w:r>
    </w:p>
    <w:p>
      <w:pPr>
        <w:pStyle w:val="ListBullet"/>
        <w:spacing w:before="20" w:after="40"/>
        <w:ind w:left="360"/>
      </w:pPr>
      <w:r>
        <w:rPr>
          <w:rFonts w:ascii="Calibri" w:hAnsi="Calibri"/>
          <w:color w:val="2D3748"/>
          <w:sz w:val="19"/>
        </w:rPr>
        <w:t>Por grupo: detalle con integrantes, productos, proyectos y líneas de investigación.</w:t>
      </w:r>
    </w:p>
    <w:p>
      <w:pPr>
        <w:pStyle w:val="ListBullet"/>
        <w:spacing w:before="20" w:after="40"/>
        <w:ind w:left="360"/>
      </w:pPr>
      <w:r>
        <w:rPr>
          <w:rFonts w:ascii="Calibri" w:hAnsi="Calibri"/>
          <w:color w:val="2D3748"/>
          <w:sz w:val="19"/>
        </w:rPr>
        <w:t>Por investigador: detalle con grupos y productos.</w:t>
      </w:r>
    </w:p>
    <w:p>
      <w:pPr>
        <w:pStyle w:val="ListBullet"/>
        <w:spacing w:before="20" w:after="40"/>
        <w:ind w:left="360"/>
      </w:pPr>
      <w:r>
        <w:rPr>
          <w:rFonts w:ascii="Calibri" w:hAnsi="Calibri"/>
          <w:color w:val="2D3748"/>
          <w:sz w:val="19"/>
        </w:rPr>
        <w:t>Por producto: listado con búsqueda, filtros y ventana de observación.</w:t>
      </w:r>
    </w:p>
    <w:p>
      <w:pPr>
        <w:pStyle w:val="Heading3"/>
        <w:spacing w:before="200" w:after="60"/>
      </w:pPr>
      <w:r>
        <w:rPr>
          <w:rFonts w:ascii="Arial" w:hAnsi="Arial"/>
          <w:b/>
          <w:color w:val="0D9488"/>
          <w:sz w:val="23"/>
        </w:rPr>
        <w:t>35.4 Trabajo futuro (no obligatorio)</w:t>
      </w:r>
    </w:p>
    <w:p>
      <w:pPr>
        <w:spacing w:before="40" w:after="80" w:line="276" w:lineRule="auto"/>
      </w:pPr>
      <w:r>
        <w:rPr>
          <w:rFonts w:ascii="Calibri" w:hAnsi="Calibri"/>
          <w:color w:val="1E293B"/>
          <w:sz w:val="20"/>
        </w:rPr>
        <w:t xml:space="preserve">Si el docente exige un dashboard ejecutable solo con Python, se añadirá un modo </w:t>
      </w:r>
      <w:r>
        <w:rPr>
          <w:rFonts w:ascii="Consolas" w:hAnsi="Consolas"/>
          <w:color w:val="0369A1"/>
          <w:sz w:val="17"/>
        </w:rPr>
        <w:t>dashboard</w:t>
      </w:r>
      <w:r>
        <w:rPr>
          <w:rFonts w:ascii="Calibri" w:hAnsi="Calibri"/>
          <w:color w:val="1E293B"/>
          <w:sz w:val="20"/>
        </w:rPr>
        <w:t xml:space="preserve"> en el backend que produzca </w:t>
      </w:r>
      <w:r>
        <w:rPr>
          <w:rFonts w:ascii="Consolas" w:hAnsi="Consolas"/>
          <w:color w:val="0369A1"/>
          <w:sz w:val="17"/>
        </w:rPr>
        <w:t>dashboard_report.html</w:t>
      </w:r>
      <w:r>
        <w:rPr>
          <w:rFonts w:ascii="Calibri" w:hAnsi="Calibri"/>
          <w:color w:val="1E293B"/>
          <w:sz w:val="20"/>
        </w:rPr>
        <w:t xml:space="preserve"> con matplotlib. Queda registrado como complemento de bajo costo, no como requisito incumplido.</w:t>
      </w:r>
    </w:p>
    <w:p>
      <w:pPr>
        <w:pStyle w:val="Heading2"/>
        <w:spacing w:before="280" w:after="80"/>
      </w:pPr>
      <w:r>
        <w:rPr>
          <w:rFonts w:ascii="Arial" w:hAnsi="Arial"/>
          <w:b/>
          <w:color w:val="2B6CB0"/>
          <w:sz w:val="27"/>
        </w:rPr>
        <w:t>36. Edición de datos y permisos</w:t>
      </w:r>
    </w:p>
    <w:p>
      <w:pPr>
        <w:spacing w:before="40" w:after="80" w:line="276" w:lineRule="auto"/>
      </w:pPr>
      <w:r>
        <w:rPr>
          <w:rFonts w:ascii="Calibri" w:hAnsi="Calibri"/>
          <w:color w:val="1E293B"/>
          <w:sz w:val="20"/>
        </w:rPr>
        <w:t>El requisito de editar cualquier dato se interpretará así:</w:t>
      </w:r>
    </w:p>
    <w:p>
      <w:pPr>
        <w:pStyle w:val="ListBullet"/>
        <w:spacing w:before="20" w:after="40"/>
        <w:ind w:left="360"/>
      </w:pPr>
      <w:r>
        <w:rPr>
          <w:rFonts w:ascii="Calibri" w:hAnsi="Calibri"/>
          <w:color w:val="2D3748"/>
          <w:sz w:val="19"/>
        </w:rPr>
        <w:t>Todos los datos funcionales cuentan con una operación de modificación.</w:t>
      </w:r>
    </w:p>
    <w:p>
      <w:pPr>
        <w:pStyle w:val="ListBullet"/>
        <w:spacing w:before="20" w:after="40"/>
        <w:ind w:left="360"/>
      </w:pPr>
      <w:r>
        <w:rPr>
          <w:rFonts w:ascii="Calibri" w:hAnsi="Calibri"/>
          <w:color w:val="2D3748"/>
          <w:sz w:val="19"/>
        </w:rPr>
        <w:t>La modificación requiere permisos adecuados.</w:t>
      </w:r>
    </w:p>
    <w:p>
      <w:pPr>
        <w:pStyle w:val="ListBullet"/>
        <w:spacing w:before="20" w:after="40"/>
        <w:ind w:left="360"/>
      </w:pPr>
      <w:r>
        <w:rPr>
          <w:rFonts w:ascii="Calibri" w:hAnsi="Calibri"/>
          <w:color w:val="2D3748"/>
          <w:sz w:val="19"/>
        </w:rPr>
        <w:t>Los identificadores internos no se editan manualmente.</w:t>
      </w:r>
    </w:p>
    <w:p>
      <w:pPr>
        <w:pStyle w:val="ListBullet"/>
        <w:spacing w:before="20" w:after="40"/>
        <w:ind w:left="360"/>
      </w:pPr>
      <w:r>
        <w:rPr>
          <w:rFonts w:ascii="Calibri" w:hAnsi="Calibri"/>
          <w:color w:val="2D3748"/>
          <w:sz w:val="19"/>
        </w:rPr>
        <w:t>Los campos calculados se recalculan, no se sobrescriben.</w:t>
      </w:r>
    </w:p>
    <w:p>
      <w:pPr>
        <w:pStyle w:val="ListBullet"/>
        <w:spacing w:before="20" w:after="40"/>
        <w:ind w:left="360"/>
      </w:pPr>
      <w:r>
        <w:rPr>
          <w:rFonts w:ascii="Calibri" w:hAnsi="Calibri"/>
          <w:color w:val="2D3748"/>
          <w:sz w:val="19"/>
        </w:rPr>
        <w:t>Los cambios sensibles generan auditoría.</w:t>
      </w:r>
    </w:p>
    <w:p>
      <w:pPr>
        <w:pStyle w:val="ListBullet"/>
        <w:spacing w:before="20" w:after="40"/>
        <w:ind w:left="360"/>
      </w:pPr>
      <w:r>
        <w:rPr>
          <w:rFonts w:ascii="Calibri" w:hAnsi="Calibri"/>
          <w:color w:val="2D3748"/>
          <w:sz w:val="19"/>
        </w:rPr>
        <w:t>Una modificación que afecte una validación obliga a revalidar.</w:t>
      </w:r>
    </w:p>
    <w:p>
      <w:pPr>
        <w:pStyle w:val="Heading2"/>
        <w:spacing w:before="280" w:after="80"/>
      </w:pPr>
      <w:r>
        <w:rPr>
          <w:rFonts w:ascii="Arial" w:hAnsi="Arial"/>
          <w:b/>
          <w:color w:val="2B6CB0"/>
          <w:sz w:val="27"/>
        </w:rPr>
        <w:t>37. Entregables obligatorios</w:t>
      </w:r>
    </w:p>
    <w:p>
      <w:pPr>
        <w:pStyle w:val="Heading3"/>
        <w:spacing w:before="200" w:after="60"/>
      </w:pPr>
      <w:r>
        <w:rPr>
          <w:rFonts w:ascii="Arial" w:hAnsi="Arial"/>
          <w:b/>
          <w:color w:val="0D9488"/>
          <w:sz w:val="23"/>
        </w:rPr>
        <w:t>37.1 Código</w:t>
      </w:r>
    </w:p>
    <w:p>
      <w:pPr>
        <w:spacing w:before="40" w:after="80" w:line="276" w:lineRule="auto"/>
      </w:pPr>
      <w:r>
        <w:rPr>
          <w:rFonts w:ascii="Calibri" w:hAnsi="Calibri"/>
          <w:color w:val="1E293B"/>
          <w:sz w:val="20"/>
        </w:rPr>
        <w:t xml:space="preserve">Por la decisión D-01, no se entregan archivos únicos </w:t>
      </w:r>
      <w:r>
        <w:rPr>
          <w:rFonts w:ascii="Consolas" w:hAnsi="Consolas"/>
          <w:color w:val="0369A1"/>
          <w:sz w:val="17"/>
        </w:rPr>
        <w:t>ABPOXX.cpp</w:t>
      </w:r>
      <w:r>
        <w:rPr>
          <w:rFonts w:ascii="Calibri" w:hAnsi="Calibri"/>
          <w:color w:val="1E293B"/>
          <w:sz w:val="20"/>
        </w:rPr>
        <w:t xml:space="preserve"> ni </w:t>
      </w:r>
      <w:r>
        <w:rPr>
          <w:rFonts w:ascii="Consolas" w:hAnsi="Consolas"/>
          <w:color w:val="0369A1"/>
          <w:sz w:val="17"/>
        </w:rPr>
        <w:t>ABPOXX.py</w:t>
      </w:r>
      <w:r>
        <w:rPr>
          <w:rFonts w:ascii="Calibri" w:hAnsi="Calibri"/>
          <w:color w:val="1E293B"/>
          <w:sz w:val="20"/>
        </w:rPr>
        <w:t>: se entrega el proyecto modular completo, cuyas dos soluciones son ejecutables de forma independiente.</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Solución C/C++   core_cpp/  → pea_cli.exe</w:t>
              <w:br/>
              <w:t>Solución Python  backend/   → uvicorn app.main:app</w:t>
            </w:r>
          </w:p>
        </w:tc>
      </w:tr>
    </w:tbl>
    <w:p>
      <w:pPr>
        <w:spacing w:before="0" w:after="120"/>
      </w:pPr>
    </w:p>
    <w:p>
      <w:pPr>
        <w:spacing w:before="40" w:after="80" w:line="276" w:lineRule="auto"/>
      </w:pPr>
      <w:r>
        <w:rPr>
          <w:rFonts w:ascii="Calibri" w:hAnsi="Calibri"/>
          <w:color w:val="1E293B"/>
          <w:sz w:val="20"/>
        </w:rPr>
        <w:t>El equipo sustentará esta sustitución en el video y en el documento Word (riesgo residual registrado en D-01).</w:t>
      </w:r>
    </w:p>
    <w:p>
      <w:pPr>
        <w:pStyle w:val="Heading3"/>
        <w:spacing w:before="200" w:after="60"/>
      </w:pPr>
      <w:r>
        <w:rPr>
          <w:rFonts w:ascii="Arial" w:hAnsi="Arial"/>
          <w:b/>
          <w:color w:val="0D9488"/>
          <w:sz w:val="23"/>
        </w:rPr>
        <w:t>37.2 Documento Word</w:t>
      </w:r>
    </w:p>
    <w:p>
      <w:pPr>
        <w:spacing w:before="40" w:after="80" w:line="276" w:lineRule="auto"/>
      </w:pPr>
      <w:r>
        <w:rPr>
          <w:rFonts w:ascii="Calibri" w:hAnsi="Calibri"/>
          <w:color w:val="1E293B"/>
          <w:sz w:val="20"/>
        </w:rPr>
        <w:t>Debe contener:</w:t>
      </w:r>
    </w:p>
    <w:p>
      <w:pPr>
        <w:pStyle w:val="ListBullet"/>
        <w:spacing w:before="20" w:after="40"/>
        <w:ind w:left="360"/>
      </w:pPr>
      <w:r>
        <w:rPr>
          <w:rFonts w:ascii="Calibri" w:hAnsi="Calibri"/>
          <w:color w:val="2D3748"/>
          <w:sz w:val="19"/>
        </w:rPr>
        <w:t>Contexto.</w:t>
      </w:r>
    </w:p>
    <w:p>
      <w:pPr>
        <w:pStyle w:val="ListBullet"/>
        <w:spacing w:before="20" w:after="40"/>
        <w:ind w:left="360"/>
      </w:pPr>
      <w:r>
        <w:rPr>
          <w:rFonts w:ascii="Calibri" w:hAnsi="Calibri"/>
          <w:color w:val="2D3748"/>
          <w:sz w:val="19"/>
        </w:rPr>
        <w:t>Requerimientos.</w:t>
      </w:r>
    </w:p>
    <w:p>
      <w:pPr>
        <w:pStyle w:val="ListBullet"/>
        <w:spacing w:before="20" w:after="40"/>
        <w:ind w:left="360"/>
      </w:pPr>
      <w:r>
        <w:rPr>
          <w:rFonts w:ascii="Calibri" w:hAnsi="Calibri"/>
          <w:color w:val="2D3748"/>
          <w:sz w:val="19"/>
        </w:rPr>
        <w:t>Arquitectura.</w:t>
      </w:r>
    </w:p>
    <w:p>
      <w:pPr>
        <w:pStyle w:val="ListBullet"/>
        <w:spacing w:before="20" w:after="40"/>
        <w:ind w:left="360"/>
      </w:pPr>
      <w:r>
        <w:rPr>
          <w:rFonts w:ascii="Calibri" w:hAnsi="Calibri"/>
          <w:color w:val="2D3748"/>
          <w:sz w:val="19"/>
        </w:rPr>
        <w:t>Estructuras de datos.</w:t>
      </w:r>
    </w:p>
    <w:p>
      <w:pPr>
        <w:pStyle w:val="ListBullet"/>
        <w:spacing w:before="20" w:after="40"/>
        <w:ind w:left="360"/>
      </w:pPr>
      <w:r>
        <w:rPr>
          <w:rFonts w:ascii="Calibri" w:hAnsi="Calibri"/>
          <w:color w:val="2D3748"/>
          <w:sz w:val="19"/>
        </w:rPr>
        <w:t>Modelo relacional.</w:t>
      </w:r>
    </w:p>
    <w:p>
      <w:pPr>
        <w:pStyle w:val="ListBullet"/>
        <w:spacing w:before="20" w:after="40"/>
        <w:ind w:left="360"/>
      </w:pPr>
      <w:r>
        <w:rPr>
          <w:rFonts w:ascii="Calibri" w:hAnsi="Calibri"/>
          <w:color w:val="2D3748"/>
          <w:sz w:val="19"/>
        </w:rPr>
        <w:t>Reglas de negocio.</w:t>
      </w:r>
    </w:p>
    <w:p>
      <w:pPr>
        <w:pStyle w:val="ListBullet"/>
        <w:spacing w:before="20" w:after="40"/>
        <w:ind w:left="360"/>
      </w:pPr>
      <w:r>
        <w:rPr>
          <w:rFonts w:ascii="Calibri" w:hAnsi="Calibri"/>
          <w:color w:val="2D3748"/>
          <w:sz w:val="19"/>
        </w:rPr>
        <w:t>Entradas y salidas.</w:t>
      </w:r>
    </w:p>
    <w:p>
      <w:pPr>
        <w:pStyle w:val="ListBullet"/>
        <w:spacing w:before="20" w:after="40"/>
        <w:ind w:left="360"/>
      </w:pPr>
      <w:r>
        <w:rPr>
          <w:rFonts w:ascii="Calibri" w:hAnsi="Calibri"/>
          <w:color w:val="2D3748"/>
          <w:sz w:val="19"/>
        </w:rPr>
        <w:t>Hipercubo.</w:t>
      </w:r>
    </w:p>
    <w:p>
      <w:pPr>
        <w:pStyle w:val="ListBullet"/>
        <w:spacing w:before="20" w:after="40"/>
        <w:ind w:left="360"/>
      </w:pPr>
      <w:r>
        <w:rPr>
          <w:rFonts w:ascii="Calibri" w:hAnsi="Calibri"/>
          <w:color w:val="2D3748"/>
          <w:sz w:val="19"/>
        </w:rPr>
        <w:t>Casos de uso.</w:t>
      </w:r>
    </w:p>
    <w:p>
      <w:pPr>
        <w:pStyle w:val="ListBullet"/>
        <w:spacing w:before="20" w:after="40"/>
        <w:ind w:left="360"/>
      </w:pPr>
      <w:r>
        <w:rPr>
          <w:rFonts w:ascii="Calibri" w:hAnsi="Calibri"/>
          <w:color w:val="2D3748"/>
          <w:sz w:val="19"/>
        </w:rPr>
        <w:t>Historias de usuario.</w:t>
      </w:r>
    </w:p>
    <w:p>
      <w:pPr>
        <w:pStyle w:val="ListBullet"/>
        <w:spacing w:before="20" w:after="40"/>
        <w:ind w:left="360"/>
      </w:pPr>
      <w:r>
        <w:rPr>
          <w:rFonts w:ascii="Calibri" w:hAnsi="Calibri"/>
          <w:color w:val="2D3748"/>
          <w:sz w:val="19"/>
        </w:rPr>
        <w:t>Diagramas.</w:t>
      </w:r>
    </w:p>
    <w:p>
      <w:pPr>
        <w:pStyle w:val="ListBullet"/>
        <w:spacing w:before="20" w:after="40"/>
        <w:ind w:left="360"/>
      </w:pPr>
      <w:r>
        <w:rPr>
          <w:rFonts w:ascii="Calibri" w:hAnsi="Calibri"/>
          <w:color w:val="2D3748"/>
          <w:sz w:val="19"/>
        </w:rPr>
        <w:t>Estrategia de pruebas.</w:t>
      </w:r>
    </w:p>
    <w:p>
      <w:pPr>
        <w:pStyle w:val="ListBullet"/>
        <w:spacing w:before="20" w:after="40"/>
        <w:ind w:left="360"/>
      </w:pPr>
      <w:r>
        <w:rPr>
          <w:rFonts w:ascii="Calibri" w:hAnsi="Calibri"/>
          <w:color w:val="2D3748"/>
          <w:sz w:val="19"/>
        </w:rPr>
        <w:t>Instrucciones de ejecución.</w:t>
      </w:r>
    </w:p>
    <w:p>
      <w:pPr>
        <w:pStyle w:val="Heading3"/>
        <w:spacing w:before="200" w:after="60"/>
      </w:pPr>
      <w:r>
        <w:rPr>
          <w:rFonts w:ascii="Arial" w:hAnsi="Arial"/>
          <w:b/>
          <w:color w:val="0D9488"/>
          <w:sz w:val="23"/>
        </w:rPr>
        <w:t>37.3 Archivo de persistencia</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pea_data.json</w:t>
            </w:r>
          </w:p>
        </w:tc>
      </w:tr>
    </w:tbl>
    <w:p>
      <w:pPr>
        <w:spacing w:before="0" w:after="120"/>
      </w:pPr>
    </w:p>
    <w:p>
      <w:pPr>
        <w:pStyle w:val="Heading3"/>
        <w:spacing w:before="200" w:after="60"/>
      </w:pPr>
      <w:r>
        <w:rPr>
          <w:rFonts w:ascii="Arial" w:hAnsi="Arial"/>
          <w:b/>
          <w:color w:val="0D9488"/>
          <w:sz w:val="23"/>
        </w:rPr>
        <w:t>37.4 Archivo de identificación</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INTEGRANTES.txt</w:t>
            </w:r>
          </w:p>
        </w:tc>
      </w:tr>
    </w:tbl>
    <w:p>
      <w:pPr>
        <w:spacing w:before="0" w:after="120"/>
      </w:pPr>
    </w:p>
    <w:p>
      <w:pPr>
        <w:spacing w:before="40" w:after="80" w:line="276" w:lineRule="auto"/>
      </w:pPr>
      <w:r>
        <w:rPr>
          <w:rFonts w:ascii="Calibri" w:hAnsi="Calibri"/>
          <w:color w:val="1E293B"/>
          <w:sz w:val="20"/>
        </w:rPr>
        <w:t>Plantilla:</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Grupo: XX</w:t>
              <w:br/>
              <w:br/>
              <w:t>Integrante 1</w:t>
              <w:br/>
              <w:t>Nombre completo:</w:t>
              <w:br/>
              <w:t>Código estudiantil:</w:t>
              <w:br/>
              <w:t>Correo institucional:</w:t>
              <w:br/>
              <w:t>Programa:</w:t>
              <w:br/>
              <w:br/>
              <w:t>Integrante 2</w:t>
              <w:br/>
              <w:t>...</w:t>
            </w:r>
          </w:p>
        </w:tc>
      </w:tr>
    </w:tbl>
    <w:p>
      <w:pPr>
        <w:spacing w:before="0" w:after="120"/>
      </w:pPr>
    </w:p>
    <w:p>
      <w:pPr>
        <w:pStyle w:val="Heading3"/>
        <w:spacing w:before="200" w:after="60"/>
      </w:pPr>
      <w:r>
        <w:rPr>
          <w:rFonts w:ascii="Arial" w:hAnsi="Arial"/>
          <w:b/>
          <w:color w:val="0D9488"/>
          <w:sz w:val="23"/>
        </w:rPr>
        <w:t>37.5 Video</w:t>
      </w:r>
    </w:p>
    <w:p>
      <w:pPr>
        <w:spacing w:before="40" w:after="80" w:line="276" w:lineRule="auto"/>
      </w:pPr>
      <w:r>
        <w:rPr>
          <w:rFonts w:ascii="Calibri" w:hAnsi="Calibri"/>
          <w:color w:val="1E293B"/>
          <w:sz w:val="20"/>
        </w:rPr>
        <w:t>Duración aproximada solicitada: 10 minutos.</w:t>
      </w:r>
    </w:p>
    <w:p>
      <w:pPr>
        <w:spacing w:before="40" w:after="80" w:line="276" w:lineRule="auto"/>
      </w:pPr>
      <w:r>
        <w:rPr>
          <w:rFonts w:ascii="Calibri" w:hAnsi="Calibri"/>
          <w:color w:val="1E293B"/>
          <w:sz w:val="20"/>
        </w:rPr>
        <w:t>Guion recomendado: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00:00 Presentación e identidad institucional</w:t>
              <w:br/>
              <w:t>00:40 Problema y requisitos</w:t>
              <w:br/>
              <w:t>01:30 Arquitectura</w:t>
              <w:br/>
              <w:t>02:20 Modelo relacional e hipercubo</w:t>
              <w:br/>
              <w:t>03:10 Lista</w:t>
              <w:br/>
              <w:t>04:00 Multilista</w:t>
              <w:br/>
              <w:t>04:50 Pila</w:t>
              <w:br/>
              <w:t>05:30 Cola</w:t>
              <w:br/>
              <w:t>06:10 Solución C++</w:t>
              <w:br/>
              <w:t>07:00 Solución Python y dashboard integrado</w:t>
              <w:br/>
              <w:t>08:00 Importación desde URL (GrupLAC/CvLAC/Scienti)</w:t>
              <w:br/>
              <w:t>09:00 Aplicación integrada y persistencia</w:t>
              <w:br/>
              <w:t>09:40 Decisiones de alcance (26.1) y conclusiones</w:t>
            </w:r>
          </w:p>
        </w:tc>
      </w:tr>
    </w:tbl>
    <w:p>
      <w:pPr>
        <w:spacing w:before="0" w:after="120"/>
      </w:pPr>
    </w:p>
    <w:p>
      <w:pPr>
        <w:spacing w:before="40" w:after="80" w:line="276" w:lineRule="auto"/>
      </w:pPr>
      <w:r>
        <w:rPr>
          <w:rFonts w:ascii="Calibri" w:hAnsi="Calibri"/>
          <w:color w:val="1E293B"/>
          <w:sz w:val="20"/>
        </w:rPr>
        <w:t xml:space="preserve">El guion definitivo de grabación está disponible en </w:t>
      </w:r>
      <w:r>
        <w:rPr>
          <w:rFonts w:ascii="Consolas" w:hAnsi="Consolas"/>
          <w:color w:val="0369A1"/>
          <w:sz w:val="17"/>
        </w:rPr>
        <w:t>docs/guion_sustentacion_video_parcial2.md</w:t>
      </w:r>
      <w:r>
        <w:rPr>
          <w:rFonts w:ascii="Calibri" w:hAnsi="Calibri"/>
          <w:color w:val="1E293B"/>
          <w:sz w:val="20"/>
        </w:rPr>
        <w:t>: escenas cronometradas de 10 a 12 minutos, checklist técnico previo a la grabación, distribución de presentadores por escena y requisitos de la rúbrica (identidad institucional e integrantes visibles en cámara).</w:t>
      </w:r>
    </w:p>
    <w:p>
      <w:pPr>
        <w:pStyle w:val="Heading3"/>
        <w:spacing w:before="200" w:after="60"/>
      </w:pPr>
      <w:r>
        <w:rPr>
          <w:rFonts w:ascii="Arial" w:hAnsi="Arial"/>
          <w:b/>
          <w:color w:val="0D9488"/>
          <w:sz w:val="23"/>
        </w:rPr>
        <w:t>37.6 Correo de entrega</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Destinatario: adithperez@unicesar.edu.co</w:t>
              <w:br/>
              <w:t>Asunto: Estructura de datos Parcial 2 Grupo # 2026</w:t>
            </w:r>
          </w:p>
        </w:tc>
      </w:tr>
    </w:tbl>
    <w:p>
      <w:pPr>
        <w:spacing w:before="0" w:after="120"/>
      </w:pPr>
    </w:p>
    <w:p>
      <w:pPr>
        <w:spacing w:before="40" w:after="80" w:line="276" w:lineRule="auto"/>
      </w:pPr>
      <w:r>
        <w:rPr>
          <w:rFonts w:ascii="Calibri" w:hAnsi="Calibri"/>
          <w:color w:val="1E293B"/>
          <w:sz w:val="20"/>
        </w:rPr>
        <w:t>Según el enunciado del Parcial 2, la entrega se realiza en dos fechas: entrega preliminar el viernes 23 de octubre de 2026 a las 11:59 a. m. y entrega definitiva el lunes 26 de octubre de 2026 a las 11:59 a. m.</w:t>
      </w:r>
    </w:p>
    <w:p>
      <w:pPr>
        <w:pStyle w:val="Heading2"/>
        <w:spacing w:before="280" w:after="80"/>
      </w:pPr>
      <w:r>
        <w:rPr>
          <w:rFonts w:ascii="Arial" w:hAnsi="Arial"/>
          <w:b/>
          <w:color w:val="2B6CB0"/>
          <w:sz w:val="27"/>
        </w:rPr>
        <w:t>38. Diagramas de arquitectura, estructuras y flujos del sistema</w:t>
      </w:r>
    </w:p>
    <w:p>
      <w:pPr>
        <w:pStyle w:val="Heading3"/>
        <w:spacing w:before="200" w:after="60"/>
      </w:pPr>
      <w:r>
        <w:rPr>
          <w:rFonts w:ascii="Arial" w:hAnsi="Arial"/>
          <w:b/>
          <w:color w:val="0D9488"/>
          <w:sz w:val="23"/>
        </w:rPr>
        <w:t>38.1 Diagrama de casos de uso del sistema</w:t>
      </w:r>
    </w:p>
    <w:p>
      <w:pPr>
        <w:spacing w:before="40" w:after="80" w:line="276" w:lineRule="auto"/>
      </w:pPr>
      <w:r>
        <w:rPr>
          <w:rFonts w:ascii="Calibri" w:hAnsi="Calibri"/>
          <w:color w:val="1E293B"/>
          <w:sz w:val="20"/>
        </w:rPr>
        <w:t>El siguiente diagrama modela los casos de uso agrupados por subsistema funcional y la interacción con los actores identificados:</w:t>
      </w:r>
    </w:p>
    <w:p>
      <w:pPr>
        <w:spacing w:before="240" w:after="80"/>
        <w:jc w:val="center"/>
      </w:pPr>
      <w:r>
        <w:drawing>
          <wp:inline xmlns:a="http://schemas.openxmlformats.org/drawingml/2006/main" xmlns:pic="http://schemas.openxmlformats.org/drawingml/2006/picture">
            <wp:extent cx="5669280" cy="491338"/>
            <wp:docPr id="1" name="Picture 1"/>
            <wp:cNvGraphicFramePr>
              <a:graphicFrameLocks noChangeAspect="1"/>
            </wp:cNvGraphicFramePr>
            <a:graphic>
              <a:graphicData uri="http://schemas.openxmlformats.org/drawingml/2006/picture">
                <pic:pic>
                  <pic:nvPicPr>
                    <pic:cNvPr id="0" name="01_casos_de_uso.png"/>
                    <pic:cNvPicPr/>
                  </pic:nvPicPr>
                  <pic:blipFill>
                    <a:blip r:embed="rId11"/>
                    <a:stretch>
                      <a:fillRect/>
                    </a:stretch>
                  </pic:blipFill>
                  <pic:spPr>
                    <a:xfrm>
                      <a:off x="0" y="0"/>
                      <a:ext cx="5669280" cy="491338"/>
                    </a:xfrm>
                    <a:prstGeom prst="rect"/>
                  </pic:spPr>
                </pic:pic>
              </a:graphicData>
            </a:graphic>
          </wp:inline>
        </w:drawing>
      </w:r>
    </w:p>
    <w:p>
      <w:pPr>
        <w:spacing w:before="40" w:after="280"/>
        <w:jc w:val="center"/>
      </w:pPr>
      <w:r>
        <w:rPr>
          <w:b/>
          <w:color w:val="1A365D"/>
          <w:sz w:val="19"/>
        </w:rPr>
        <w:t xml:space="preserve">Figura 1: </w:t>
      </w:r>
      <w:r>
        <w:rPr>
          <w:i/>
          <w:color w:val="4A5568"/>
          <w:sz w:val="19"/>
        </w:rPr>
        <w:t>Diagrama de Casos de Uso del Sistema PEA-i (5 Actores y 6 Subsistemas)</w:t>
      </w:r>
    </w:p>
    <w:p>
      <w:pPr>
        <w:pStyle w:val="Heading3"/>
        <w:spacing w:before="200" w:after="60"/>
      </w:pPr>
      <w:r>
        <w:rPr>
          <w:rFonts w:ascii="Arial" w:hAnsi="Arial"/>
          <w:b/>
          <w:color w:val="0D9488"/>
          <w:sz w:val="23"/>
        </w:rPr>
        <w:t>38.2 Diagrama entidad-relación (Modelo relacional físico)</w:t>
      </w:r>
    </w:p>
    <w:p>
      <w:pPr>
        <w:spacing w:before="40" w:after="80" w:line="276" w:lineRule="auto"/>
      </w:pPr>
      <w:r>
        <w:rPr>
          <w:rFonts w:ascii="Calibri" w:hAnsi="Calibri"/>
          <w:color w:val="1E293B"/>
          <w:sz w:val="20"/>
        </w:rPr>
        <w:t>El siguiente diagrama detalla las 17 tablas principales del esquema relacional físico en SQL Server (las cinco restantes —</w:t>
      </w:r>
      <w:r>
        <w:rPr>
          <w:rFonts w:ascii="Consolas" w:hAnsi="Consolas"/>
          <w:color w:val="0369A1"/>
          <w:sz w:val="17"/>
        </w:rPr>
        <w:t>ResearchLine</w:t>
      </w:r>
      <w:r>
        <w:rPr>
          <w:rFonts w:ascii="Calibri" w:hAnsi="Calibri"/>
          <w:color w:val="1E293B"/>
          <w:sz w:val="20"/>
        </w:rPr>
        <w:t xml:space="preserve">, </w:t>
      </w:r>
      <w:r>
        <w:rPr>
          <w:rFonts w:ascii="Consolas" w:hAnsi="Consolas"/>
          <w:color w:val="0369A1"/>
          <w:sz w:val="17"/>
        </w:rPr>
        <w:t>GroupResearchLine</w:t>
      </w:r>
      <w:r>
        <w:rPr>
          <w:rFonts w:ascii="Calibri" w:hAnsi="Calibri"/>
          <w:color w:val="1E293B"/>
          <w:sz w:val="20"/>
        </w:rPr>
        <w:t xml:space="preserve">, </w:t>
      </w:r>
      <w:r>
        <w:rPr>
          <w:rFonts w:ascii="Consolas" w:hAnsi="Consolas"/>
          <w:color w:val="0369A1"/>
          <w:sz w:val="17"/>
        </w:rPr>
        <w:t>ResearcherProject</w:t>
      </w:r>
      <w:r>
        <w:rPr>
          <w:rFonts w:ascii="Calibri" w:hAnsi="Calibri"/>
          <w:color w:val="1E293B"/>
          <w:sz w:val="20"/>
        </w:rPr>
        <w:t xml:space="preserve">, </w:t>
      </w:r>
      <w:r>
        <w:rPr>
          <w:rFonts w:ascii="Consolas" w:hAnsi="Consolas"/>
          <w:color w:val="0369A1"/>
          <w:sz w:val="17"/>
        </w:rPr>
        <w:t>ProjectProduct</w:t>
      </w:r>
      <w:r>
        <w:rPr>
          <w:rFonts w:ascii="Calibri" w:hAnsi="Calibri"/>
          <w:color w:val="1E293B"/>
          <w:sz w:val="20"/>
        </w:rPr>
        <w:t xml:space="preserve"> e </w:t>
      </w:r>
      <w:r>
        <w:rPr>
          <w:rFonts w:ascii="Consolas" w:hAnsi="Consolas"/>
          <w:color w:val="0369A1"/>
          <w:sz w:val="17"/>
        </w:rPr>
        <w:t>ImportRecord</w:t>
      </w:r>
      <w:r>
        <w:rPr>
          <w:rFonts w:ascii="Calibri" w:hAnsi="Calibri"/>
          <w:color w:val="1E293B"/>
          <w:sz w:val="20"/>
        </w:rPr>
        <w:t>— son tablas de enlace y soporte de importaciones generadas por el DDL), reflejando sus llaves primarias, llaves foráneas, cardinalidades y restricciones:</w:t>
      </w:r>
    </w:p>
    <w:p>
      <w:pPr>
        <w:spacing w:before="240" w:after="80"/>
        <w:jc w:val="center"/>
      </w:pPr>
      <w:r>
        <w:drawing>
          <wp:inline xmlns:a="http://schemas.openxmlformats.org/drawingml/2006/main" xmlns:pic="http://schemas.openxmlformats.org/drawingml/2006/picture">
            <wp:extent cx="5669280" cy="3987394"/>
            <wp:docPr id="2" name="Picture 2"/>
            <wp:cNvGraphicFramePr>
              <a:graphicFrameLocks noChangeAspect="1"/>
            </wp:cNvGraphicFramePr>
            <a:graphic>
              <a:graphicData uri="http://schemas.openxmlformats.org/drawingml/2006/picture">
                <pic:pic>
                  <pic:nvPicPr>
                    <pic:cNvPr id="0" name="02_modelo_entidad_relacion.png"/>
                    <pic:cNvPicPr/>
                  </pic:nvPicPr>
                  <pic:blipFill>
                    <a:blip r:embed="rId12"/>
                    <a:stretch>
                      <a:fillRect/>
                    </a:stretch>
                  </pic:blipFill>
                  <pic:spPr>
                    <a:xfrm>
                      <a:off x="0" y="0"/>
                      <a:ext cx="5669280" cy="3987394"/>
                    </a:xfrm>
                    <a:prstGeom prst="rect"/>
                  </pic:spPr>
                </pic:pic>
              </a:graphicData>
            </a:graphic>
          </wp:inline>
        </w:drawing>
      </w:r>
    </w:p>
    <w:p>
      <w:pPr>
        <w:spacing w:before="40" w:after="280"/>
        <w:jc w:val="center"/>
      </w:pPr>
      <w:r>
        <w:rPr>
          <w:b/>
          <w:color w:val="1A365D"/>
          <w:sz w:val="19"/>
        </w:rPr>
        <w:t xml:space="preserve">Figura 2: </w:t>
      </w:r>
      <w:r>
        <w:rPr>
          <w:i/>
          <w:color w:val="4A5568"/>
          <w:sz w:val="19"/>
        </w:rPr>
        <w:t>Modelo Entidad-Relación Físico (17 Tablas Principales en SQL Server con Catálogo 2024)</w:t>
      </w:r>
    </w:p>
    <w:p>
      <w:pPr>
        <w:pStyle w:val="Heading3"/>
        <w:spacing w:before="200" w:after="60"/>
      </w:pPr>
      <w:r>
        <w:rPr>
          <w:rFonts w:ascii="Arial" w:hAnsi="Arial"/>
          <w:b/>
          <w:color w:val="0D9488"/>
          <w:sz w:val="23"/>
        </w:rPr>
        <w:t>38.3 Diagrama de clases C++ (Estructuras de datos dinámicas en memoria)</w:t>
      </w:r>
    </w:p>
    <w:p>
      <w:pPr>
        <w:spacing w:before="40" w:after="80" w:line="276" w:lineRule="auto"/>
      </w:pPr>
      <w:r>
        <w:rPr>
          <w:rFonts w:ascii="Calibri" w:hAnsi="Calibri"/>
          <w:color w:val="1E293B"/>
          <w:sz w:val="20"/>
        </w:rPr>
        <w:t>El siguiente diagrama modela la arquitectura de punteros y clases en C++ que conforma el núcleo en RAM del sistema:</w:t>
      </w:r>
    </w:p>
    <w:p>
      <w:pPr>
        <w:spacing w:before="240" w:after="80"/>
        <w:jc w:val="center"/>
      </w:pPr>
      <w:r>
        <w:drawing>
          <wp:inline xmlns:a="http://schemas.openxmlformats.org/drawingml/2006/main" xmlns:pic="http://schemas.openxmlformats.org/drawingml/2006/picture">
            <wp:extent cx="5303520" cy="2474976"/>
            <wp:docPr id="3" name="Picture 3"/>
            <wp:cNvGraphicFramePr>
              <a:graphicFrameLocks noChangeAspect="1"/>
            </wp:cNvGraphicFramePr>
            <a:graphic>
              <a:graphicData uri="http://schemas.openxmlformats.org/drawingml/2006/picture">
                <pic:pic>
                  <pic:nvPicPr>
                    <pic:cNvPr id="0" name="04_clases_cpp.png"/>
                    <pic:cNvPicPr/>
                  </pic:nvPicPr>
                  <pic:blipFill>
                    <a:blip r:embed="rId13"/>
                    <a:stretch>
                      <a:fillRect/>
                    </a:stretch>
                  </pic:blipFill>
                  <pic:spPr>
                    <a:xfrm>
                      <a:off x="0" y="0"/>
                      <a:ext cx="5303520" cy="2474976"/>
                    </a:xfrm>
                    <a:prstGeom prst="rect"/>
                  </pic:spPr>
                </pic:pic>
              </a:graphicData>
            </a:graphic>
          </wp:inline>
        </w:drawing>
      </w:r>
    </w:p>
    <w:p>
      <w:pPr>
        <w:spacing w:before="40" w:after="280"/>
        <w:jc w:val="center"/>
      </w:pPr>
      <w:r>
        <w:rPr>
          <w:b/>
          <w:color w:val="1A365D"/>
          <w:sz w:val="19"/>
        </w:rPr>
        <w:t xml:space="preserve">Figura 3: </w:t>
      </w:r>
      <w:r>
        <w:rPr>
          <w:i/>
          <w:color w:val="4A5568"/>
          <w:sz w:val="19"/>
        </w:rPr>
        <w:t>Diagrama de Clases C++ y Servicios del Núcleo de Dominio</w:t>
      </w:r>
    </w:p>
    <w:p>
      <w:pPr>
        <w:pStyle w:val="Heading3"/>
        <w:spacing w:before="200" w:after="60"/>
      </w:pPr>
      <w:r>
        <w:rPr>
          <w:rFonts w:ascii="Arial" w:hAnsi="Arial"/>
          <w:b/>
          <w:color w:val="0D9488"/>
          <w:sz w:val="23"/>
        </w:rPr>
        <w:t>38.3.1 Esquema gráfico de punteros y memoria RAM (Multilista ortogonal, Pila y Cola)</w:t>
      </w:r>
    </w:p>
    <w:p>
      <w:pPr>
        <w:spacing w:before="40" w:after="80" w:line="276" w:lineRule="auto"/>
      </w:pPr>
      <w:r>
        <w:rPr>
          <w:rFonts w:ascii="Calibri" w:hAnsi="Calibri"/>
          <w:color w:val="1E293B"/>
          <w:sz w:val="20"/>
        </w:rPr>
        <w:t>El siguiente diagrama detalla la disposición física de los nodos en memoria RAM asignados por el núcleo en C++, evidenciando los punteros ortogonales de cruce para las relaciones muchos a muchos (membresías e integrantes, productos y grupos, productos y autores), así como las estructuras auxiliares LIFO (Pila de Deshacer) y FIFO (Cola de Validación Técnica):</w:t>
      </w:r>
    </w:p>
    <w:p>
      <w:pPr>
        <w:spacing w:before="240" w:after="80"/>
        <w:jc w:val="center"/>
      </w:pPr>
      <w:r>
        <w:drawing>
          <wp:inline xmlns:a="http://schemas.openxmlformats.org/drawingml/2006/main" xmlns:pic="http://schemas.openxmlformats.org/drawingml/2006/picture">
            <wp:extent cx="5669280" cy="1455115"/>
            <wp:docPr id="4" name="Picture 4"/>
            <wp:cNvGraphicFramePr>
              <a:graphicFrameLocks noChangeAspect="1"/>
            </wp:cNvGraphicFramePr>
            <a:graphic>
              <a:graphicData uri="http://schemas.openxmlformats.org/drawingml/2006/picture">
                <pic:pic>
                  <pic:nvPicPr>
                    <pic:cNvPr id="0" name="03_multilista_memoria_ram.png"/>
                    <pic:cNvPicPr/>
                  </pic:nvPicPr>
                  <pic:blipFill>
                    <a:blip r:embed="rId14"/>
                    <a:stretch>
                      <a:fillRect/>
                    </a:stretch>
                  </pic:blipFill>
                  <pic:spPr>
                    <a:xfrm>
                      <a:off x="0" y="0"/>
                      <a:ext cx="5669280" cy="1455115"/>
                    </a:xfrm>
                    <a:prstGeom prst="rect"/>
                  </pic:spPr>
                </pic:pic>
              </a:graphicData>
            </a:graphic>
          </wp:inline>
        </w:drawing>
      </w:r>
    </w:p>
    <w:p>
      <w:pPr>
        <w:spacing w:before="40" w:after="280"/>
        <w:jc w:val="center"/>
      </w:pPr>
      <w:r>
        <w:rPr>
          <w:b/>
          <w:color w:val="1A365D"/>
          <w:sz w:val="19"/>
        </w:rPr>
        <w:t xml:space="preserve">Figura 4: </w:t>
      </w:r>
      <w:r>
        <w:rPr>
          <w:i/>
          <w:color w:val="4A5568"/>
          <w:sz w:val="19"/>
        </w:rPr>
        <w:t>Disposición en Memoria RAM de la Multilista Ortogonal y Punteros C++</w:t>
      </w:r>
    </w:p>
    <w:p>
      <w:pPr>
        <w:pStyle w:val="Heading3"/>
        <w:spacing w:before="200" w:after="60"/>
      </w:pPr>
      <w:r>
        <w:rPr>
          <w:rFonts w:ascii="Arial" w:hAnsi="Arial"/>
          <w:b/>
          <w:color w:val="0D9488"/>
          <w:sz w:val="23"/>
        </w:rPr>
        <w:t>38.4 Diagramas de secuencia</w:t>
      </w:r>
    </w:p>
    <w:p>
      <w:pPr>
        <w:pStyle w:val="Heading4"/>
        <w:spacing w:before="160" w:after="40"/>
      </w:pPr>
      <w:r>
        <w:rPr>
          <w:rFonts w:ascii="Arial" w:hAnsi="Arial"/>
          <w:b/>
          <w:color w:val="2D3748"/>
          <w:sz w:val="21"/>
        </w:rPr>
        <w:t>Secuencia 1: Creación de Producto y Enlace a Grupo (Write-Through y Undo)</w:t>
      </w:r>
    </w:p>
    <w:p>
      <w:pPr>
        <w:spacing w:before="240" w:after="80"/>
        <w:jc w:val="center"/>
      </w:pPr>
      <w:r>
        <w:drawing>
          <wp:inline xmlns:a="http://schemas.openxmlformats.org/drawingml/2006/main" xmlns:pic="http://schemas.openxmlformats.org/drawingml/2006/picture">
            <wp:extent cx="5029200" cy="1911096"/>
            <wp:docPr id="5" name="Picture 5"/>
            <wp:cNvGraphicFramePr>
              <a:graphicFrameLocks noChangeAspect="1"/>
            </wp:cNvGraphicFramePr>
            <a:graphic>
              <a:graphicData uri="http://schemas.openxmlformats.org/drawingml/2006/picture">
                <pic:pic>
                  <pic:nvPicPr>
                    <pic:cNvPr id="0" name="06_secuencia_creacion_escritura_dual.png"/>
                    <pic:cNvPicPr/>
                  </pic:nvPicPr>
                  <pic:blipFill>
                    <a:blip r:embed="rId15"/>
                    <a:stretch>
                      <a:fillRect/>
                    </a:stretch>
                  </pic:blipFill>
                  <pic:spPr>
                    <a:xfrm>
                      <a:off x="0" y="0"/>
                      <a:ext cx="5029200" cy="1911096"/>
                    </a:xfrm>
                    <a:prstGeom prst="rect"/>
                  </pic:spPr>
                </pic:pic>
              </a:graphicData>
            </a:graphic>
          </wp:inline>
        </w:drawing>
      </w:r>
    </w:p>
    <w:p>
      <w:pPr>
        <w:spacing w:before="40" w:after="280"/>
        <w:jc w:val="center"/>
      </w:pPr>
      <w:r>
        <w:rPr>
          <w:b/>
          <w:color w:val="1A365D"/>
          <w:sz w:val="19"/>
        </w:rPr>
        <w:t xml:space="preserve">Figura 5: </w:t>
      </w:r>
      <w:r>
        <w:rPr>
          <w:i/>
          <w:color w:val="4A5568"/>
          <w:sz w:val="19"/>
        </w:rPr>
        <w:t>Secuencia: Creación Write-Through en RAM y SQL Server con Pila LIFO</w:t>
      </w:r>
    </w:p>
    <w:p>
      <w:pPr>
        <w:pStyle w:val="Heading4"/>
        <w:spacing w:before="160" w:after="40"/>
      </w:pPr>
      <w:r>
        <w:rPr>
          <w:rFonts w:ascii="Arial" w:hAnsi="Arial"/>
          <w:b/>
          <w:color w:val="2D3748"/>
          <w:sz w:val="21"/>
        </w:rPr>
        <w:t>Secuencia 2: Ingesta desde URL Scienti GrupLAC con Deduplicación</w:t>
      </w:r>
    </w:p>
    <w:p>
      <w:pPr>
        <w:spacing w:before="240" w:after="80"/>
        <w:jc w:val="center"/>
      </w:pPr>
      <w:r>
        <w:drawing>
          <wp:inline xmlns:a="http://schemas.openxmlformats.org/drawingml/2006/main" xmlns:pic="http://schemas.openxmlformats.org/drawingml/2006/picture">
            <wp:extent cx="5029200" cy="2531364"/>
            <wp:docPr id="6" name="Picture 6"/>
            <wp:cNvGraphicFramePr>
              <a:graphicFrameLocks noChangeAspect="1"/>
            </wp:cNvGraphicFramePr>
            <a:graphic>
              <a:graphicData uri="http://schemas.openxmlformats.org/drawingml/2006/picture">
                <pic:pic>
                  <pic:nvPicPr>
                    <pic:cNvPr id="0" name="07_secuencia_ingesta_scienti.png"/>
                    <pic:cNvPicPr/>
                  </pic:nvPicPr>
                  <pic:blipFill>
                    <a:blip r:embed="rId16"/>
                    <a:stretch>
                      <a:fillRect/>
                    </a:stretch>
                  </pic:blipFill>
                  <pic:spPr>
                    <a:xfrm>
                      <a:off x="0" y="0"/>
                      <a:ext cx="5029200" cy="2531364"/>
                    </a:xfrm>
                    <a:prstGeom prst="rect"/>
                  </pic:spPr>
                </pic:pic>
              </a:graphicData>
            </a:graphic>
          </wp:inline>
        </w:drawing>
      </w:r>
    </w:p>
    <w:p>
      <w:pPr>
        <w:spacing w:before="40" w:after="280"/>
        <w:jc w:val="center"/>
      </w:pPr>
      <w:r>
        <w:rPr>
          <w:b/>
          <w:color w:val="1A365D"/>
          <w:sz w:val="19"/>
        </w:rPr>
        <w:t xml:space="preserve">Figura 6: </w:t>
      </w:r>
      <w:r>
        <w:rPr>
          <w:i/>
          <w:color w:val="4A5568"/>
          <w:sz w:val="19"/>
        </w:rPr>
        <w:t>Secuencia: Ingesta desde URL Scienti GrupLAC con Deduplicación Canónica</w:t>
      </w:r>
    </w:p>
    <w:p>
      <w:pPr>
        <w:pStyle w:val="Heading4"/>
        <w:spacing w:before="160" w:after="40"/>
      </w:pPr>
      <w:r>
        <w:rPr>
          <w:rFonts w:ascii="Arial" w:hAnsi="Arial"/>
          <w:b/>
          <w:color w:val="2D3748"/>
          <w:sz w:val="21"/>
        </w:rPr>
        <w:t>Secuencia 3: Vinculación de Integrante con Reglas RV-001 y RV-002</w:t>
      </w:r>
    </w:p>
    <w:p>
      <w:pPr>
        <w:spacing w:before="240" w:after="80"/>
        <w:jc w:val="center"/>
      </w:pPr>
      <w:r>
        <w:drawing>
          <wp:inline xmlns:a="http://schemas.openxmlformats.org/drawingml/2006/main" xmlns:pic="http://schemas.openxmlformats.org/drawingml/2006/picture">
            <wp:extent cx="5029200" cy="2849880"/>
            <wp:docPr id="7" name="Picture 7"/>
            <wp:cNvGraphicFramePr>
              <a:graphicFrameLocks noChangeAspect="1"/>
            </wp:cNvGraphicFramePr>
            <a:graphic>
              <a:graphicData uri="http://schemas.openxmlformats.org/drawingml/2006/picture">
                <pic:pic>
                  <pic:nvPicPr>
                    <pic:cNvPr id="0" name="08_secuencia_membresias_reglas.png"/>
                    <pic:cNvPicPr/>
                  </pic:nvPicPr>
                  <pic:blipFill>
                    <a:blip r:embed="rId17"/>
                    <a:stretch>
                      <a:fillRect/>
                    </a:stretch>
                  </pic:blipFill>
                  <pic:spPr>
                    <a:xfrm>
                      <a:off x="0" y="0"/>
                      <a:ext cx="5029200" cy="2849880"/>
                    </a:xfrm>
                    <a:prstGeom prst="rect"/>
                  </pic:spPr>
                </pic:pic>
              </a:graphicData>
            </a:graphic>
          </wp:inline>
        </w:drawing>
      </w:r>
    </w:p>
    <w:p>
      <w:pPr>
        <w:spacing w:before="40" w:after="280"/>
        <w:jc w:val="center"/>
      </w:pPr>
      <w:r>
        <w:rPr>
          <w:b/>
          <w:color w:val="1A365D"/>
          <w:sz w:val="19"/>
        </w:rPr>
        <w:t xml:space="preserve">Figura 7: </w:t>
      </w:r>
      <w:r>
        <w:rPr>
          <w:i/>
          <w:color w:val="4A5568"/>
          <w:sz w:val="19"/>
        </w:rPr>
        <w:t>Secuencia: Vinculación de Integrante y Validación de Reglas RV-001 y RV-002</w:t>
      </w:r>
    </w:p>
    <w:p>
      <w:pPr>
        <w:pStyle w:val="Heading4"/>
        <w:spacing w:before="160" w:after="40"/>
      </w:pPr>
      <w:r>
        <w:rPr>
          <w:rFonts w:ascii="Arial" w:hAnsi="Arial"/>
          <w:b/>
          <w:color w:val="2D3748"/>
          <w:sz w:val="21"/>
        </w:rPr>
        <w:t>Secuencia 4: Validación Técnica de Evidencias en Cola FIFO</w:t>
      </w:r>
    </w:p>
    <w:p>
      <w:pPr>
        <w:spacing w:before="240" w:after="80"/>
        <w:jc w:val="center"/>
      </w:pPr>
      <w:r>
        <w:drawing>
          <wp:inline xmlns:a="http://schemas.openxmlformats.org/drawingml/2006/main" xmlns:pic="http://schemas.openxmlformats.org/drawingml/2006/picture">
            <wp:extent cx="5029200" cy="2631947"/>
            <wp:docPr id="8" name="Picture 8"/>
            <wp:cNvGraphicFramePr>
              <a:graphicFrameLocks noChangeAspect="1"/>
            </wp:cNvGraphicFramePr>
            <a:graphic>
              <a:graphicData uri="http://schemas.openxmlformats.org/drawingml/2006/picture">
                <pic:pic>
                  <pic:nvPicPr>
                    <pic:cNvPr id="0" name="09_secuencia_validacion_fifo.png"/>
                    <pic:cNvPicPr/>
                  </pic:nvPicPr>
                  <pic:blipFill>
                    <a:blip r:embed="rId18"/>
                    <a:stretch>
                      <a:fillRect/>
                    </a:stretch>
                  </pic:blipFill>
                  <pic:spPr>
                    <a:xfrm>
                      <a:off x="0" y="0"/>
                      <a:ext cx="5029200" cy="2631947"/>
                    </a:xfrm>
                    <a:prstGeom prst="rect"/>
                  </pic:spPr>
                </pic:pic>
              </a:graphicData>
            </a:graphic>
          </wp:inline>
        </w:drawing>
      </w:r>
    </w:p>
    <w:p>
      <w:pPr>
        <w:spacing w:before="40" w:after="280"/>
        <w:jc w:val="center"/>
      </w:pPr>
      <w:r>
        <w:rPr>
          <w:b/>
          <w:color w:val="1A365D"/>
          <w:sz w:val="19"/>
        </w:rPr>
        <w:t xml:space="preserve">Figura 8: </w:t>
      </w:r>
      <w:r>
        <w:rPr>
          <w:i/>
          <w:color w:val="4A5568"/>
          <w:sz w:val="19"/>
        </w:rPr>
        <w:t>Secuencia: Validación Técnica de Productos en Cola FIFO y Auditoría</w:t>
      </w:r>
    </w:p>
    <w:p>
      <w:pPr>
        <w:pStyle w:val="Heading4"/>
        <w:spacing w:before="160" w:after="40"/>
      </w:pPr>
      <w:r>
        <w:rPr>
          <w:rFonts w:ascii="Arial" w:hAnsi="Arial"/>
          <w:b/>
          <w:color w:val="2D3748"/>
          <w:sz w:val="21"/>
        </w:rPr>
        <w:t>Secuencia 5: Deshacer Operación en Pila LIFO (Undo)</w:t>
      </w:r>
    </w:p>
    <w:p>
      <w:pPr>
        <w:spacing w:before="240" w:after="80"/>
        <w:jc w:val="center"/>
      </w:pPr>
      <w:r>
        <w:drawing>
          <wp:inline xmlns:a="http://schemas.openxmlformats.org/drawingml/2006/main" xmlns:pic="http://schemas.openxmlformats.org/drawingml/2006/picture">
            <wp:extent cx="5029200" cy="3218688"/>
            <wp:docPr id="9" name="Picture 9"/>
            <wp:cNvGraphicFramePr>
              <a:graphicFrameLocks noChangeAspect="1"/>
            </wp:cNvGraphicFramePr>
            <a:graphic>
              <a:graphicData uri="http://schemas.openxmlformats.org/drawingml/2006/picture">
                <pic:pic>
                  <pic:nvPicPr>
                    <pic:cNvPr id="0" name="10_secuencia_deshacer_lifo.png"/>
                    <pic:cNvPicPr/>
                  </pic:nvPicPr>
                  <pic:blipFill>
                    <a:blip r:embed="rId19"/>
                    <a:stretch>
                      <a:fillRect/>
                    </a:stretch>
                  </pic:blipFill>
                  <pic:spPr>
                    <a:xfrm>
                      <a:off x="0" y="0"/>
                      <a:ext cx="5029200" cy="3218688"/>
                    </a:xfrm>
                    <a:prstGeom prst="rect"/>
                  </pic:spPr>
                </pic:pic>
              </a:graphicData>
            </a:graphic>
          </wp:inline>
        </w:drawing>
      </w:r>
    </w:p>
    <w:p>
      <w:pPr>
        <w:spacing w:before="40" w:after="280"/>
        <w:jc w:val="center"/>
      </w:pPr>
      <w:r>
        <w:rPr>
          <w:b/>
          <w:color w:val="1A365D"/>
          <w:sz w:val="19"/>
        </w:rPr>
        <w:t xml:space="preserve">Figura 9: </w:t>
      </w:r>
      <w:r>
        <w:rPr>
          <w:i/>
          <w:color w:val="4A5568"/>
          <w:sz w:val="19"/>
        </w:rPr>
        <w:t>Secuencia: Deshacer Última Operación en Pila LIFO (Reversión Simétrica)</w:t>
      </w:r>
    </w:p>
    <w:p>
      <w:pPr>
        <w:pStyle w:val="Heading3"/>
        <w:spacing w:before="200" w:after="60"/>
      </w:pPr>
      <w:r>
        <w:rPr>
          <w:rFonts w:ascii="Arial" w:hAnsi="Arial"/>
          <w:b/>
          <w:color w:val="0D9488"/>
          <w:sz w:val="23"/>
        </w:rPr>
        <w:t>38.5 Diagrama de despliegue y arquitectura física</w:t>
      </w:r>
    </w:p>
    <w:p>
      <w:pPr>
        <w:spacing w:before="40" w:after="80" w:line="276" w:lineRule="auto"/>
      </w:pPr>
      <w:r>
        <w:rPr>
          <w:rFonts w:ascii="Calibri" w:hAnsi="Calibri"/>
          <w:color w:val="1E293B"/>
          <w:sz w:val="20"/>
        </w:rPr>
        <w:t>El siguiente diagrama ilustra la distribución de componentes físicos, procesos en ejecución y canales de comunicación en tiempo de ejecución:</w:t>
      </w:r>
    </w:p>
    <w:p>
      <w:pPr>
        <w:spacing w:before="240" w:after="80"/>
        <w:jc w:val="center"/>
      </w:pPr>
      <w:r>
        <w:drawing>
          <wp:inline xmlns:a="http://schemas.openxmlformats.org/drawingml/2006/main" xmlns:pic="http://schemas.openxmlformats.org/drawingml/2006/picture">
            <wp:extent cx="5669280" cy="2702357"/>
            <wp:docPr id="10" name="Picture 10"/>
            <wp:cNvGraphicFramePr>
              <a:graphicFrameLocks noChangeAspect="1"/>
            </wp:cNvGraphicFramePr>
            <a:graphic>
              <a:graphicData uri="http://schemas.openxmlformats.org/drawingml/2006/picture">
                <pic:pic>
                  <pic:nvPicPr>
                    <pic:cNvPr id="0" name="11_arquitectura_despliegue.png"/>
                    <pic:cNvPicPr/>
                  </pic:nvPicPr>
                  <pic:blipFill>
                    <a:blip r:embed="rId20"/>
                    <a:stretch>
                      <a:fillRect/>
                    </a:stretch>
                  </pic:blipFill>
                  <pic:spPr>
                    <a:xfrm>
                      <a:off x="0" y="0"/>
                      <a:ext cx="5669280" cy="2702357"/>
                    </a:xfrm>
                    <a:prstGeom prst="rect"/>
                  </pic:spPr>
                </pic:pic>
              </a:graphicData>
            </a:graphic>
          </wp:inline>
        </w:drawing>
      </w:r>
    </w:p>
    <w:p>
      <w:pPr>
        <w:spacing w:before="40" w:after="280"/>
        <w:jc w:val="center"/>
      </w:pPr>
      <w:r>
        <w:rPr>
          <w:b/>
          <w:color w:val="1A365D"/>
          <w:sz w:val="19"/>
        </w:rPr>
        <w:t xml:space="preserve">Figura 10: </w:t>
      </w:r>
      <w:r>
        <w:rPr>
          <w:i/>
          <w:color w:val="4A5568"/>
          <w:sz w:val="19"/>
        </w:rPr>
        <w:t>Diagrama de Arquitectura de Integración y Despliegue Físico de Procesos</w:t>
      </w:r>
    </w:p>
    <w:p>
      <w:pPr>
        <w:pStyle w:val="Heading3"/>
        <w:spacing w:before="200" w:after="60"/>
      </w:pPr>
      <w:r>
        <w:rPr>
          <w:rFonts w:ascii="Arial" w:hAnsi="Arial"/>
          <w:b/>
          <w:color w:val="0D9488"/>
          <w:sz w:val="23"/>
        </w:rPr>
        <w:t>38.6 Diagrama del Hipercubo de información multidimensional</w:t>
      </w:r>
    </w:p>
    <w:p>
      <w:pPr>
        <w:spacing w:before="40" w:after="80" w:line="276" w:lineRule="auto"/>
      </w:pPr>
      <w:r>
        <w:rPr>
          <w:rFonts w:ascii="Calibri" w:hAnsi="Calibri"/>
          <w:color w:val="1E293B"/>
          <w:sz w:val="20"/>
        </w:rPr>
        <w:t>El siguiente diagrama formaliza el modelo de hipercubo recomendado en las especificaciones del Parcial 2 (\mathcal{H} = D_1 \times D_2 \times D_3 \times D_4 \to \mathcal{M}), las dimensiones de enriquecimiento del catálogo Minciencias 2024, el vector de medidas analíticas y las cinco operaciones OLAP soportadas en la plataforma:</w:t>
      </w:r>
    </w:p>
    <w:p>
      <w:pPr>
        <w:spacing w:before="240" w:after="80"/>
        <w:jc w:val="center"/>
      </w:pPr>
      <w:r>
        <w:drawing>
          <wp:inline xmlns:a="http://schemas.openxmlformats.org/drawingml/2006/main" xmlns:pic="http://schemas.openxmlformats.org/drawingml/2006/picture">
            <wp:extent cx="5303520" cy="671779"/>
            <wp:docPr id="11" name="Picture 11"/>
            <wp:cNvGraphicFramePr>
              <a:graphicFrameLocks noChangeAspect="1"/>
            </wp:cNvGraphicFramePr>
            <a:graphic>
              <a:graphicData uri="http://schemas.openxmlformats.org/drawingml/2006/picture">
                <pic:pic>
                  <pic:nvPicPr>
                    <pic:cNvPr id="0" name="05_hipercubo_informacion.png"/>
                    <pic:cNvPicPr/>
                  </pic:nvPicPr>
                  <pic:blipFill>
                    <a:blip r:embed="rId21"/>
                    <a:stretch>
                      <a:fillRect/>
                    </a:stretch>
                  </pic:blipFill>
                  <pic:spPr>
                    <a:xfrm>
                      <a:off x="0" y="0"/>
                      <a:ext cx="5303520" cy="671779"/>
                    </a:xfrm>
                    <a:prstGeom prst="rect"/>
                  </pic:spPr>
                </pic:pic>
              </a:graphicData>
            </a:graphic>
          </wp:inline>
        </w:drawing>
      </w:r>
    </w:p>
    <w:p>
      <w:pPr>
        <w:spacing w:before="40" w:after="280"/>
        <w:jc w:val="center"/>
      </w:pPr>
      <w:r>
        <w:rPr>
          <w:b/>
          <w:color w:val="1A365D"/>
          <w:sz w:val="19"/>
        </w:rPr>
        <w:t xml:space="preserve">Figura 11: </w:t>
      </w:r>
      <w:r>
        <w:rPr>
          <w:i/>
          <w:color w:val="4A5568"/>
          <w:sz w:val="19"/>
        </w:rPr>
        <w:t>Hipercubo de Información Multidimensional (4D/12D) y Operaciones OLAP</w:t>
      </w:r>
    </w:p>
    <w:p>
      <w:pPr>
        <w:pStyle w:val="Heading2"/>
        <w:spacing w:before="280" w:after="80"/>
      </w:pPr>
      <w:r>
        <w:rPr>
          <w:rFonts w:ascii="Arial" w:hAnsi="Arial"/>
          <w:b/>
          <w:color w:val="2B6CB0"/>
          <w:sz w:val="27"/>
        </w:rPr>
        <w:t>39. Historias de usuario mínimas</w:t>
      </w:r>
    </w:p>
    <w:p>
      <w:pPr>
        <w:pStyle w:val="Heading3"/>
        <w:spacing w:before="200" w:after="60"/>
      </w:pPr>
      <w:r>
        <w:rPr>
          <w:rFonts w:ascii="Arial" w:hAnsi="Arial"/>
          <w:b/>
          <w:color w:val="0D9488"/>
          <w:sz w:val="23"/>
        </w:rPr>
        <w:t>HU-01 Gestionar grupo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gestor de investigación</w:t>
              <w:br/>
              <w:t>quiero crear y editar grupos</w:t>
              <w:br/>
              <w:t>para mantener actualizada la información institucional.</w:t>
            </w:r>
          </w:p>
        </w:tc>
      </w:tr>
    </w:tbl>
    <w:p>
      <w:pPr>
        <w:spacing w:before="0" w:after="120"/>
      </w:pPr>
    </w:p>
    <w:p>
      <w:pPr>
        <w:spacing w:before="40" w:after="80" w:line="276" w:lineRule="auto"/>
      </w:pPr>
      <w:r>
        <w:rPr>
          <w:rFonts w:ascii="Calibri" w:hAnsi="Calibri"/>
          <w:color w:val="1E293B"/>
          <w:sz w:val="20"/>
        </w:rPr>
        <w:t>Criterios:</w:t>
      </w:r>
    </w:p>
    <w:p>
      <w:pPr>
        <w:pStyle w:val="ListBullet"/>
        <w:spacing w:before="20" w:after="40"/>
        <w:ind w:left="360"/>
      </w:pPr>
      <w:r>
        <w:rPr>
          <w:rFonts w:ascii="Calibri" w:hAnsi="Calibri"/>
          <w:color w:val="2D3748"/>
          <w:sz w:val="19"/>
        </w:rPr>
        <w:t>El nombre es obligatorio.</w:t>
      </w:r>
    </w:p>
    <w:p>
      <w:pPr>
        <w:pStyle w:val="ListBullet"/>
        <w:spacing w:before="20" w:after="40"/>
        <w:ind w:left="360"/>
      </w:pPr>
      <w:r>
        <w:rPr>
          <w:rFonts w:ascii="Calibri" w:hAnsi="Calibri"/>
          <w:color w:val="2D3748"/>
          <w:sz w:val="19"/>
        </w:rPr>
        <w:t>El código externo no se duplica.</w:t>
      </w:r>
    </w:p>
    <w:p>
      <w:pPr>
        <w:pStyle w:val="ListBullet"/>
        <w:spacing w:before="20" w:after="40"/>
        <w:ind w:left="360"/>
      </w:pPr>
      <w:r>
        <w:rPr>
          <w:rFonts w:ascii="Calibri" w:hAnsi="Calibri"/>
          <w:color w:val="2D3748"/>
          <w:sz w:val="19"/>
        </w:rPr>
        <w:t>La desactivación conserva el historial.</w:t>
      </w:r>
    </w:p>
    <w:p>
      <w:pPr>
        <w:pStyle w:val="Heading3"/>
        <w:spacing w:before="200" w:after="60"/>
      </w:pPr>
      <w:r>
        <w:rPr>
          <w:rFonts w:ascii="Arial" w:hAnsi="Arial"/>
          <w:b/>
          <w:color w:val="0D9488"/>
          <w:sz w:val="23"/>
        </w:rPr>
        <w:t>HU-02 Vincular investigador</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líder de grupo</w:t>
              <w:br/>
              <w:t>quiero proponer la vinculación de un investigador por un periodo</w:t>
              <w:br/>
              <w:t>para representar correctamente la composición del grupo.</w:t>
            </w:r>
          </w:p>
        </w:tc>
      </w:tr>
    </w:tbl>
    <w:p>
      <w:pPr>
        <w:spacing w:before="0" w:after="120"/>
      </w:pPr>
    </w:p>
    <w:p>
      <w:pPr>
        <w:spacing w:before="40" w:after="80" w:line="276" w:lineRule="auto"/>
      </w:pPr>
      <w:r>
        <w:rPr>
          <w:rFonts w:ascii="Calibri" w:hAnsi="Calibri"/>
          <w:color w:val="1E293B"/>
          <w:sz w:val="20"/>
        </w:rPr>
        <w:t>Criterios:</w:t>
      </w:r>
    </w:p>
    <w:p>
      <w:pPr>
        <w:pStyle w:val="ListBullet"/>
        <w:spacing w:before="20" w:after="40"/>
        <w:ind w:left="360"/>
      </w:pPr>
      <w:r>
        <w:rPr>
          <w:rFonts w:ascii="Calibri" w:hAnsi="Calibri"/>
          <w:color w:val="2D3748"/>
          <w:sz w:val="19"/>
        </w:rPr>
        <w:t>Las fechas son válidas.</w:t>
      </w:r>
    </w:p>
    <w:p>
      <w:pPr>
        <w:pStyle w:val="ListBullet"/>
        <w:spacing w:before="20" w:after="40"/>
        <w:ind w:left="360"/>
      </w:pPr>
      <w:r>
        <w:rPr>
          <w:rFonts w:ascii="Calibri" w:hAnsi="Calibri"/>
          <w:color w:val="2D3748"/>
          <w:sz w:val="19"/>
        </w:rPr>
        <w:t>No se solapan periodos.</w:t>
      </w:r>
    </w:p>
    <w:p>
      <w:pPr>
        <w:pStyle w:val="ListBullet"/>
        <w:spacing w:before="20" w:after="40"/>
        <w:ind w:left="360"/>
      </w:pPr>
      <w:r>
        <w:rPr>
          <w:rFonts w:ascii="Calibri" w:hAnsi="Calibri"/>
          <w:color w:val="2D3748"/>
          <w:sz w:val="19"/>
        </w:rPr>
        <w:t>La propuesta conserva solicitante y autorización.</w:t>
      </w:r>
    </w:p>
    <w:p>
      <w:pPr>
        <w:pStyle w:val="Heading3"/>
        <w:spacing w:before="200" w:after="60"/>
      </w:pPr>
      <w:r>
        <w:rPr>
          <w:rFonts w:ascii="Arial" w:hAnsi="Arial"/>
          <w:b/>
          <w:color w:val="0D9488"/>
          <w:sz w:val="23"/>
        </w:rPr>
        <w:t>HU-03 Registrar producto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investigador</w:t>
              <w:br/>
              <w:t>quiero registrar un producto y sus autores</w:t>
              <w:br/>
              <w:t>para incorporarlo al análisis de producción.</w:t>
            </w:r>
          </w:p>
        </w:tc>
      </w:tr>
    </w:tbl>
    <w:p>
      <w:pPr>
        <w:spacing w:before="0" w:after="120"/>
      </w:pPr>
    </w:p>
    <w:p>
      <w:pPr>
        <w:spacing w:before="40" w:after="80" w:line="276" w:lineRule="auto"/>
      </w:pPr>
      <w:r>
        <w:rPr>
          <w:rFonts w:ascii="Calibri" w:hAnsi="Calibri"/>
          <w:color w:val="1E293B"/>
          <w:sz w:val="20"/>
        </w:rPr>
        <w:t>Criterios:</w:t>
      </w:r>
    </w:p>
    <w:p>
      <w:pPr>
        <w:pStyle w:val="ListBullet"/>
        <w:spacing w:before="20" w:after="40"/>
        <w:ind w:left="360"/>
      </w:pPr>
      <w:r>
        <w:rPr>
          <w:rFonts w:ascii="Calibri" w:hAnsi="Calibri"/>
          <w:color w:val="2D3748"/>
          <w:sz w:val="19"/>
        </w:rPr>
        <w:t>Tiene familia, subtipo, título y fecha de obtención.</w:t>
      </w:r>
    </w:p>
    <w:p>
      <w:pPr>
        <w:pStyle w:val="ListBullet"/>
        <w:spacing w:before="20" w:after="40"/>
        <w:ind w:left="360"/>
      </w:pPr>
      <w:r>
        <w:rPr>
          <w:rFonts w:ascii="Calibri" w:hAnsi="Calibri"/>
          <w:color w:val="2D3748"/>
          <w:sz w:val="19"/>
        </w:rPr>
        <w:t>Tiene al menos un autor.</w:t>
      </w:r>
    </w:p>
    <w:p>
      <w:pPr>
        <w:pStyle w:val="ListBullet"/>
        <w:spacing w:before="20" w:after="40"/>
        <w:ind w:left="360"/>
      </w:pPr>
      <w:r>
        <w:rPr>
          <w:rFonts w:ascii="Calibri" w:hAnsi="Calibri"/>
          <w:color w:val="2D3748"/>
          <w:sz w:val="19"/>
        </w:rPr>
        <w:t>Se detectan duplicados básicos.</w:t>
      </w:r>
    </w:p>
    <w:p>
      <w:pPr>
        <w:pStyle w:val="Heading3"/>
        <w:spacing w:before="200" w:after="60"/>
      </w:pPr>
      <w:r>
        <w:rPr>
          <w:rFonts w:ascii="Arial" w:hAnsi="Arial"/>
          <w:b/>
          <w:color w:val="0D9488"/>
          <w:sz w:val="23"/>
        </w:rPr>
        <w:t>HU-04 Asociar producto a grupo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líder de grupo</w:t>
              <w:br/>
              <w:t>quiero solicitar la asociación de un producto</w:t>
              <w:br/>
              <w:t>para incluirlo en la producción del grupo cuando cumpla las reglas.</w:t>
            </w:r>
          </w:p>
        </w:tc>
      </w:tr>
    </w:tbl>
    <w:p>
      <w:pPr>
        <w:spacing w:before="0" w:after="120"/>
      </w:pPr>
    </w:p>
    <w:p>
      <w:pPr>
        <w:spacing w:before="40" w:after="80" w:line="276" w:lineRule="auto"/>
      </w:pPr>
      <w:r>
        <w:rPr>
          <w:rFonts w:ascii="Calibri" w:hAnsi="Calibri"/>
          <w:color w:val="1E293B"/>
          <w:sz w:val="20"/>
        </w:rPr>
        <w:t>Criterios:</w:t>
      </w:r>
    </w:p>
    <w:p>
      <w:pPr>
        <w:pStyle w:val="ListBullet"/>
        <w:spacing w:before="20" w:after="40"/>
        <w:ind w:left="360"/>
      </w:pPr>
      <w:r>
        <w:rPr>
          <w:rFonts w:ascii="Calibri" w:hAnsi="Calibri"/>
          <w:color w:val="2D3748"/>
          <w:sz w:val="19"/>
        </w:rPr>
        <w:t>Existe un autor vinculado en la fecha de obtención.</w:t>
      </w:r>
    </w:p>
    <w:p>
      <w:pPr>
        <w:pStyle w:val="ListBullet"/>
        <w:spacing w:before="20" w:after="40"/>
        <w:ind w:left="360"/>
      </w:pPr>
      <w:r>
        <w:rPr>
          <w:rFonts w:ascii="Calibri" w:hAnsi="Calibri"/>
          <w:color w:val="2D3748"/>
          <w:sz w:val="19"/>
        </w:rPr>
        <w:t>La asociación conserva estado y autorización.</w:t>
      </w:r>
    </w:p>
    <w:p>
      <w:pPr>
        <w:pStyle w:val="ListBullet"/>
        <w:spacing w:before="20" w:after="40"/>
        <w:ind w:left="360"/>
      </w:pPr>
      <w:r>
        <w:rPr>
          <w:rFonts w:ascii="Calibri" w:hAnsi="Calibri"/>
          <w:color w:val="2D3748"/>
          <w:sz w:val="19"/>
        </w:rPr>
        <w:t>No se contabiliza dos veces en el mismo grupo.</w:t>
      </w:r>
    </w:p>
    <w:p>
      <w:pPr>
        <w:pStyle w:val="Heading3"/>
        <w:spacing w:before="200" w:after="60"/>
      </w:pPr>
      <w:r>
        <w:rPr>
          <w:rFonts w:ascii="Arial" w:hAnsi="Arial"/>
          <w:b/>
          <w:color w:val="0D9488"/>
          <w:sz w:val="23"/>
        </w:rPr>
        <w:t>HU-05 Importar información</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gestor de investigación</w:t>
              <w:br/>
              <w:t>quiero importar la producción y miembros de grupos mediante la URL oficial de Scienti (GrupLAC / CvLAC) o archivo JSON pea_data.json</w:t>
              <w:br/>
              <w:t>para reducir el registro manual y conciliar duplicados con precisión.</w:t>
            </w:r>
          </w:p>
        </w:tc>
      </w:tr>
    </w:tbl>
    <w:p>
      <w:pPr>
        <w:spacing w:before="0" w:after="120"/>
      </w:pPr>
    </w:p>
    <w:p>
      <w:pPr>
        <w:spacing w:before="40" w:after="80" w:line="276" w:lineRule="auto"/>
      </w:pPr>
      <w:r>
        <w:rPr>
          <w:rFonts w:ascii="Calibri" w:hAnsi="Calibri"/>
          <w:color w:val="1E293B"/>
          <w:sz w:val="20"/>
        </w:rPr>
        <w:t>Criterios:</w:t>
      </w:r>
    </w:p>
    <w:p>
      <w:pPr>
        <w:pStyle w:val="ListBullet"/>
        <w:spacing w:before="20" w:after="40"/>
        <w:ind w:left="360"/>
      </w:pPr>
      <w:r>
        <w:rPr>
          <w:rFonts w:ascii="Calibri" w:hAnsi="Calibri"/>
          <w:color w:val="2D3748"/>
          <w:sz w:val="19"/>
        </w:rPr>
        <w:t>Se extraen y concilian datos directamente de la URL viva de Scienti (Decisión D-03, posteriormente sustituida para incluir CSV y PDF con el mismo flujo).</w:t>
      </w:r>
    </w:p>
    <w:p>
      <w:pPr>
        <w:pStyle w:val="ListBullet"/>
        <w:spacing w:before="20" w:after="40"/>
        <w:ind w:left="360"/>
      </w:pPr>
      <w:r>
        <w:rPr>
          <w:rFonts w:ascii="Calibri" w:hAnsi="Calibri"/>
          <w:color w:val="2D3748"/>
          <w:sz w:val="19"/>
        </w:rPr>
        <w:t>Se conserva el dato original y se genera huella digital / hash estable determinista.</w:t>
      </w:r>
    </w:p>
    <w:p>
      <w:pPr>
        <w:pStyle w:val="ListBullet"/>
        <w:spacing w:before="20" w:after="40"/>
        <w:ind w:left="360"/>
      </w:pPr>
      <w:r>
        <w:rPr>
          <w:rFonts w:ascii="Calibri" w:hAnsi="Calibri"/>
          <w:color w:val="2D3748"/>
          <w:sz w:val="19"/>
        </w:rPr>
        <w:t>Se muestra vista previa interactiva antes de confirmar el commit.</w:t>
      </w:r>
    </w:p>
    <w:p>
      <w:pPr>
        <w:pStyle w:val="ListBullet"/>
        <w:spacing w:before="20" w:after="40"/>
        <w:ind w:left="360"/>
      </w:pPr>
      <w:r>
        <w:rPr>
          <w:rFonts w:ascii="Calibri" w:hAnsi="Calibri"/>
          <w:color w:val="2D3748"/>
          <w:sz w:val="19"/>
        </w:rPr>
        <w:t>Los errores bloqueantes impiden la confirmación.</w:t>
      </w:r>
    </w:p>
    <w:p>
      <w:pPr>
        <w:pStyle w:val="Heading3"/>
        <w:spacing w:before="200" w:after="60"/>
      </w:pPr>
      <w:r>
        <w:rPr>
          <w:rFonts w:ascii="Arial" w:hAnsi="Arial"/>
          <w:b/>
          <w:color w:val="0D9488"/>
          <w:sz w:val="23"/>
        </w:rPr>
        <w:t>HU-06 Validar producto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validador</w:t>
              <w:br/>
              <w:t>quiero procesar productos en orden FIFO</w:t>
              <w:br/>
              <w:t>para registrar decisiones trazables.</w:t>
            </w:r>
          </w:p>
        </w:tc>
      </w:tr>
    </w:tbl>
    <w:p>
      <w:pPr>
        <w:spacing w:before="0" w:after="120"/>
      </w:pPr>
    </w:p>
    <w:p>
      <w:pPr>
        <w:spacing w:before="40" w:after="80" w:line="276" w:lineRule="auto"/>
      </w:pPr>
      <w:r>
        <w:rPr>
          <w:rFonts w:ascii="Calibri" w:hAnsi="Calibri"/>
          <w:color w:val="1E293B"/>
          <w:sz w:val="20"/>
        </w:rPr>
        <w:t>Criterios:</w:t>
      </w:r>
    </w:p>
    <w:p>
      <w:pPr>
        <w:pStyle w:val="ListBullet"/>
        <w:spacing w:before="20" w:after="40"/>
        <w:ind w:left="360"/>
      </w:pPr>
      <w:r>
        <w:rPr>
          <w:rFonts w:ascii="Calibri" w:hAnsi="Calibri"/>
          <w:color w:val="2D3748"/>
          <w:sz w:val="19"/>
        </w:rPr>
        <w:t>El rechazo requiere motivo.</w:t>
      </w:r>
    </w:p>
    <w:p>
      <w:pPr>
        <w:pStyle w:val="ListBullet"/>
        <w:spacing w:before="20" w:after="40"/>
        <w:ind w:left="360"/>
      </w:pPr>
      <w:r>
        <w:rPr>
          <w:rFonts w:ascii="Calibri" w:hAnsi="Calibri"/>
          <w:color w:val="2D3748"/>
          <w:sz w:val="19"/>
        </w:rPr>
        <w:t>Toda decisión registra fecha y responsable.</w:t>
      </w:r>
    </w:p>
    <w:p>
      <w:pPr>
        <w:pStyle w:val="Heading3"/>
        <w:spacing w:before="200" w:after="60"/>
      </w:pPr>
      <w:r>
        <w:rPr>
          <w:rFonts w:ascii="Arial" w:hAnsi="Arial"/>
          <w:b/>
          <w:color w:val="0D9488"/>
          <w:sz w:val="23"/>
        </w:rPr>
        <w:t>HU-07 Consultar ventana</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usuario de consulta</w:t>
              <w:br/>
              <w:t>quiero filtrar producción por una ventana de años</w:t>
              <w:br/>
              <w:t>para analizar periodos comparables.</w:t>
            </w:r>
          </w:p>
        </w:tc>
      </w:tr>
    </w:tbl>
    <w:p>
      <w:pPr>
        <w:spacing w:before="0" w:after="120"/>
      </w:pPr>
    </w:p>
    <w:p>
      <w:pPr>
        <w:spacing w:before="40" w:after="80" w:line="276" w:lineRule="auto"/>
      </w:pPr>
      <w:r>
        <w:rPr>
          <w:rFonts w:ascii="Calibri" w:hAnsi="Calibri"/>
          <w:color w:val="1E293B"/>
          <w:sz w:val="20"/>
        </w:rPr>
        <w:t>Criterios:</w:t>
      </w:r>
    </w:p>
    <w:p>
      <w:pPr>
        <w:pStyle w:val="ListBullet"/>
        <w:spacing w:before="20" w:after="40"/>
        <w:ind w:left="360"/>
      </w:pPr>
      <w:r>
        <w:rPr>
          <w:rFonts w:ascii="Calibri" w:hAnsi="Calibri"/>
          <w:color w:val="2D3748"/>
          <w:sz w:val="19"/>
        </w:rPr>
        <w:t>El reporte muestra la ventana aplicada.</w:t>
      </w:r>
    </w:p>
    <w:p>
      <w:pPr>
        <w:pStyle w:val="ListBullet"/>
        <w:spacing w:before="20" w:after="40"/>
        <w:ind w:left="360"/>
      </w:pPr>
      <w:r>
        <w:rPr>
          <w:rFonts w:ascii="Calibri" w:hAnsi="Calibri"/>
          <w:color w:val="2D3748"/>
          <w:sz w:val="19"/>
        </w:rPr>
        <w:t>Se utiliza la fecha de obtención.</w:t>
      </w:r>
    </w:p>
    <w:p>
      <w:pPr>
        <w:pStyle w:val="Heading3"/>
        <w:spacing w:before="200" w:after="60"/>
      </w:pPr>
      <w:r>
        <w:rPr>
          <w:rFonts w:ascii="Arial" w:hAnsi="Arial"/>
          <w:b/>
          <w:color w:val="0D9488"/>
          <w:sz w:val="23"/>
        </w:rPr>
        <w:t>HU-08 Iniciar con o sin datos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usuario de la demostración</w:t>
              <w:br/>
              <w:t>quiero cargar un archivo o iniciar sin datos</w:t>
              <w:br/>
              <w:t>para probar distintos escenarios.</w:t>
            </w:r>
          </w:p>
        </w:tc>
      </w:tr>
    </w:tbl>
    <w:p>
      <w:pPr>
        <w:spacing w:before="0" w:after="120"/>
      </w:pPr>
    </w:p>
    <w:p>
      <w:pPr>
        <w:pStyle w:val="Heading2"/>
        <w:spacing w:before="280" w:after="80"/>
      </w:pPr>
      <w:r>
        <w:rPr>
          <w:rFonts w:ascii="Arial" w:hAnsi="Arial"/>
          <w:b/>
          <w:color w:val="2B6CB0"/>
          <w:sz w:val="27"/>
        </w:rPr>
        <w:t>40. Matriz de trazabilidad</w:t>
      </w:r>
    </w:p>
    <w:tbl>
      <w:tblPr>
        <w:tblW w:type="auto" w:w="0"/>
        <w:jc w:val="center"/>
        <w:tblLook w:firstColumn="1" w:firstRow="1" w:lastColumn="0" w:lastRow="0" w:noHBand="0" w:noVBand="1" w:val="04A0"/>
        <w:tblBorders>
          <w:top w:val="single" w:sz="6" w:space="0" w:color="CBD5E1"/>
          <w:left w:val="none"/>
          <w:bottom w:val="single" w:sz="12" w:space="0" w:color="1A365D"/>
          <w:right w:val="none"/>
          <w:insideH w:val="single" w:sz="4" w:space="0" w:color="CBD5E1"/>
          <w:insideV w:val="none"/>
        </w:tblBorders>
      </w:tblPr>
      <w:tblGrid>
        <w:gridCol w:w="1872"/>
        <w:gridCol w:w="1872"/>
        <w:gridCol w:w="1872"/>
        <w:gridCol w:w="1872"/>
        <w:gridCol w:w="1872"/>
      </w:tblGrid>
      <w:tr>
        <w:trPr>
          <w:tblHeader/>
          <w:cantSplit/>
        </w:trPr>
        <w:tc>
          <w:tcPr>
            <w:tcW w:type="dxa" w:w="1728"/>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Requisito</w:t>
            </w:r>
          </w:p>
        </w:tc>
        <w:tc>
          <w:tcPr>
            <w:tcW w:type="dxa" w:w="1440"/>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Regla/Entidad</w:t>
            </w:r>
          </w:p>
        </w:tc>
        <w:tc>
          <w:tcPr>
            <w:tcW w:type="dxa" w:w="2880"/>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Endpoint / Comando Real</w:t>
            </w:r>
          </w:p>
        </w:tc>
        <w:tc>
          <w:tcPr>
            <w:tcW w:type="dxa" w:w="1296"/>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Prueba</w:t>
            </w:r>
          </w:p>
        </w:tc>
        <w:tc>
          <w:tcPr>
            <w:tcW w:type="dxa" w:w="2016"/>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Evidencia</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grupos</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ResearchGroup</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GET/POST /api/v1/groups</w:t>
            </w:r>
            <w:r>
              <w:rPr>
                <w:rFonts w:ascii="Calibri" w:hAnsi="Calibri"/>
                <w:color w:val="334155"/>
                <w:sz w:val="17"/>
              </w:rPr>
              <w:t xml:space="preserve">, </w:t>
            </w:r>
            <w:r>
              <w:rPr>
                <w:rFonts w:ascii="Consolas" w:hAnsi="Consolas"/>
                <w:color w:val="0369A1"/>
                <w:sz w:val="16"/>
              </w:rPr>
              <w:t>pea_cli groups</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IT-GRP-001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Captura UI + JSON 200</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investigadores</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Researcher</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GET/POST /api/v1/researchers</w:t>
            </w:r>
            <w:r>
              <w:rPr>
                <w:rFonts w:ascii="Calibri" w:hAnsi="Calibri"/>
                <w:color w:val="334155"/>
                <w:sz w:val="17"/>
              </w:rPr>
              <w:t xml:space="preserve">, </w:t>
            </w:r>
            <w:r>
              <w:rPr>
                <w:rFonts w:ascii="Consolas" w:hAnsi="Consolas"/>
                <w:color w:val="0369A1"/>
                <w:sz w:val="16"/>
              </w:rPr>
              <w:t>pea_cli researchers</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IT-RES-001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Captura UI + JSON 200</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productos</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Product</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GET/POST /api/v1/products</w:t>
            </w:r>
            <w:r>
              <w:rPr>
                <w:rFonts w:ascii="Calibri" w:hAnsi="Calibri"/>
                <w:color w:val="334155"/>
                <w:sz w:val="17"/>
              </w:rPr>
              <w:t xml:space="preserve">, </w:t>
            </w:r>
            <w:r>
              <w:rPr>
                <w:rFonts w:ascii="Consolas" w:hAnsi="Consolas"/>
                <w:color w:val="0369A1"/>
                <w:sz w:val="16"/>
              </w:rPr>
              <w:t>pea_cli products</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IT-PRD-001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Captura UI + 20 atributos 2024</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planes</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WorkPlan</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/groups/{id}/plans</w:t>
            </w:r>
            <w:r>
              <w:rPr>
                <w:rFonts w:ascii="Calibri" w:hAnsi="Calibri"/>
                <w:color w:val="334155"/>
                <w:sz w:val="17"/>
              </w:rPr>
              <w:t xml:space="preserve">, </w:t>
            </w:r>
            <w:r>
              <w:rPr>
                <w:rFonts w:ascii="Consolas" w:hAnsi="Consolas"/>
                <w:color w:val="0369A1"/>
                <w:sz w:val="16"/>
              </w:rPr>
              <w:t>plans/{id}</w:t>
            </w:r>
            <w:r>
              <w:rPr>
                <w:rFonts w:ascii="Calibri" w:hAnsi="Calibri"/>
                <w:color w:val="334155"/>
                <w:sz w:val="17"/>
              </w:rPr>
              <w:t xml:space="preserve">, </w:t>
            </w:r>
            <w:r>
              <w:rPr>
                <w:rFonts w:ascii="Consolas" w:hAnsi="Consolas"/>
                <w:color w:val="0369A1"/>
                <w:sz w:val="16"/>
              </w:rPr>
              <w:t>pea_cli plans</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UT-PLN-001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Pestaña "Planes" + tests unitarios</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proyectos</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Project</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/api/v1/projects</w:t>
            </w:r>
            <w:r>
              <w:rPr>
                <w:rFonts w:ascii="Calibri" w:hAnsi="Calibri"/>
                <w:color w:val="334155"/>
                <w:sz w:val="17"/>
              </w:rPr>
              <w:t xml:space="preserve">, </w:t>
            </w:r>
            <w:r>
              <w:rPr>
                <w:rFonts w:ascii="Consolas" w:hAnsi="Consolas"/>
                <w:color w:val="0369A1"/>
                <w:sz w:val="16"/>
              </w:rPr>
              <w:t>groups/{id}/projects</w:t>
            </w:r>
            <w:r>
              <w:rPr>
                <w:rFonts w:ascii="Calibri" w:hAnsi="Calibri"/>
                <w:color w:val="334155"/>
                <w:sz w:val="17"/>
              </w:rPr>
              <w:t xml:space="preserve">, </w:t>
            </w:r>
            <w:r>
              <w:rPr>
                <w:rFonts w:ascii="Consolas" w:hAnsi="Consolas"/>
                <w:color w:val="0369A1"/>
                <w:sz w:val="16"/>
              </w:rPr>
              <w:t>pea_cli projects</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UT-PRJ-001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Pestaña "Proyectos" + tests unitarios</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Vinculación temporal</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RV-001</w:t>
            </w:r>
            <w:r>
              <w:rPr>
                <w:rFonts w:ascii="Calibri" w:hAnsi="Calibri"/>
                <w:color w:val="334155"/>
                <w:sz w:val="17"/>
              </w:rPr>
              <w:t xml:space="preserve">, </w:t>
            </w:r>
            <w:r>
              <w:rPr>
                <w:rFonts w:ascii="Consolas" w:hAnsi="Consolas"/>
                <w:color w:val="0369A1"/>
                <w:sz w:val="16"/>
              </w:rPr>
              <w:t>RV-002</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POST/PUT /api/v1/groups/{id}/members/{rid}</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UT-MEM-002</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test_membership_rules.py</w:t>
            </w:r>
            <w:r>
              <w:rPr>
                <w:rFonts w:ascii="Calibri" w:hAnsi="Calibri"/>
                <w:color w:val="334155"/>
                <w:sz w:val="17"/>
              </w:rPr>
              <w:t xml:space="preserve"> (HTTP 400 en solapado/invertido)</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Producto-grupo</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RPG-001</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POST /groups/{id}/products/{pid}</w:t>
            </w:r>
            <w:r>
              <w:rPr>
                <w:rFonts w:ascii="Calibri" w:hAnsi="Calibri"/>
                <w:color w:val="334155"/>
                <w:sz w:val="17"/>
              </w:rPr>
              <w:t xml:space="preserve">, </w:t>
            </w:r>
            <w:r>
              <w:rPr>
                <w:rFonts w:ascii="Consolas" w:hAnsi="Consolas"/>
                <w:color w:val="0369A1"/>
                <w:sz w:val="16"/>
              </w:rPr>
              <w:t>pea_cli products link</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UT-LNK-001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Enlace multilista + deduplicación</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Autores de producto</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ProductAuthor</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GET/POST /api/v1/products/{id}/authors</w:t>
            </w:r>
            <w:r>
              <w:rPr>
                <w:rFonts w:ascii="Calibri" w:hAnsi="Calibri"/>
                <w:color w:val="334155"/>
                <w:sz w:val="17"/>
              </w:rPr>
              <w:t xml:space="preserve">, </w:t>
            </w:r>
            <w:r>
              <w:rPr>
                <w:rFonts w:ascii="Consolas" w:hAnsi="Consolas"/>
                <w:color w:val="0369A1"/>
                <w:sz w:val="16"/>
              </w:rPr>
              <w:t>pea_cli structures authors</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UT-AUT-001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Orden, internos y externos persistidos</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Lista enlazada</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LinkedList&lt;T&gt;</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pea_cli structures groups|researchers|products</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UT-LST-001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Recorrido de punteros en consola</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Multilista</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ResearchMultilist</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pea_cli structures multilist &lt;gid&gt;</w:t>
            </w:r>
            <w:r>
              <w:rPr>
                <w:rFonts w:ascii="Calibri" w:hAnsi="Calibri"/>
                <w:color w:val="334155"/>
                <w:sz w:val="17"/>
              </w:rPr>
              <w:t xml:space="preserve">, </w:t>
            </w:r>
            <w:r>
              <w:rPr>
                <w:rFonts w:ascii="Consolas" w:hAnsi="Consolas"/>
                <w:color w:val="0369A1"/>
                <w:sz w:val="16"/>
              </w:rPr>
              <w:t>/groups/{id}/memberships</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UT-MLT-001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Punteros dobles ortogonales impresos</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Pila LIFO (Deshacer)</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UndoOperation</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POST /api/v1/system/undo</w:t>
            </w:r>
            <w:r>
              <w:rPr>
                <w:rFonts w:ascii="Calibri" w:hAnsi="Calibri"/>
                <w:color w:val="334155"/>
                <w:sz w:val="17"/>
              </w:rPr>
              <w:t xml:space="preserve">, </w:t>
            </w:r>
            <w:r>
              <w:rPr>
                <w:rFonts w:ascii="Consolas" w:hAnsi="Consolas"/>
                <w:color w:val="0369A1"/>
                <w:sz w:val="16"/>
              </w:rPr>
              <w:t>pea_cli history undo</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UT-STK-001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Reversión simétrica y modal de confirmación</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Cola FIFO (Validación)</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ValidationQueueItem</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POST /api/v1/system/validation-queue/{id}/validate</w:t>
            </w:r>
            <w:r>
              <w:rPr>
                <w:rFonts w:ascii="Calibri" w:hAnsi="Calibri"/>
                <w:color w:val="334155"/>
                <w:sz w:val="17"/>
              </w:rPr>
              <w:t xml:space="preserve">, </w:t>
            </w:r>
            <w:r>
              <w:rPr>
                <w:rFonts w:ascii="Consolas" w:hAnsi="Consolas"/>
                <w:color w:val="0369A1"/>
                <w:sz w:val="16"/>
              </w:rPr>
              <w:t>pea_cli queue process</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UT-QUE-001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Orden de llegada FIFO verificado</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Ingesta URL Scienti</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ImportJob</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/groups/import/gruplac</w:t>
            </w:r>
            <w:r>
              <w:rPr>
                <w:rFonts w:ascii="Calibri" w:hAnsi="Calibri"/>
                <w:color w:val="334155"/>
                <w:sz w:val="17"/>
              </w:rPr>
              <w:t xml:space="preserve">, </w:t>
            </w:r>
            <w:r>
              <w:rPr>
                <w:rFonts w:ascii="Consolas" w:hAnsi="Consolas"/>
                <w:color w:val="0369A1"/>
                <w:sz w:val="16"/>
              </w:rPr>
              <w:t>/researchers/import/cvlac</w:t>
            </w:r>
            <w:r>
              <w:rPr>
                <w:rFonts w:ascii="Calibri" w:hAnsi="Calibri"/>
                <w:color w:val="334155"/>
                <w:sz w:val="17"/>
              </w:rPr>
              <w:t xml:space="preserve">, </w:t>
            </w:r>
            <w:r>
              <w:rPr>
                <w:rFonts w:ascii="Consolas" w:hAnsi="Consolas"/>
                <w:color w:val="0369A1"/>
                <w:sz w:val="16"/>
              </w:rPr>
              <w:t>/groups/search/scienti</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IT-URL-001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Vista previa + commit con deduplicación</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Ingesta CSV / PDF</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ImportJob</w:t>
            </w:r>
            <w:r>
              <w:rPr>
                <w:rFonts w:ascii="Calibri" w:hAnsi="Calibri"/>
                <w:color w:val="334155"/>
                <w:sz w:val="17"/>
              </w:rPr>
              <w:t xml:space="preserve"> (</w:t>
            </w:r>
            <w:r>
              <w:rPr>
                <w:rFonts w:ascii="Consolas" w:hAnsi="Consolas"/>
                <w:color w:val="0369A1"/>
                <w:sz w:val="16"/>
              </w:rPr>
              <w:t>source_type='csv'/'pdf'</w:t>
            </w:r>
            <w:r>
              <w:rPr>
                <w:rFonts w:ascii="Calibri" w:hAnsi="Calibri"/>
                <w:color w:val="334155"/>
                <w:sz w:val="17"/>
              </w:rPr>
              <w:t>)</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POST /groups/import/csv(/preview)</w:t>
            </w:r>
            <w:r>
              <w:rPr>
                <w:rFonts w:ascii="Calibri" w:hAnsi="Calibri"/>
                <w:color w:val="334155"/>
                <w:sz w:val="17"/>
              </w:rPr>
              <w:t xml:space="preserve">, </w:t>
            </w:r>
            <w:r>
              <w:rPr>
                <w:rFonts w:ascii="Consolas" w:hAnsi="Consolas"/>
                <w:color w:val="0369A1"/>
                <w:sz w:val="16"/>
              </w:rPr>
              <w:t>POST /groups/import/pdf(/preview)</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IT-FILE-001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Parser dataset hrhc-c4wu + parser PDF + idempotencia de doble commit</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Ventana de observación</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ObservationWindow</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GET /api/v1/products?start_year&amp;end_year</w:t>
            </w:r>
            <w:r>
              <w:rPr>
                <w:rFonts w:ascii="Calibri" w:hAnsi="Calibri"/>
                <w:color w:val="334155"/>
                <w:sz w:val="17"/>
              </w:rPr>
              <w:t xml:space="preserve">, </w:t>
            </w:r>
            <w:r>
              <w:rPr>
                <w:rFonts w:ascii="Consolas" w:hAnsi="Consolas"/>
                <w:color w:val="0369A1"/>
                <w:sz w:val="16"/>
              </w:rPr>
              <w:t>/groups/{id}/report/pdf</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IT-WIN-001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Filtro 2/5 años y selector en PDF</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Persistencia dual</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SQL / JSON</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POST /api/v1/system/initialize/*</w:t>
            </w:r>
            <w:r>
              <w:rPr>
                <w:rFonts w:ascii="Calibri" w:hAnsi="Calibri"/>
                <w:color w:val="334155"/>
                <w:sz w:val="17"/>
              </w:rPr>
              <w:t xml:space="preserve">, </w:t>
            </w:r>
            <w:r>
              <w:rPr>
                <w:rFonts w:ascii="Consolas" w:hAnsi="Consolas"/>
                <w:color w:val="0369A1"/>
                <w:sz w:val="16"/>
              </w:rPr>
              <w:t>GET /system/export</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IT-PER-001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Reinicio exitoso y </w:t>
            </w:r>
            <w:r>
              <w:rPr>
                <w:rFonts w:ascii="Consolas" w:hAnsi="Consolas"/>
                <w:color w:val="0369A1"/>
                <w:sz w:val="16"/>
              </w:rPr>
              <w:t>pea_data.json</w:t>
            </w:r>
            <w:r>
              <w:rPr>
                <w:rFonts w:ascii="Calibri" w:hAnsi="Calibri"/>
                <w:color w:val="334155"/>
                <w:sz w:val="17"/>
              </w:rPr>
              <w:t xml:space="preserve"> íntegro</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Dashboard estadístico</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Agregados C++</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/admin</w:t>
            </w:r>
            <w:r>
              <w:rPr>
                <w:rFonts w:ascii="Calibri" w:hAnsi="Calibri"/>
                <w:color w:val="334155"/>
                <w:sz w:val="17"/>
              </w:rPr>
              <w:t xml:space="preserve"> (KPIs), </w:t>
            </w:r>
            <w:r>
              <w:rPr>
                <w:rFonts w:ascii="Consolas" w:hAnsi="Consolas"/>
                <w:color w:val="0369A1"/>
                <w:sz w:val="16"/>
              </w:rPr>
              <w:t>/portal</w:t>
            </w:r>
            <w:r>
              <w:rPr>
                <w:rFonts w:ascii="Calibri" w:hAnsi="Calibri"/>
                <w:color w:val="334155"/>
                <w:sz w:val="17"/>
              </w:rPr>
              <w:t xml:space="preserve"> (Recharts), </w:t>
            </w:r>
            <w:r>
              <w:rPr>
                <w:rFonts w:ascii="Consolas" w:hAnsi="Consolas"/>
                <w:color w:val="0369A1"/>
                <w:sz w:val="16"/>
              </w:rPr>
              <w:t>pea_cli summary</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E2E-DASH-001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Histogramas, donuts y barras dinámicas</w:t>
            </w:r>
          </w:p>
        </w:tc>
      </w:tr>
    </w:tbl>
    <w:p>
      <w:pPr>
        <w:spacing w:before="0" w:after="120"/>
      </w:pPr>
    </w:p>
    <w:p>
      <w:pPr>
        <w:pStyle w:val="Heading2"/>
        <w:spacing w:before="280" w:after="80"/>
      </w:pPr>
      <w:r>
        <w:rPr>
          <w:rFonts w:ascii="Arial" w:hAnsi="Arial"/>
          <w:b/>
          <w:color w:val="2B6CB0"/>
          <w:sz w:val="27"/>
        </w:rPr>
        <w:t>41. Pruebas mínimas</w:t>
      </w:r>
    </w:p>
    <w:p>
      <w:pPr>
        <w:pStyle w:val="Heading3"/>
        <w:spacing w:before="200" w:after="60"/>
      </w:pPr>
      <w:r>
        <w:rPr>
          <w:rFonts w:ascii="Arial" w:hAnsi="Arial"/>
          <w:b/>
          <w:color w:val="0D9488"/>
          <w:sz w:val="23"/>
        </w:rPr>
        <w:t>41.1 C++ unitarias</w:t>
      </w:r>
    </w:p>
    <w:p>
      <w:pPr>
        <w:pStyle w:val="ListBullet"/>
        <w:spacing w:before="20" w:after="40"/>
        <w:ind w:left="360"/>
      </w:pPr>
      <w:r>
        <w:rPr>
          <w:rFonts w:ascii="Calibri" w:hAnsi="Calibri"/>
          <w:color w:val="2D3748"/>
          <w:sz w:val="19"/>
        </w:rPr>
        <w:t>Insertar en lista vacía.</w:t>
      </w:r>
    </w:p>
    <w:p>
      <w:pPr>
        <w:pStyle w:val="ListBullet"/>
        <w:spacing w:before="20" w:after="40"/>
        <w:ind w:left="360"/>
      </w:pPr>
      <w:r>
        <w:rPr>
          <w:rFonts w:ascii="Calibri" w:hAnsi="Calibri"/>
          <w:color w:val="2D3748"/>
          <w:sz w:val="19"/>
        </w:rPr>
        <w:t>Insertar al inicio y final.</w:t>
      </w:r>
    </w:p>
    <w:p>
      <w:pPr>
        <w:pStyle w:val="ListBullet"/>
        <w:spacing w:before="20" w:after="40"/>
        <w:ind w:left="360"/>
      </w:pPr>
      <w:r>
        <w:rPr>
          <w:rFonts w:ascii="Calibri" w:hAnsi="Calibri"/>
          <w:color w:val="2D3748"/>
          <w:sz w:val="19"/>
        </w:rPr>
        <w:t>Buscar existente e inexistente.</w:t>
      </w:r>
    </w:p>
    <w:p>
      <w:pPr>
        <w:pStyle w:val="ListBullet"/>
        <w:spacing w:before="20" w:after="40"/>
        <w:ind w:left="360"/>
      </w:pPr>
      <w:r>
        <w:rPr>
          <w:rFonts w:ascii="Calibri" w:hAnsi="Calibri"/>
          <w:color w:val="2D3748"/>
          <w:sz w:val="19"/>
        </w:rPr>
        <w:t>Modificar nodo.</w:t>
      </w:r>
    </w:p>
    <w:p>
      <w:pPr>
        <w:pStyle w:val="ListBullet"/>
        <w:spacing w:before="20" w:after="40"/>
        <w:ind w:left="360"/>
      </w:pPr>
      <w:r>
        <w:rPr>
          <w:rFonts w:ascii="Calibri" w:hAnsi="Calibri"/>
          <w:color w:val="2D3748"/>
          <w:sz w:val="19"/>
        </w:rPr>
        <w:t>Desactivar nodo.</w:t>
      </w:r>
    </w:p>
    <w:p>
      <w:pPr>
        <w:pStyle w:val="ListBullet"/>
        <w:spacing w:before="20" w:after="40"/>
        <w:ind w:left="360"/>
      </w:pPr>
      <w:r>
        <w:rPr>
          <w:rFonts w:ascii="Calibri" w:hAnsi="Calibri"/>
          <w:color w:val="2D3748"/>
          <w:sz w:val="19"/>
        </w:rPr>
        <w:t>Eliminar primero, intermedio y último.</w:t>
      </w:r>
    </w:p>
    <w:p>
      <w:pPr>
        <w:pStyle w:val="ListBullet"/>
        <w:spacing w:before="20" w:after="40"/>
        <w:ind w:left="360"/>
      </w:pPr>
      <w:r>
        <w:rPr>
          <w:rFonts w:ascii="Calibri" w:hAnsi="Calibri"/>
          <w:color w:val="2D3748"/>
          <w:sz w:val="19"/>
        </w:rPr>
        <w:t>Recorrer hacia adelante y atrás.</w:t>
      </w:r>
    </w:p>
    <w:p>
      <w:pPr>
        <w:pStyle w:val="ListBullet"/>
        <w:spacing w:before="20" w:after="40"/>
        <w:ind w:left="360"/>
      </w:pPr>
      <w:r>
        <w:rPr>
          <w:rFonts w:ascii="Calibri" w:hAnsi="Calibri"/>
          <w:color w:val="2D3748"/>
          <w:sz w:val="19"/>
        </w:rPr>
        <w:t>Crear enlaces de multilista.</w:t>
      </w:r>
    </w:p>
    <w:p>
      <w:pPr>
        <w:pStyle w:val="ListBullet"/>
        <w:spacing w:before="20" w:after="40"/>
        <w:ind w:left="360"/>
      </w:pPr>
      <w:r>
        <w:rPr>
          <w:rFonts w:ascii="Calibri" w:hAnsi="Calibri"/>
          <w:color w:val="2D3748"/>
          <w:sz w:val="19"/>
        </w:rPr>
        <w:t>Recorrer grupo a integrantes.</w:t>
      </w:r>
    </w:p>
    <w:p>
      <w:pPr>
        <w:pStyle w:val="ListBullet"/>
        <w:spacing w:before="20" w:after="40"/>
        <w:ind w:left="360"/>
      </w:pPr>
      <w:r>
        <w:rPr>
          <w:rFonts w:ascii="Calibri" w:hAnsi="Calibri"/>
          <w:color w:val="2D3748"/>
          <w:sz w:val="19"/>
        </w:rPr>
        <w:t>Recorrer investigador a grupos.</w:t>
      </w:r>
    </w:p>
    <w:p>
      <w:pPr>
        <w:pStyle w:val="ListBullet"/>
        <w:spacing w:before="20" w:after="40"/>
        <w:ind w:left="360"/>
      </w:pPr>
      <w:r>
        <w:rPr>
          <w:rFonts w:ascii="Calibri" w:hAnsi="Calibri"/>
          <w:color w:val="2D3748"/>
          <w:sz w:val="19"/>
        </w:rPr>
        <w:t>Push, top y pop.</w:t>
      </w:r>
    </w:p>
    <w:p>
      <w:pPr>
        <w:pStyle w:val="ListBullet"/>
        <w:spacing w:before="20" w:after="40"/>
        <w:ind w:left="360"/>
      </w:pPr>
      <w:r>
        <w:rPr>
          <w:rFonts w:ascii="Calibri" w:hAnsi="Calibri"/>
          <w:color w:val="2D3748"/>
          <w:sz w:val="19"/>
        </w:rPr>
        <w:t>Enqueue, front y dequeue.</w:t>
      </w:r>
    </w:p>
    <w:p>
      <w:pPr>
        <w:pStyle w:val="ListBullet"/>
        <w:spacing w:before="20" w:after="40"/>
        <w:ind w:left="360"/>
      </w:pPr>
      <w:r>
        <w:rPr>
          <w:rFonts w:ascii="Calibri" w:hAnsi="Calibri"/>
          <w:color w:val="2D3748"/>
          <w:sz w:val="19"/>
        </w:rPr>
        <w:t>Mantener FIFO.</w:t>
      </w:r>
    </w:p>
    <w:p>
      <w:pPr>
        <w:pStyle w:val="ListBullet"/>
        <w:spacing w:before="20" w:after="40"/>
        <w:ind w:left="360"/>
      </w:pPr>
      <w:r>
        <w:rPr>
          <w:rFonts w:ascii="Calibri" w:hAnsi="Calibri"/>
          <w:color w:val="2D3748"/>
          <w:sz w:val="19"/>
        </w:rPr>
        <w:t>Crear, editar y eliminar planes de un grupo (UT-PLN-001).</w:t>
      </w:r>
    </w:p>
    <w:p>
      <w:pPr>
        <w:pStyle w:val="ListBullet"/>
        <w:spacing w:before="20" w:after="40"/>
        <w:ind w:left="360"/>
      </w:pPr>
      <w:r>
        <w:rPr>
          <w:rFonts w:ascii="Calibri" w:hAnsi="Calibri"/>
          <w:color w:val="2D3748"/>
          <w:sz w:val="19"/>
        </w:rPr>
        <w:t>Liberar la cadena de planes al eliminar el grupo (cascada).</w:t>
      </w:r>
    </w:p>
    <w:p>
      <w:pPr>
        <w:pStyle w:val="ListBullet"/>
        <w:spacing w:before="20" w:after="40"/>
        <w:ind w:left="360"/>
      </w:pPr>
      <w:r>
        <w:rPr>
          <w:rFonts w:ascii="Calibri" w:hAnsi="Calibri"/>
          <w:color w:val="2D3748"/>
          <w:sz w:val="19"/>
        </w:rPr>
        <w:t>Deshacer creación, edición y borrado de planes (pila).</w:t>
      </w:r>
    </w:p>
    <w:p>
      <w:pPr>
        <w:pStyle w:val="ListBullet"/>
        <w:spacing w:before="20" w:after="40"/>
        <w:ind w:left="360"/>
      </w:pPr>
      <w:r>
        <w:rPr>
          <w:rFonts w:ascii="Calibri" w:hAnsi="Calibri"/>
          <w:color w:val="2D3748"/>
          <w:sz w:val="19"/>
        </w:rPr>
        <w:t>Crear, consultar, editar y eliminar proyectos de la lista global (UT-PRJ-001).</w:t>
      </w:r>
    </w:p>
    <w:p>
      <w:pPr>
        <w:pStyle w:val="ListBullet"/>
        <w:spacing w:before="20" w:after="40"/>
        <w:ind w:left="360"/>
      </w:pPr>
      <w:r>
        <w:rPr>
          <w:rFonts w:ascii="Calibri" w:hAnsi="Calibri"/>
          <w:color w:val="2D3748"/>
          <w:sz w:val="19"/>
        </w:rPr>
        <w:t>Enlazar y desenlazar proyectos de grupos; cascada al eliminar proyecto o grupo.</w:t>
      </w:r>
    </w:p>
    <w:p>
      <w:pPr>
        <w:pStyle w:val="ListBullet"/>
        <w:spacing w:before="20" w:after="40"/>
        <w:ind w:left="360"/>
      </w:pPr>
      <w:r>
        <w:rPr>
          <w:rFonts w:ascii="Calibri" w:hAnsi="Calibri"/>
          <w:color w:val="2D3748"/>
          <w:sz w:val="19"/>
        </w:rPr>
        <w:t>Deshacer creación, edición, borrado, enlace y desenlace de proyectos (pila).</w:t>
      </w:r>
    </w:p>
    <w:p>
      <w:pPr>
        <w:pStyle w:val="ListBullet"/>
        <w:spacing w:before="20" w:after="40"/>
        <w:ind w:left="360"/>
      </w:pPr>
      <w:r>
        <w:rPr>
          <w:rFonts w:ascii="Calibri" w:hAnsi="Calibri"/>
          <w:color w:val="2D3748"/>
          <w:sz w:val="19"/>
        </w:rPr>
        <w:t>Lectura y actualización de detalles de membresías, y deshacer UPDATE_MEMBERSHIP (UT-MEM-002).</w:t>
      </w:r>
    </w:p>
    <w:p>
      <w:pPr>
        <w:pStyle w:val="Heading3"/>
        <w:spacing w:before="200" w:after="60"/>
      </w:pPr>
      <w:r>
        <w:rPr>
          <w:rFonts w:ascii="Arial" w:hAnsi="Arial"/>
          <w:b/>
          <w:color w:val="0D9488"/>
          <w:sz w:val="23"/>
        </w:rPr>
        <w:t>41.2 Reglas de dominio</w:t>
      </w:r>
    </w:p>
    <w:p>
      <w:pPr>
        <w:pStyle w:val="ListBullet"/>
        <w:spacing w:before="20" w:after="40"/>
        <w:ind w:left="360"/>
      </w:pPr>
      <w:r>
        <w:rPr>
          <w:rFonts w:ascii="Calibri" w:hAnsi="Calibri"/>
          <w:color w:val="2D3748"/>
          <w:sz w:val="19"/>
        </w:rPr>
        <w:t>Rechazar periodo invertido.</w:t>
      </w:r>
    </w:p>
    <w:p>
      <w:pPr>
        <w:pStyle w:val="ListBullet"/>
        <w:spacing w:before="20" w:after="40"/>
        <w:ind w:left="360"/>
      </w:pPr>
      <w:r>
        <w:rPr>
          <w:rFonts w:ascii="Calibri" w:hAnsi="Calibri"/>
          <w:color w:val="2D3748"/>
          <w:sz w:val="19"/>
        </w:rPr>
        <w:t>Rechazar periodos solapados.</w:t>
      </w:r>
    </w:p>
    <w:p>
      <w:pPr>
        <w:pStyle w:val="ListBullet"/>
        <w:spacing w:before="20" w:after="40"/>
        <w:ind w:left="360"/>
      </w:pPr>
      <w:r>
        <w:rPr>
          <w:rFonts w:ascii="Calibri" w:hAnsi="Calibri"/>
          <w:color w:val="2D3748"/>
          <w:sz w:val="19"/>
        </w:rPr>
        <w:t>Aceptar reingreso no solapado.</w:t>
      </w:r>
    </w:p>
    <w:p>
      <w:pPr>
        <w:pStyle w:val="ListBullet"/>
        <w:spacing w:before="20" w:after="40"/>
        <w:ind w:left="360"/>
      </w:pPr>
      <w:r>
        <w:rPr>
          <w:rFonts w:ascii="Calibri" w:hAnsi="Calibri"/>
          <w:color w:val="2D3748"/>
          <w:sz w:val="19"/>
        </w:rPr>
        <w:t>Rechazar producto sin autor.</w:t>
      </w:r>
    </w:p>
    <w:p>
      <w:pPr>
        <w:pStyle w:val="ListBullet"/>
        <w:spacing w:before="20" w:after="40"/>
        <w:ind w:left="360"/>
      </w:pPr>
      <w:r>
        <w:rPr>
          <w:rFonts w:ascii="Calibri" w:hAnsi="Calibri"/>
          <w:color w:val="2D3748"/>
          <w:sz w:val="19"/>
        </w:rPr>
        <w:t>Rechazar asociación sin vínculo temporal.</w:t>
      </w:r>
    </w:p>
    <w:p>
      <w:pPr>
        <w:pStyle w:val="ListBullet"/>
        <w:spacing w:before="20" w:after="40"/>
        <w:ind w:left="360"/>
      </w:pPr>
      <w:r>
        <w:rPr>
          <w:rFonts w:ascii="Calibri" w:hAnsi="Calibri"/>
          <w:color w:val="2D3748"/>
          <w:sz w:val="19"/>
        </w:rPr>
        <w:t>Aceptar asociación con vínculo válido.</w:t>
      </w:r>
    </w:p>
    <w:p>
      <w:pPr>
        <w:pStyle w:val="ListBullet"/>
        <w:spacing w:before="20" w:after="40"/>
        <w:ind w:left="360"/>
      </w:pPr>
      <w:r>
        <w:rPr>
          <w:rFonts w:ascii="Calibri" w:hAnsi="Calibri"/>
          <w:color w:val="2D3748"/>
          <w:sz w:val="19"/>
        </w:rPr>
        <w:t>Invalidar validación después de cambio crítico.</w:t>
      </w:r>
    </w:p>
    <w:p>
      <w:pPr>
        <w:pStyle w:val="Heading3"/>
        <w:spacing w:before="200" w:after="60"/>
      </w:pPr>
      <w:r>
        <w:rPr>
          <w:rFonts w:ascii="Arial" w:hAnsi="Arial"/>
          <w:b/>
          <w:color w:val="0D9488"/>
          <w:sz w:val="23"/>
        </w:rPr>
        <w:t>41.3 Persistencia</w:t>
      </w:r>
    </w:p>
    <w:p>
      <w:pPr>
        <w:pStyle w:val="ListBullet"/>
        <w:spacing w:before="20" w:after="40"/>
        <w:ind w:left="360"/>
      </w:pPr>
      <w:r>
        <w:rPr>
          <w:rFonts w:ascii="Calibri" w:hAnsi="Calibri"/>
          <w:color w:val="2D3748"/>
          <w:sz w:val="19"/>
        </w:rPr>
        <w:t>Guardar y recuperar grupos.</w:t>
      </w:r>
    </w:p>
    <w:p>
      <w:pPr>
        <w:pStyle w:val="ListBullet"/>
        <w:spacing w:before="20" w:after="40"/>
        <w:ind w:left="360"/>
      </w:pPr>
      <w:r>
        <w:rPr>
          <w:rFonts w:ascii="Calibri" w:hAnsi="Calibri"/>
          <w:color w:val="2D3748"/>
          <w:sz w:val="19"/>
        </w:rPr>
        <w:t>Reconstruir estructuras al reiniciar.</w:t>
      </w:r>
    </w:p>
    <w:p>
      <w:pPr>
        <w:pStyle w:val="ListBullet"/>
        <w:spacing w:before="20" w:after="40"/>
        <w:ind w:left="360"/>
      </w:pPr>
      <w:r>
        <w:rPr>
          <w:rFonts w:ascii="Calibri" w:hAnsi="Calibri"/>
          <w:color w:val="2D3748"/>
          <w:sz w:val="19"/>
        </w:rPr>
        <w:t>Exportar JSON.</w:t>
      </w:r>
    </w:p>
    <w:p>
      <w:pPr>
        <w:pStyle w:val="ListBullet"/>
        <w:spacing w:before="20" w:after="40"/>
        <w:ind w:left="360"/>
      </w:pPr>
      <w:r>
        <w:rPr>
          <w:rFonts w:ascii="Calibri" w:hAnsi="Calibri"/>
          <w:color w:val="2D3748"/>
          <w:sz w:val="19"/>
        </w:rPr>
        <w:t>Importar JSON.</w:t>
      </w:r>
    </w:p>
    <w:p>
      <w:pPr>
        <w:pStyle w:val="ListBullet"/>
        <w:spacing w:before="20" w:after="40"/>
        <w:ind w:left="360"/>
      </w:pPr>
      <w:r>
        <w:rPr>
          <w:rFonts w:ascii="Calibri" w:hAnsi="Calibri"/>
          <w:color w:val="2D3748"/>
          <w:sz w:val="19"/>
        </w:rPr>
        <w:t>Iniciar vacío.</w:t>
      </w:r>
    </w:p>
    <w:p>
      <w:pPr>
        <w:pStyle w:val="ListBullet"/>
        <w:spacing w:before="20" w:after="40"/>
        <w:ind w:left="360"/>
      </w:pPr>
      <w:r>
        <w:rPr>
          <w:rFonts w:ascii="Calibri" w:hAnsi="Calibri"/>
          <w:color w:val="2D3748"/>
          <w:sz w:val="19"/>
        </w:rPr>
        <w:t>Evitar doble importación del mismo archivo.</w:t>
      </w:r>
    </w:p>
    <w:p>
      <w:pPr>
        <w:pStyle w:val="Heading3"/>
        <w:spacing w:before="200" w:after="60"/>
      </w:pPr>
      <w:r>
        <w:rPr>
          <w:rFonts w:ascii="Arial" w:hAnsi="Arial"/>
          <w:b/>
          <w:color w:val="0D9488"/>
          <w:sz w:val="23"/>
        </w:rPr>
        <w:t>41.4 API</w:t>
      </w:r>
    </w:p>
    <w:p>
      <w:pPr>
        <w:pStyle w:val="ListBullet"/>
        <w:spacing w:before="20" w:after="40"/>
        <w:ind w:left="360"/>
      </w:pPr>
      <w:r>
        <w:rPr>
          <w:rFonts w:ascii="Calibri" w:hAnsi="Calibri"/>
          <w:color w:val="2D3748"/>
          <w:sz w:val="19"/>
        </w:rPr>
        <w:t>Códigos HTTP correctos.</w:t>
      </w:r>
    </w:p>
    <w:p>
      <w:pPr>
        <w:pStyle w:val="ListBullet"/>
        <w:spacing w:before="20" w:after="40"/>
        <w:ind w:left="360"/>
      </w:pPr>
      <w:r>
        <w:rPr>
          <w:rFonts w:ascii="Calibri" w:hAnsi="Calibri"/>
          <w:color w:val="2D3748"/>
          <w:sz w:val="19"/>
        </w:rPr>
        <w:t>Validación de DTO.</w:t>
      </w:r>
    </w:p>
    <w:p>
      <w:pPr>
        <w:pStyle w:val="ListBullet"/>
        <w:spacing w:before="20" w:after="40"/>
        <w:ind w:left="360"/>
      </w:pPr>
      <w:r>
        <w:rPr>
          <w:rFonts w:ascii="Calibri" w:hAnsi="Calibri"/>
          <w:color w:val="2D3748"/>
          <w:sz w:val="19"/>
        </w:rPr>
        <w:t>Paginación.</w:t>
      </w:r>
    </w:p>
    <w:p>
      <w:pPr>
        <w:pStyle w:val="ListBullet"/>
        <w:spacing w:before="20" w:after="40"/>
        <w:ind w:left="360"/>
      </w:pPr>
      <w:r>
        <w:rPr>
          <w:rFonts w:ascii="Calibri" w:hAnsi="Calibri"/>
          <w:color w:val="2D3748"/>
          <w:sz w:val="19"/>
        </w:rPr>
        <w:t>Filtros.</w:t>
      </w:r>
    </w:p>
    <w:p>
      <w:pPr>
        <w:pStyle w:val="ListBullet"/>
        <w:spacing w:before="20" w:after="40"/>
        <w:ind w:left="360"/>
      </w:pPr>
      <w:r>
        <w:rPr>
          <w:rFonts w:ascii="Calibri" w:hAnsi="Calibri"/>
          <w:color w:val="2D3748"/>
          <w:sz w:val="19"/>
        </w:rPr>
        <w:t>Mapeo de excepciones C++.</w:t>
      </w:r>
    </w:p>
    <w:p>
      <w:pPr>
        <w:pStyle w:val="ListBullet"/>
        <w:spacing w:before="20" w:after="40"/>
        <w:ind w:left="360"/>
      </w:pPr>
      <w:r>
        <w:rPr>
          <w:rFonts w:ascii="Calibri" w:hAnsi="Calibri"/>
          <w:color w:val="2D3748"/>
          <w:sz w:val="19"/>
        </w:rPr>
        <w:t>Carga de archivos.</w:t>
      </w:r>
    </w:p>
    <w:p>
      <w:pPr>
        <w:pStyle w:val="Heading3"/>
        <w:spacing w:before="200" w:after="60"/>
      </w:pPr>
      <w:r>
        <w:rPr>
          <w:rFonts w:ascii="Arial" w:hAnsi="Arial"/>
          <w:b/>
          <w:color w:val="0D9488"/>
          <w:sz w:val="23"/>
        </w:rPr>
        <w:t>41.5 Analítica</w:t>
      </w:r>
    </w:p>
    <w:p>
      <w:pPr>
        <w:pStyle w:val="ListBullet"/>
        <w:spacing w:before="20" w:after="40"/>
        <w:ind w:left="360"/>
      </w:pPr>
      <w:r>
        <w:rPr>
          <w:rFonts w:ascii="Calibri" w:hAnsi="Calibri"/>
          <w:color w:val="2D3748"/>
          <w:sz w:val="19"/>
        </w:rPr>
        <w:t>Filtro por año.</w:t>
      </w:r>
    </w:p>
    <w:p>
      <w:pPr>
        <w:pStyle w:val="ListBullet"/>
        <w:spacing w:before="20" w:after="40"/>
        <w:ind w:left="360"/>
      </w:pPr>
      <w:r>
        <w:rPr>
          <w:rFonts w:ascii="Calibri" w:hAnsi="Calibri"/>
          <w:color w:val="2D3748"/>
          <w:sz w:val="19"/>
        </w:rPr>
        <w:t>Ventana de dos años.</w:t>
      </w:r>
    </w:p>
    <w:p>
      <w:pPr>
        <w:pStyle w:val="ListBullet"/>
        <w:spacing w:before="20" w:after="40"/>
        <w:ind w:left="360"/>
      </w:pPr>
      <w:r>
        <w:rPr>
          <w:rFonts w:ascii="Calibri" w:hAnsi="Calibri"/>
          <w:color w:val="2D3748"/>
          <w:sz w:val="19"/>
        </w:rPr>
        <w:t>Ventana de cinco años.</w:t>
      </w:r>
    </w:p>
    <w:p>
      <w:pPr>
        <w:pStyle w:val="ListBullet"/>
        <w:spacing w:before="20" w:after="40"/>
        <w:ind w:left="360"/>
      </w:pPr>
      <w:r>
        <w:rPr>
          <w:rFonts w:ascii="Calibri" w:hAnsi="Calibri"/>
          <w:color w:val="2D3748"/>
          <w:sz w:val="19"/>
        </w:rPr>
        <w:t>Ventana personalizada (rango arbitrario desde–hasta y "últimos N años").</w:t>
      </w:r>
    </w:p>
    <w:p>
      <w:pPr>
        <w:pStyle w:val="ListBullet"/>
        <w:spacing w:before="20" w:after="40"/>
        <w:ind w:left="360"/>
      </w:pPr>
      <w:r>
        <w:rPr>
          <w:rFonts w:ascii="Calibri" w:hAnsi="Calibri"/>
          <w:color w:val="2D3748"/>
          <w:sz w:val="19"/>
        </w:rPr>
        <w:t>Conteos por familia.</w:t>
      </w:r>
    </w:p>
    <w:p>
      <w:pPr>
        <w:pStyle w:val="ListBullet"/>
        <w:spacing w:before="20" w:after="40"/>
        <w:ind w:left="360"/>
      </w:pPr>
      <w:r>
        <w:rPr>
          <w:rFonts w:ascii="Calibri" w:hAnsi="Calibri"/>
          <w:color w:val="2D3748"/>
          <w:sz w:val="19"/>
        </w:rPr>
        <w:t>Histograma.</w:t>
      </w:r>
    </w:p>
    <w:p>
      <w:pPr>
        <w:pStyle w:val="ListBullet"/>
        <w:spacing w:before="20" w:after="40"/>
        <w:ind w:left="360"/>
      </w:pPr>
      <w:r>
        <w:rPr>
          <w:rFonts w:ascii="Calibri" w:hAnsi="Calibri"/>
          <w:color w:val="2D3748"/>
          <w:sz w:val="19"/>
        </w:rPr>
        <w:t>Barras.</w:t>
      </w:r>
    </w:p>
    <w:p>
      <w:pPr>
        <w:pStyle w:val="ListBullet"/>
        <w:spacing w:before="20" w:after="40"/>
        <w:ind w:left="360"/>
      </w:pPr>
      <w:r>
        <w:rPr>
          <w:rFonts w:ascii="Calibri" w:hAnsi="Calibri"/>
          <w:color w:val="2D3748"/>
          <w:sz w:val="19"/>
        </w:rPr>
        <w:t>Vistas por grupo, investigador y producto.</w:t>
      </w:r>
    </w:p>
    <w:p>
      <w:pPr>
        <w:pStyle w:val="Heading2"/>
        <w:spacing w:before="280" w:after="80"/>
      </w:pPr>
      <w:r>
        <w:rPr>
          <w:rFonts w:ascii="Arial" w:hAnsi="Arial"/>
          <w:b/>
          <w:color w:val="2B6CB0"/>
          <w:sz w:val="27"/>
        </w:rPr>
        <w:t>42. Alcance obligatorio, complementario y excluido</w:t>
      </w:r>
    </w:p>
    <w:p>
      <w:pPr>
        <w:pStyle w:val="Heading3"/>
        <w:spacing w:before="200" w:after="60"/>
      </w:pPr>
      <w:r>
        <w:rPr>
          <w:rFonts w:ascii="Arial" w:hAnsi="Arial"/>
          <w:b/>
          <w:color w:val="0D9488"/>
          <w:sz w:val="23"/>
        </w:rPr>
        <w:t>42.1 Obligatorio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Grupos</w:t>
              <w:br/>
              <w:t>Investigadores</w:t>
              <w:br/>
              <w:t>Productos</w:t>
              <w:br/>
              <w:t>Integrantes</w:t>
              <w:br/>
              <w:t>Planes</w:t>
              <w:br/>
              <w:t>Categoría y validación</w:t>
              <w:br/>
              <w:t>Listas</w:t>
              <w:br/>
              <w:t>Multilistas</w:t>
              <w:br/>
              <w:t>Pilas</w:t>
              <w:br/>
              <w:t>Colas</w:t>
              <w:br/>
              <w:t>CRUD</w:t>
              <w:br/>
              <w:t>Persistencia</w:t>
              <w:br/>
              <w:t>Carga por URL (GrupLAC, CvLAC, Scienti)</w:t>
              <w:br/>
              <w:t>Carga por archivo: CSV (dataset oficial) y PDF estilo GrupLAC (D-03 sustituida)</w:t>
              <w:br/>
              <w:t>Filtro por año</w:t>
              <w:br/>
              <w:t>Resumen C++</w:t>
              <w:br/>
              <w:t>Dashboard integrado (D-02)</w:t>
              <w:br/>
              <w:t>Tres vistas</w:t>
              <w:br/>
              <w:t>Archivo de persistencia</w:t>
              <w:br/>
              <w:t>Carga o inicio vacío</w:t>
              <w:br/>
              <w:t>Documentación</w:t>
              <w:br/>
              <w:t>Video</w:t>
              <w:br/>
              <w:t>Archivos de entrega</w:t>
            </w:r>
          </w:p>
        </w:tc>
      </w:tr>
    </w:tbl>
    <w:p>
      <w:pPr>
        <w:spacing w:before="0" w:after="120"/>
      </w:pPr>
    </w:p>
    <w:p>
      <w:pPr>
        <w:pStyle w:val="Heading3"/>
        <w:spacing w:before="200" w:after="60"/>
      </w:pPr>
      <w:r>
        <w:rPr>
          <w:rFonts w:ascii="Arial" w:hAnsi="Arial"/>
          <w:b/>
          <w:color w:val="0D9488"/>
          <w:sz w:val="23"/>
        </w:rPr>
        <w:t>42.2 Complementario prioritario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Git y GitHub</w:t>
              <w:br/>
              <w:t>SQL Server</w:t>
              <w:br/>
              <w:t>React</w:t>
              <w:br/>
              <w:t>pybind11</w:t>
              <w:br/>
              <w:t>Pruebas automatizadas</w:t>
              <w:br/>
              <w:t>Auditoría</w:t>
              <w:br/>
              <w:t>Docker si es estable</w:t>
            </w:r>
          </w:p>
        </w:tc>
      </w:tr>
    </w:tbl>
    <w:p>
      <w:pPr>
        <w:spacing w:before="0" w:after="120"/>
      </w:pPr>
    </w:p>
    <w:p>
      <w:pPr>
        <w:pStyle w:val="Heading3"/>
        <w:spacing w:before="200" w:after="60"/>
      </w:pPr>
      <w:r>
        <w:rPr>
          <w:rFonts w:ascii="Arial" w:hAnsi="Arial"/>
          <w:b/>
          <w:color w:val="0D9488"/>
          <w:sz w:val="23"/>
        </w:rPr>
        <w:t>42.3 Segunda fase</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Motor genérico de reglas</w:t>
              <w:br/>
              <w:t>Clasificación simulada avanzada</w:t>
              <w:br/>
              <w:t>Todos los subtipos oficiales</w:t>
              <w:br/>
              <w:t>Duplicados probabilísticos</w:t>
              <w:br/>
              <w:t>Múltiples fuentes de scraping</w:t>
              <w:br/>
              <w:t>Prioridad avanzada de cola</w:t>
              <w:br/>
              <w:t>Undo de lotes completos</w:t>
            </w:r>
          </w:p>
        </w:tc>
      </w:tr>
    </w:tbl>
    <w:p>
      <w:pPr>
        <w:spacing w:before="0" w:after="120"/>
      </w:pPr>
    </w:p>
    <w:p>
      <w:pPr>
        <w:pStyle w:val="Heading3"/>
        <w:spacing w:before="200" w:after="60"/>
      </w:pPr>
      <w:r>
        <w:rPr>
          <w:rFonts w:ascii="Arial" w:hAnsi="Arial"/>
          <w:b/>
          <w:color w:val="0D9488"/>
          <w:sz w:val="23"/>
        </w:rPr>
        <w:t>42.4 Excluido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Rust</w:t>
              <w:br/>
              <w:t>Segunda API</w:t>
              <w:br/>
              <w:t>Aplicación móvil</w:t>
              <w:br/>
              <w:t>Microservicios adicionales</w:t>
              <w:br/>
              <w:t>Replicar CvLAC completo</w:t>
              <w:br/>
              <w:t>Reconocimiento oficial automático</w:t>
              <w:br/>
              <w:t>Scraping universal</w:t>
              <w:br/>
              <w:t>OLAP empresarial real</w:t>
            </w:r>
          </w:p>
        </w:tc>
      </w:tr>
    </w:tbl>
    <w:p>
      <w:pPr>
        <w:spacing w:before="0" w:after="120"/>
      </w:pPr>
    </w:p>
    <w:p>
      <w:pPr>
        <w:pStyle w:val="Heading2"/>
        <w:spacing w:before="280" w:after="80"/>
      </w:pPr>
      <w:r>
        <w:rPr>
          <w:rFonts w:ascii="Arial" w:hAnsi="Arial"/>
          <w:b/>
          <w:color w:val="2B6CB0"/>
          <w:sz w:val="27"/>
        </w:rPr>
        <w:t>43. Estructura final del repositorio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sys_pea_integration/</w:t>
              <w:br/>
              <w:t>├── README.md                        (manual de instalación, ejecución y verificación)</w:t>
              <w:br/>
              <w:t>├── INTEGRANTES.txt                  (ficha de identificación del grupo WP-DN-EO — completar datos personales)</w:t>
              <w:br/>
              <w:t>├── pea_data.json                    (archivo de persistencia, entregable)</w:t>
              <w:br/>
              <w:t>├── core_cpp/                        (solución C/C++ — D-01)</w:t>
              <w:br/>
              <w:t>│   ├── include/                     (nodos de multilista, servicios e interfaces)</w:t>
              <w:br/>
              <w:t>│   ├── src/</w:t>
              <w:br/>
              <w:t>│   │   ├── cli/                     (consola autónoma: pea_cli.exe)</w:t>
              <w:br/>
              <w:t>│   │   ├── services/                (servicios del dominio: grupos, productos, cola, pila)</w:t>
              <w:br/>
              <w:t>│   │   └── persistence/</w:t>
              <w:br/>
              <w:t>│   │       ├── db/                  (escritura dual a SQL Server vía ODBC)</w:t>
              <w:br/>
              <w:t>│   │       └── json/                (carga y exportación de pea_data.json)</w:t>
              <w:br/>
              <w:t>│   ├── pybind/</w:t>
              <w:br/>
              <w:t>│   │   └── bindings.cpp             (puente C++/Python: abpoxx_pybind.pyd)</w:t>
              <w:br/>
              <w:t>│   └── CMakeLists.txt</w:t>
              <w:br/>
              <w:t>├── backend/                         (solución Python — D-01)</w:t>
              <w:br/>
              <w:t>│   ├── app/</w:t>
              <w:br/>
              <w:t>│   │   ├── api/                     (86 rutas REST en routers por recurso)</w:t>
              <w:br/>
              <w:t>│   │   ├── repositories/           (capa de repositorio y persistencia)</w:t>
              <w:br/>
              <w:t>│   │   ├── scraping/               (GrupLAC, CvLAC y buscador Scienti)</w:t>
              <w:br/>
              <w:t>│   │   ├── pdf_import/             (importador de PDF estilo GrupLAC)</w:t>
              <w:br/>
              <w:t>│   │   ├── evaluator/               (motor de auditoría MinCiencias 2024)</w:t>
              <w:br/>
              <w:t>│   │   ├── reporting/              (informes PDF, CSV y dossier ejecutivo)</w:t>
              <w:br/>
              <w:t>│   │   ├── import_csv.py           (dataset oficial hrhc-c4wu de datos.gov.co)</w:t>
              <w:br/>
              <w:t>│   │   ├── models.py               (DTOs de entrada y salida)</w:t>
              <w:br/>
              <w:t>│   │   └── main.py                  (aplicación FastAPI)</w:t>
              <w:br/>
              <w:t>│   ├── tests/                       (18 suites pytest con 160 pruebas automatizadas)</w:t>
              <w:br/>
              <w:t>│   └── requirements.txt</w:t>
              <w:br/>
              <w:t>├── frontend/</w:t>
              <w:br/>
              <w:t>│   └── web-react/                   (SPA React + TypeScript — D-02)</w:t>
              <w:br/>
              <w:t>├── database/</w:t>
              <w:br/>
              <w:t>│   └── init_schema.sql              (DDL de 22 tablas físicas)</w:t>
              <w:br/>
              <w:t>└── docs/</w:t>
              <w:br/>
              <w:t xml:space="preserve">    ├── PEA-i_Especificacion_Integral_Cumplimiento_Taller2.md   (este documento)</w:t>
              <w:br/>
              <w:t xml:space="preserve">    ├── Taller 2 EdD (2026-09-24) - G 5.md                      (enunciado original)</w:t>
              <w:br/>
              <w:t xml:space="preserve">    ├── ANALISIS_COMPARATIVO_PEA_I.md                           (análisis técnico frente a alternativa)</w:t>
              <w:br/>
              <w:t xml:space="preserve">    ├── modelo-medicion-2024.md                                 (marco normativo MinCiencias — Punto 5)</w:t>
              <w:br/>
              <w:t xml:space="preserve">    ├── guion_sustentacion_video_parcial2.md                    (guion del video — 37.5)</w:t>
              <w:br/>
              <w:t xml:space="preserve">    ├── word/</w:t>
              <w:br/>
              <w:t xml:space="preserve">    │   ├── build_word_doc.py                    (generador del Word desde esta especificación)</w:t>
              <w:br/>
              <w:t xml:space="preserve">    │   ├── doc_formatter.py                     (módulo de formateo y estilos enriquecidos)</w:t>
              <w:br/>
              <w:t xml:space="preserve">    │   └── Parcial2_WP-DN-EO.docx               (especificación técnica oficial — entregable)</w:t>
              <w:br/>
              <w:t xml:space="preserve">    ├── peai.bak                                 (copia de respaldo física de SQL Server)</w:t>
              <w:br/>
              <w:t xml:space="preserve">    └── diagrams/                                (11 diagramas Mermaid, PNG alta resolución, SVG y visor web)</w:t>
            </w:r>
          </w:p>
        </w:tc>
      </w:tr>
    </w:tbl>
    <w:p>
      <w:pPr>
        <w:spacing w:before="0" w:after="120"/>
      </w:pPr>
    </w:p>
    <w:p>
      <w:pPr>
        <w:pStyle w:val="Heading2"/>
        <w:spacing w:before="280" w:after="80"/>
      </w:pPr>
      <w:r>
        <w:rPr>
          <w:rFonts w:ascii="Arial" w:hAnsi="Arial"/>
          <w:b/>
          <w:color w:val="2B6CB0"/>
          <w:sz w:val="27"/>
        </w:rPr>
        <w:t>44. Lista de comprobación final</w:t>
      </w:r>
    </w:p>
    <w:p>
      <w:pPr>
        <w:pStyle w:val="Heading3"/>
        <w:spacing w:before="200" w:after="60"/>
      </w:pPr>
      <w:r>
        <w:rPr>
          <w:rFonts w:ascii="Arial" w:hAnsi="Arial"/>
          <w:b/>
          <w:color w:val="0D9488"/>
          <w:sz w:val="23"/>
        </w:rPr>
        <w:t>Código</w:t>
      </w:r>
    </w:p>
    <w:p>
      <w:pPr>
        <w:pStyle w:val="ListBullet"/>
        <w:spacing w:before="20" w:after="40"/>
        <w:ind w:left="360"/>
      </w:pPr>
      <w:r>
        <w:rPr>
          <w:rFonts w:ascii="Calibri" w:hAnsi="Calibri"/>
          <w:color w:val="2D3748"/>
          <w:sz w:val="19"/>
        </w:rPr>
        <w:t xml:space="preserve">Núcleo C++ compila y </w:t>
      </w:r>
      <w:r>
        <w:rPr>
          <w:rFonts w:ascii="Consolas" w:hAnsi="Consolas"/>
          <w:color w:val="0369A1"/>
          <w:sz w:val="17"/>
        </w:rPr>
        <w:t>pea_cli.exe</w:t>
      </w:r>
      <w:r>
        <w:rPr>
          <w:rFonts w:ascii="Calibri" w:hAnsi="Calibri"/>
          <w:color w:val="2D3748"/>
          <w:sz w:val="19"/>
        </w:rPr>
        <w:t xml:space="preserve"> ejecuta (solución C/C++, D-01).</w:t>
      </w:r>
    </w:p>
    <w:p>
      <w:pPr>
        <w:pStyle w:val="ListBullet"/>
        <w:spacing w:before="20" w:after="40"/>
        <w:ind w:left="360"/>
      </w:pPr>
      <w:r>
        <w:rPr>
          <w:rFonts w:ascii="Calibri" w:hAnsi="Calibri"/>
          <w:color w:val="2D3748"/>
          <w:sz w:val="19"/>
        </w:rPr>
        <w:t>Backend Python (FastAPI) ejecuta (solución Python, D-01).</w:t>
      </w:r>
    </w:p>
    <w:p>
      <w:pPr>
        <w:pStyle w:val="ListBullet"/>
        <w:spacing w:before="20" w:after="40"/>
        <w:ind w:left="360"/>
      </w:pPr>
      <w:r>
        <w:rPr>
          <w:rFonts w:ascii="Calibri" w:hAnsi="Calibri"/>
          <w:color w:val="2D3748"/>
          <w:sz w:val="19"/>
        </w:rPr>
        <w:t>Lista implementada manualmente.</w:t>
      </w:r>
    </w:p>
    <w:p>
      <w:pPr>
        <w:pStyle w:val="ListBullet"/>
        <w:spacing w:before="20" w:after="40"/>
        <w:ind w:left="360"/>
      </w:pPr>
      <w:r>
        <w:rPr>
          <w:rFonts w:ascii="Calibri" w:hAnsi="Calibri"/>
          <w:color w:val="2D3748"/>
          <w:sz w:val="19"/>
        </w:rPr>
        <w:t>Multilista implementada manualmente.</w:t>
      </w:r>
    </w:p>
    <w:p>
      <w:pPr>
        <w:pStyle w:val="ListBullet"/>
        <w:spacing w:before="20" w:after="40"/>
        <w:ind w:left="360"/>
      </w:pPr>
      <w:r>
        <w:rPr>
          <w:rFonts w:ascii="Calibri" w:hAnsi="Calibri"/>
          <w:color w:val="2D3748"/>
          <w:sz w:val="19"/>
        </w:rPr>
        <w:t>Pila funcional.</w:t>
      </w:r>
    </w:p>
    <w:p>
      <w:pPr>
        <w:pStyle w:val="ListBullet"/>
        <w:spacing w:before="20" w:after="40"/>
        <w:ind w:left="360"/>
      </w:pPr>
      <w:r>
        <w:rPr>
          <w:rFonts w:ascii="Calibri" w:hAnsi="Calibri"/>
          <w:color w:val="2D3748"/>
          <w:sz w:val="19"/>
        </w:rPr>
        <w:t>Cola FIFO funcional.</w:t>
      </w:r>
    </w:p>
    <w:p>
      <w:pPr>
        <w:pStyle w:val="ListBullet"/>
        <w:spacing w:before="20" w:after="40"/>
        <w:ind w:left="360"/>
      </w:pPr>
      <w:r>
        <w:rPr>
          <w:rFonts w:ascii="Calibri" w:hAnsi="Calibri"/>
          <w:color w:val="2D3748"/>
          <w:sz w:val="19"/>
        </w:rPr>
        <w:t>CRUD completo (incluye planes de trabajo y proyectos, T-08 y Req. 3).</w:t>
      </w:r>
    </w:p>
    <w:p>
      <w:pPr>
        <w:pStyle w:val="ListBullet"/>
        <w:spacing w:before="20" w:after="40"/>
        <w:ind w:left="360"/>
      </w:pPr>
      <w:r>
        <w:rPr>
          <w:rFonts w:ascii="Calibri" w:hAnsi="Calibri"/>
          <w:color w:val="2D3748"/>
          <w:sz w:val="19"/>
        </w:rPr>
        <w:t>pybind11 funcional.</w:t>
      </w:r>
    </w:p>
    <w:p>
      <w:pPr>
        <w:pStyle w:val="ListBullet"/>
        <w:spacing w:before="20" w:after="40"/>
        <w:ind w:left="360"/>
      </w:pPr>
      <w:r>
        <w:rPr>
          <w:rFonts w:ascii="Calibri" w:hAnsi="Calibri"/>
          <w:color w:val="2D3748"/>
          <w:sz w:val="19"/>
        </w:rPr>
        <w:t>FastAPI funcional.</w:t>
      </w:r>
    </w:p>
    <w:p>
      <w:pPr>
        <w:pStyle w:val="ListBullet"/>
        <w:spacing w:before="20" w:after="40"/>
        <w:ind w:left="360"/>
      </w:pPr>
      <w:r>
        <w:rPr>
          <w:rFonts w:ascii="Calibri" w:hAnsi="Calibri"/>
          <w:color w:val="2D3748"/>
          <w:sz w:val="19"/>
        </w:rPr>
        <w:t>React funcional.</w:t>
      </w:r>
    </w:p>
    <w:p>
      <w:pPr>
        <w:pStyle w:val="Heading3"/>
        <w:spacing w:before="200" w:after="60"/>
      </w:pPr>
      <w:r>
        <w:rPr>
          <w:rFonts w:ascii="Arial" w:hAnsi="Arial"/>
          <w:b/>
          <w:color w:val="0D9488"/>
          <w:sz w:val="23"/>
        </w:rPr>
        <w:t>Datos</w:t>
      </w:r>
    </w:p>
    <w:p>
      <w:pPr>
        <w:pStyle w:val="ListBullet"/>
        <w:spacing w:before="20" w:after="40"/>
        <w:ind w:left="360"/>
      </w:pPr>
      <w:r>
        <w:rPr>
          <w:rFonts w:ascii="Calibri" w:hAnsi="Calibri"/>
          <w:color w:val="2D3748"/>
          <w:sz w:val="19"/>
        </w:rPr>
        <w:t>SQL Server creado.</w:t>
      </w:r>
    </w:p>
    <w:p>
      <w:pPr>
        <w:pStyle w:val="ListBullet"/>
        <w:spacing w:before="20" w:after="40"/>
        <w:ind w:left="360"/>
      </w:pPr>
      <w:r>
        <w:rPr>
          <w:rFonts w:ascii="Calibri" w:hAnsi="Calibri"/>
          <w:color w:val="2D3748"/>
          <w:sz w:val="19"/>
        </w:rPr>
        <w:t>Migraciones incluidas.</w:t>
      </w:r>
    </w:p>
    <w:p>
      <w:pPr>
        <w:pStyle w:val="ListBullet"/>
        <w:spacing w:before="20" w:after="40"/>
        <w:ind w:left="360"/>
      </w:pPr>
      <w:r>
        <w:rPr>
          <w:rFonts w:ascii="Consolas" w:hAnsi="Consolas"/>
          <w:color w:val="0369A1"/>
          <w:sz w:val="17"/>
        </w:rPr>
        <w:t>pea_data.json</w:t>
      </w:r>
      <w:r>
        <w:rPr>
          <w:rFonts w:ascii="Calibri" w:hAnsi="Calibri"/>
          <w:color w:val="2D3748"/>
          <w:sz w:val="19"/>
        </w:rPr>
        <w:t xml:space="preserve"> incluido.</w:t>
      </w:r>
    </w:p>
    <w:p>
      <w:pPr>
        <w:pStyle w:val="ListBullet"/>
        <w:spacing w:before="20" w:after="40"/>
        <w:ind w:left="360"/>
      </w:pPr>
      <w:r>
        <w:rPr>
          <w:rFonts w:ascii="Calibri" w:hAnsi="Calibri"/>
          <w:color w:val="2D3748"/>
          <w:sz w:val="19"/>
        </w:rPr>
        <w:t>Carga desde archivo probada.</w:t>
      </w:r>
    </w:p>
    <w:p>
      <w:pPr>
        <w:pStyle w:val="ListBullet"/>
        <w:spacing w:before="20" w:after="40"/>
        <w:ind w:left="360"/>
      </w:pPr>
      <w:r>
        <w:rPr>
          <w:rFonts w:ascii="Calibri" w:hAnsi="Calibri"/>
          <w:color w:val="2D3748"/>
          <w:sz w:val="19"/>
        </w:rPr>
        <w:t>Inicio sin datos probado.</w:t>
      </w:r>
    </w:p>
    <w:p>
      <w:pPr>
        <w:pStyle w:val="ListBullet"/>
        <w:spacing w:before="20" w:after="40"/>
        <w:ind w:left="360"/>
      </w:pPr>
      <w:r>
        <w:rPr>
          <w:rFonts w:ascii="Calibri" w:hAnsi="Calibri"/>
          <w:color w:val="2D3748"/>
          <w:sz w:val="19"/>
        </w:rPr>
        <w:t>Reconstrucción desde SQL probada.</w:t>
      </w:r>
    </w:p>
    <w:p>
      <w:pPr>
        <w:pStyle w:val="Heading3"/>
        <w:spacing w:before="200" w:after="60"/>
      </w:pPr>
      <w:r>
        <w:rPr>
          <w:rFonts w:ascii="Arial" w:hAnsi="Arial"/>
          <w:b/>
          <w:color w:val="0D9488"/>
          <w:sz w:val="23"/>
        </w:rPr>
        <w:t>Importación</w:t>
      </w:r>
    </w:p>
    <w:p>
      <w:pPr>
        <w:pStyle w:val="ListBullet"/>
        <w:spacing w:before="20" w:after="40"/>
        <w:ind w:left="360"/>
      </w:pPr>
      <w:r>
        <w:rPr>
          <w:rFonts w:ascii="Calibri" w:hAnsi="Calibri"/>
          <w:color w:val="2D3748"/>
          <w:sz w:val="19"/>
        </w:rPr>
        <w:t>URL probada (GrupLAC y CvLAC contra SCIENTI real).</w:t>
      </w:r>
    </w:p>
    <w:p>
      <w:pPr>
        <w:pStyle w:val="ListBullet"/>
        <w:spacing w:before="20" w:after="40"/>
        <w:ind w:left="360"/>
      </w:pPr>
      <w:r>
        <w:rPr>
          <w:rFonts w:ascii="Calibri" w:hAnsi="Calibri"/>
          <w:color w:val="2D3748"/>
          <w:sz w:val="19"/>
        </w:rPr>
        <w:t>CSV probado (parser del dataset oficial hrhc-c4wu, endpoint y commit idempotente).</w:t>
      </w:r>
    </w:p>
    <w:p>
      <w:pPr>
        <w:pStyle w:val="ListBullet"/>
        <w:spacing w:before="20" w:after="40"/>
        <w:ind w:left="360"/>
      </w:pPr>
      <w:r>
        <w:rPr>
          <w:rFonts w:ascii="Calibri" w:hAnsi="Calibri"/>
          <w:color w:val="2D3748"/>
          <w:sz w:val="19"/>
        </w:rPr>
        <w:t>PDF probado (round-trip del reporte propio, endpoint y commit idempotente).</w:t>
      </w:r>
    </w:p>
    <w:p>
      <w:pPr>
        <w:pStyle w:val="ListBullet"/>
        <w:spacing w:before="20" w:after="40"/>
        <w:ind w:left="360"/>
      </w:pPr>
      <w:r>
        <w:rPr>
          <w:rFonts w:ascii="Calibri" w:hAnsi="Calibri"/>
          <w:color w:val="2D3748"/>
          <w:sz w:val="19"/>
        </w:rPr>
        <w:t>Vista previa.</w:t>
      </w:r>
    </w:p>
    <w:p>
      <w:pPr>
        <w:pStyle w:val="ListBullet"/>
        <w:spacing w:before="20" w:after="40"/>
        <w:ind w:left="360"/>
      </w:pPr>
      <w:r>
        <w:rPr>
          <w:rFonts w:ascii="Calibri" w:hAnsi="Calibri"/>
          <w:color w:val="2D3748"/>
          <w:sz w:val="19"/>
        </w:rPr>
        <w:t>Errores por fila.</w:t>
      </w:r>
    </w:p>
    <w:p>
      <w:pPr>
        <w:pStyle w:val="ListBullet"/>
        <w:spacing w:before="20" w:after="40"/>
        <w:ind w:left="360"/>
      </w:pPr>
      <w:r>
        <w:rPr>
          <w:rFonts w:ascii="Calibri" w:hAnsi="Calibri"/>
          <w:color w:val="2D3748"/>
          <w:sz w:val="19"/>
        </w:rPr>
        <w:t>Confirmación idempotente.</w:t>
      </w:r>
    </w:p>
    <w:p>
      <w:pPr>
        <w:pStyle w:val="Heading3"/>
        <w:spacing w:before="200" w:after="60"/>
      </w:pPr>
      <w:r>
        <w:rPr>
          <w:rFonts w:ascii="Arial" w:hAnsi="Arial"/>
          <w:b/>
          <w:color w:val="0D9488"/>
          <w:sz w:val="23"/>
        </w:rPr>
        <w:t>Analítica</w:t>
      </w:r>
    </w:p>
    <w:p>
      <w:pPr>
        <w:pStyle w:val="ListBullet"/>
        <w:spacing w:before="20" w:after="40"/>
        <w:ind w:left="360"/>
      </w:pPr>
      <w:r>
        <w:rPr>
          <w:rFonts w:ascii="Calibri" w:hAnsi="Calibri"/>
          <w:color w:val="2D3748"/>
          <w:sz w:val="19"/>
        </w:rPr>
        <w:t>Filtro de dos años.</w:t>
      </w:r>
    </w:p>
    <w:p>
      <w:pPr>
        <w:pStyle w:val="ListBullet"/>
        <w:spacing w:before="20" w:after="40"/>
        <w:ind w:left="360"/>
      </w:pPr>
      <w:r>
        <w:rPr>
          <w:rFonts w:ascii="Calibri" w:hAnsi="Calibri"/>
          <w:color w:val="2D3748"/>
          <w:sz w:val="19"/>
        </w:rPr>
        <w:t>Filtro de cinco años.</w:t>
      </w:r>
    </w:p>
    <w:p>
      <w:pPr>
        <w:pStyle w:val="ListBullet"/>
        <w:spacing w:before="20" w:after="40"/>
        <w:ind w:left="360"/>
      </w:pPr>
      <w:r>
        <w:rPr>
          <w:rFonts w:ascii="Calibri" w:hAnsi="Calibri"/>
          <w:color w:val="2D3748"/>
          <w:sz w:val="19"/>
        </w:rPr>
        <w:t xml:space="preserve">Periodo personalizado — rango desde–hasta en el listado de productos y en el informe PDF del grupo (con selector de ventana y "últimos N años"), además de los presets 2/3/5/10 y del CLI </w:t>
      </w:r>
      <w:r>
        <w:rPr>
          <w:rFonts w:ascii="Consolas" w:hAnsi="Consolas"/>
          <w:color w:val="0369A1"/>
          <w:sz w:val="17"/>
        </w:rPr>
        <w:t>products by-year</w:t>
      </w:r>
      <w:r>
        <w:rPr>
          <w:rFonts w:ascii="Calibri" w:hAnsi="Calibri"/>
          <w:color w:val="2D3748"/>
          <w:sz w:val="19"/>
        </w:rPr>
        <w:t>.</w:t>
      </w:r>
    </w:p>
    <w:p>
      <w:pPr>
        <w:pStyle w:val="ListBullet"/>
        <w:spacing w:before="20" w:after="40"/>
        <w:ind w:left="360"/>
      </w:pPr>
      <w:r>
        <w:rPr>
          <w:rFonts w:ascii="Calibri" w:hAnsi="Calibri"/>
          <w:color w:val="2D3748"/>
          <w:sz w:val="19"/>
        </w:rPr>
        <w:t>Vista por grupo.</w:t>
      </w:r>
    </w:p>
    <w:p>
      <w:pPr>
        <w:pStyle w:val="ListBullet"/>
        <w:spacing w:before="20" w:after="40"/>
        <w:ind w:left="360"/>
      </w:pPr>
      <w:r>
        <w:rPr>
          <w:rFonts w:ascii="Calibri" w:hAnsi="Calibri"/>
          <w:color w:val="2D3748"/>
          <w:sz w:val="19"/>
        </w:rPr>
        <w:t>Vista por investigador.</w:t>
      </w:r>
    </w:p>
    <w:p>
      <w:pPr>
        <w:pStyle w:val="ListBullet"/>
        <w:spacing w:before="20" w:after="40"/>
        <w:ind w:left="360"/>
      </w:pPr>
      <w:r>
        <w:rPr>
          <w:rFonts w:ascii="Calibri" w:hAnsi="Calibri"/>
          <w:color w:val="2D3748"/>
          <w:sz w:val="19"/>
        </w:rPr>
        <w:t>Vista por producto.</w:t>
      </w:r>
    </w:p>
    <w:p>
      <w:pPr>
        <w:pStyle w:val="ListBullet"/>
        <w:spacing w:before="20" w:after="40"/>
        <w:ind w:left="360"/>
      </w:pPr>
      <w:r>
        <w:rPr>
          <w:rFonts w:ascii="Calibri" w:hAnsi="Calibri"/>
          <w:color w:val="2D3748"/>
          <w:sz w:val="19"/>
        </w:rPr>
        <w:t>Histograma y barras en el dashboard React (D-02).</w:t>
      </w:r>
    </w:p>
    <w:p>
      <w:pPr>
        <w:pStyle w:val="ListBullet"/>
        <w:spacing w:before="20" w:after="40"/>
        <w:ind w:left="360"/>
      </w:pPr>
      <w:r>
        <w:rPr>
          <w:rFonts w:ascii="Calibri" w:hAnsi="Calibri"/>
          <w:color w:val="2D3748"/>
          <w:sz w:val="19"/>
        </w:rPr>
        <w:t>Resumen C++.</w:t>
      </w:r>
    </w:p>
    <w:p>
      <w:pPr>
        <w:pStyle w:val="Heading3"/>
        <w:spacing w:before="200" w:after="60"/>
      </w:pPr>
      <w:r>
        <w:rPr>
          <w:rFonts w:ascii="Arial" w:hAnsi="Arial"/>
          <w:b/>
          <w:color w:val="0D9488"/>
          <w:sz w:val="23"/>
        </w:rPr>
        <w:t>Documentación</w:t>
      </w:r>
    </w:p>
    <w:p>
      <w:pPr>
        <w:pStyle w:val="ListBullet"/>
        <w:spacing w:before="20" w:after="40"/>
        <w:ind w:left="360"/>
      </w:pPr>
      <w:r>
        <w:rPr>
          <w:rFonts w:ascii="Calibri" w:hAnsi="Calibri"/>
          <w:color w:val="2D3748"/>
          <w:sz w:val="19"/>
        </w:rPr>
        <w:t>Word final (</w:t>
      </w:r>
      <w:r>
        <w:rPr>
          <w:rFonts w:ascii="Consolas" w:hAnsi="Consolas"/>
          <w:color w:val="0369A1"/>
          <w:sz w:val="17"/>
        </w:rPr>
        <w:t>docs/word/Parcial2_WP-DN-EO.docx</w:t>
      </w:r>
      <w:r>
        <w:rPr>
          <w:rFonts w:ascii="Calibri" w:hAnsi="Calibri"/>
          <w:color w:val="2D3748"/>
          <w:sz w:val="19"/>
        </w:rPr>
        <w:t xml:space="preserve">, regenerado desde esta especificación con </w:t>
      </w:r>
      <w:r>
        <w:rPr>
          <w:rFonts w:ascii="Consolas" w:hAnsi="Consolas"/>
          <w:color w:val="0369A1"/>
          <w:sz w:val="17"/>
        </w:rPr>
        <w:t>build_word_doc.py</w:t>
      </w:r>
      <w:r>
        <w:rPr>
          <w:rFonts w:ascii="Calibri" w:hAnsi="Calibri"/>
          <w:color w:val="2D3748"/>
          <w:sz w:val="19"/>
        </w:rPr>
        <w:t>).</w:t>
      </w:r>
    </w:p>
    <w:p>
      <w:pPr>
        <w:pStyle w:val="ListBullet"/>
        <w:spacing w:before="20" w:after="40"/>
        <w:ind w:left="360"/>
      </w:pPr>
      <w:r>
        <w:rPr>
          <w:rFonts w:ascii="Calibri" w:hAnsi="Calibri"/>
          <w:color w:val="2D3748"/>
          <w:sz w:val="19"/>
        </w:rPr>
        <w:t>Arquitectura (diagrama y descripción detallada en §38.5).</w:t>
      </w:r>
    </w:p>
    <w:p>
      <w:pPr>
        <w:pStyle w:val="ListBullet"/>
        <w:spacing w:before="20" w:after="40"/>
        <w:ind w:left="360"/>
      </w:pPr>
      <w:r>
        <w:rPr>
          <w:rFonts w:ascii="Calibri" w:hAnsi="Calibri"/>
          <w:color w:val="2D3748"/>
          <w:sz w:val="19"/>
        </w:rPr>
        <w:t>Modelo relacional (modelo físico de 22 tablas en §8.1; diagrama ER de las 17 tablas principales en §38.2).</w:t>
      </w:r>
    </w:p>
    <w:p>
      <w:pPr>
        <w:pStyle w:val="ListBullet"/>
        <w:spacing w:before="20" w:after="40"/>
        <w:ind w:left="360"/>
      </w:pPr>
      <w:r>
        <w:rPr>
          <w:rFonts w:ascii="Calibri" w:hAnsi="Calibri"/>
          <w:color w:val="2D3748"/>
          <w:sz w:val="19"/>
        </w:rPr>
        <w:t>Hipercubo (diagrama y operaciones OLAP en §4, §29 y §38.6).</w:t>
      </w:r>
    </w:p>
    <w:p>
      <w:pPr>
        <w:pStyle w:val="ListBullet"/>
        <w:spacing w:before="20" w:after="40"/>
        <w:ind w:left="360"/>
      </w:pPr>
      <w:r>
        <w:rPr>
          <w:rFonts w:ascii="Calibri" w:hAnsi="Calibri"/>
          <w:color w:val="2D3748"/>
          <w:sz w:val="19"/>
        </w:rPr>
        <w:t>Entradas y salidas (catálogo de variables en §5 y §31).</w:t>
      </w:r>
    </w:p>
    <w:p>
      <w:pPr>
        <w:pStyle w:val="ListBullet"/>
        <w:spacing w:before="20" w:after="40"/>
        <w:ind w:left="360"/>
      </w:pPr>
      <w:r>
        <w:rPr>
          <w:rFonts w:ascii="Calibri" w:hAnsi="Calibri"/>
          <w:color w:val="2D3748"/>
          <w:sz w:val="19"/>
        </w:rPr>
        <w:t>Casos de uso (diagrama de 5 actores y 6 subsistemas en §38.1).</w:t>
      </w:r>
    </w:p>
    <w:p>
      <w:pPr>
        <w:pStyle w:val="ListBullet"/>
        <w:spacing w:before="20" w:after="40"/>
        <w:ind w:left="360"/>
      </w:pPr>
      <w:r>
        <w:rPr>
          <w:rFonts w:ascii="Calibri" w:hAnsi="Calibri"/>
          <w:color w:val="2D3748"/>
          <w:sz w:val="19"/>
        </w:rPr>
        <w:t>Historias de usuario (HU-01 a HU-08 con criterios de aceptación en §39).</w:t>
      </w:r>
    </w:p>
    <w:p>
      <w:pPr>
        <w:pStyle w:val="ListBullet"/>
        <w:spacing w:before="20" w:after="40"/>
        <w:ind w:left="360"/>
      </w:pPr>
      <w:r>
        <w:rPr>
          <w:rFonts w:ascii="Calibri" w:hAnsi="Calibri"/>
          <w:color w:val="2D3748"/>
          <w:sz w:val="19"/>
        </w:rPr>
        <w:t>Diagrama de clases (POO en C++ y servicios en §38.3).</w:t>
      </w:r>
    </w:p>
    <w:p>
      <w:pPr>
        <w:pStyle w:val="ListBullet"/>
        <w:spacing w:before="20" w:after="40"/>
        <w:ind w:left="360"/>
      </w:pPr>
      <w:r>
        <w:rPr>
          <w:rFonts w:ascii="Calibri" w:hAnsi="Calibri"/>
          <w:color w:val="2D3748"/>
          <w:sz w:val="19"/>
        </w:rPr>
        <w:t>Esquema gráfico de multilista en RAM (punteros ortogonales en §38.3.1).</w:t>
      </w:r>
    </w:p>
    <w:p>
      <w:pPr>
        <w:pStyle w:val="ListBullet"/>
        <w:spacing w:before="20" w:after="40"/>
        <w:ind w:left="360"/>
      </w:pPr>
      <w:r>
        <w:rPr>
          <w:rFonts w:ascii="Calibri" w:hAnsi="Calibri"/>
          <w:color w:val="2D3748"/>
          <w:sz w:val="19"/>
        </w:rPr>
        <w:t>Diagramas de secuencia (5 diagramas UML en §38.4).</w:t>
      </w:r>
    </w:p>
    <w:p>
      <w:pPr>
        <w:pStyle w:val="ListBullet"/>
        <w:spacing w:before="20" w:after="40"/>
        <w:ind w:left="360"/>
      </w:pPr>
      <w:r>
        <w:rPr>
          <w:rFonts w:ascii="Calibri" w:hAnsi="Calibri"/>
          <w:color w:val="2D3748"/>
          <w:sz w:val="19"/>
        </w:rPr>
        <w:t>Diccionario de datos (especificación de entidades y atributos en §17 y §38.2).</w:t>
      </w:r>
    </w:p>
    <w:p>
      <w:pPr>
        <w:pStyle w:val="ListBullet"/>
        <w:spacing w:before="20" w:after="40"/>
        <w:ind w:left="360"/>
      </w:pPr>
      <w:r>
        <w:rPr>
          <w:rFonts w:ascii="Calibri" w:hAnsi="Calibri"/>
          <w:color w:val="2D3748"/>
          <w:sz w:val="19"/>
        </w:rPr>
        <w:t>Matriz de trazabilidad (requisitos T-01 a T-43 en §3 y §28).</w:t>
      </w:r>
    </w:p>
    <w:p>
      <w:pPr>
        <w:pStyle w:val="ListBullet"/>
        <w:spacing w:before="20" w:after="40"/>
        <w:ind w:left="360"/>
      </w:pPr>
      <w:r>
        <w:rPr>
          <w:rFonts w:ascii="Calibri" w:hAnsi="Calibri"/>
          <w:color w:val="2D3748"/>
          <w:sz w:val="19"/>
        </w:rPr>
        <w:t>Manual de instalación (README.md: prerrequisitos, instalación desde cero, verificación rápida y solución de problemas).</w:t>
      </w:r>
    </w:p>
    <w:p>
      <w:pPr>
        <w:pStyle w:val="ListBullet"/>
        <w:spacing w:before="20" w:after="40"/>
        <w:ind w:left="360"/>
      </w:pPr>
      <w:r>
        <w:rPr>
          <w:rFonts w:ascii="Calibri" w:hAnsi="Calibri"/>
          <w:color w:val="2D3748"/>
          <w:sz w:val="19"/>
        </w:rPr>
        <w:t>Manual de usuario (video demostrativo con guion cronometrado — sección 37.5 —, recorrido de verificación del README.md y la propia interfaz web de la aplicación).</w:t>
      </w:r>
    </w:p>
    <w:p>
      <w:pPr>
        <w:pStyle w:val="Heading3"/>
        <w:spacing w:before="200" w:after="60"/>
      </w:pPr>
      <w:r>
        <w:rPr>
          <w:rFonts w:ascii="Arial" w:hAnsi="Arial"/>
          <w:b/>
          <w:color w:val="0D9488"/>
          <w:sz w:val="23"/>
        </w:rPr>
        <w:t>Entrega</w:t>
      </w:r>
    </w:p>
    <w:p>
      <w:pPr>
        <w:pStyle w:val="ListBullet"/>
        <w:spacing w:before="20" w:after="40"/>
        <w:ind w:left="360"/>
      </w:pPr>
      <w:r>
        <w:rPr>
          <w:rFonts w:ascii="Consolas" w:hAnsi="Consolas"/>
          <w:color w:val="0369A1"/>
          <w:sz w:val="17"/>
        </w:rPr>
        <w:t>INTEGRANTES.txt</w:t>
      </w:r>
      <w:r>
        <w:rPr>
          <w:rFonts w:ascii="Calibri" w:hAnsi="Calibri"/>
          <w:color w:val="2D3748"/>
          <w:sz w:val="19"/>
        </w:rPr>
        <w:t xml:space="preserve"> con los datos personales completos de los tres integrantes (nombre, código, correo y programa).</w:t>
      </w:r>
    </w:p>
    <w:p>
      <w:pPr>
        <w:pStyle w:val="ListBullet"/>
        <w:spacing w:before="20" w:after="40"/>
        <w:ind w:left="360"/>
      </w:pPr>
      <w:r>
        <w:rPr>
          <w:rFonts w:ascii="Calibri" w:hAnsi="Calibri"/>
          <w:color w:val="2D3748"/>
          <w:sz w:val="19"/>
        </w:rPr>
        <w:t xml:space="preserve">Archivos con iniciales correctas — sustituido por entrega modular (D-01): Word </w:t>
      </w:r>
      <w:r>
        <w:rPr>
          <w:rFonts w:ascii="Consolas" w:hAnsi="Consolas"/>
          <w:color w:val="0369A1"/>
          <w:sz w:val="17"/>
        </w:rPr>
        <w:t>Parcial2_WP-DN-EO.docx</w:t>
      </w:r>
      <w:r>
        <w:rPr>
          <w:rFonts w:ascii="Calibri" w:hAnsi="Calibri"/>
          <w:color w:val="2D3748"/>
          <w:sz w:val="19"/>
        </w:rPr>
        <w:t xml:space="preserve"> y núcleo compilado </w:t>
      </w:r>
      <w:r>
        <w:rPr>
          <w:rFonts w:ascii="Consolas" w:hAnsi="Consolas"/>
          <w:color w:val="0369A1"/>
          <w:sz w:val="17"/>
        </w:rPr>
        <w:t>abpoxx_pybind.pyd</w:t>
      </w:r>
      <w:r>
        <w:rPr>
          <w:rFonts w:ascii="Calibri" w:hAnsi="Calibri"/>
          <w:color w:val="2D3748"/>
          <w:sz w:val="19"/>
        </w:rPr>
        <w:t>.</w:t>
      </w:r>
    </w:p>
    <w:p>
      <w:pPr>
        <w:pStyle w:val="ListBullet"/>
        <w:spacing w:before="20" w:after="40"/>
        <w:ind w:left="360"/>
      </w:pPr>
      <w:r>
        <w:rPr>
          <w:rFonts w:ascii="Calibri" w:hAnsi="Calibri"/>
          <w:color w:val="2D3748"/>
          <w:sz w:val="19"/>
        </w:rPr>
        <w:t xml:space="preserve">Video aproximado de 10 minutos, grabado siguiendo el guion cronometrado de </w:t>
      </w:r>
      <w:r>
        <w:rPr>
          <w:rFonts w:ascii="Consolas" w:hAnsi="Consolas"/>
          <w:color w:val="0369A1"/>
          <w:sz w:val="17"/>
        </w:rPr>
        <w:t>docs/guion_sustentacion_video_parcial2.md</w:t>
      </w:r>
      <w:r>
        <w:rPr>
          <w:rFonts w:ascii="Calibri" w:hAnsi="Calibri"/>
          <w:color w:val="2D3748"/>
          <w:sz w:val="19"/>
        </w:rPr>
        <w:t>.</w:t>
      </w:r>
    </w:p>
    <w:p>
      <w:pPr>
        <w:pStyle w:val="ListBullet"/>
        <w:spacing w:before="20" w:after="40"/>
        <w:ind w:left="360"/>
      </w:pPr>
      <w:r>
        <w:rPr>
          <w:rFonts w:ascii="Calibri" w:hAnsi="Calibri"/>
          <w:color w:val="2D3748"/>
          <w:sz w:val="19"/>
        </w:rPr>
        <w:t>Identidad institucional de la UPC en el video.</w:t>
      </w:r>
    </w:p>
    <w:p>
      <w:pPr>
        <w:pStyle w:val="ListBullet"/>
        <w:spacing w:before="20" w:after="40"/>
        <w:ind w:left="360"/>
      </w:pPr>
      <w:r>
        <w:rPr>
          <w:rFonts w:ascii="Calibri" w:hAnsi="Calibri"/>
          <w:color w:val="2D3748"/>
          <w:sz w:val="19"/>
        </w:rPr>
        <w:t>Integrantes visibles en cámara durante toda la grabación.</w:t>
      </w:r>
    </w:p>
    <w:p>
      <w:pPr>
        <w:pStyle w:val="ListBullet"/>
        <w:spacing w:before="20" w:after="40"/>
        <w:ind w:left="360"/>
      </w:pPr>
      <w:r>
        <w:rPr>
          <w:rFonts w:ascii="Calibri" w:hAnsi="Calibri"/>
          <w:color w:val="2D3748"/>
          <w:sz w:val="19"/>
        </w:rPr>
        <w:t>Repositorio Git/GitHub publicado con la versión final.</w:t>
      </w:r>
    </w:p>
    <w:p>
      <w:pPr>
        <w:pStyle w:val="ListBullet"/>
        <w:spacing w:before="20" w:after="40"/>
        <w:ind w:left="360"/>
      </w:pPr>
      <w:r>
        <w:rPr>
          <w:rFonts w:ascii="Calibri" w:hAnsi="Calibri"/>
          <w:color w:val="2D3748"/>
          <w:sz w:val="19"/>
        </w:rPr>
        <w:t>Asunto del correo correcto: «Estructura de datos Parcial 2 Grupo # 2026».</w:t>
      </w:r>
    </w:p>
    <w:p>
      <w:pPr>
        <w:pStyle w:val="ListBullet"/>
        <w:spacing w:before="20" w:after="40"/>
        <w:ind w:left="360"/>
      </w:pPr>
      <w:r>
        <w:rPr>
          <w:rFonts w:ascii="Calibri" w:hAnsi="Calibri"/>
          <w:color w:val="2D3748"/>
          <w:sz w:val="19"/>
        </w:rPr>
        <w:t xml:space="preserve">Destinatario correcto: </w:t>
      </w:r>
      <w:r>
        <w:rPr>
          <w:rFonts w:ascii="Consolas" w:hAnsi="Consolas"/>
          <w:color w:val="0369A1"/>
          <w:sz w:val="17"/>
        </w:rPr>
        <w:t>adithperez@unicesar.edu.co</w:t>
      </w:r>
      <w:r>
        <w:rPr>
          <w:rFonts w:ascii="Calibri" w:hAnsi="Calibri"/>
          <w:color w:val="2D3748"/>
          <w:sz w:val="19"/>
        </w:rPr>
        <w:t>.</w:t>
      </w:r>
    </w:p>
    <w:p>
      <w:pPr>
        <w:pStyle w:val="ListBullet"/>
        <w:spacing w:before="20" w:after="40"/>
        <w:ind w:left="360"/>
      </w:pPr>
      <w:r>
        <w:rPr>
          <w:rFonts w:ascii="Calibri" w:hAnsi="Calibri"/>
          <w:color w:val="2D3748"/>
          <w:sz w:val="19"/>
        </w:rPr>
        <w:t>Envío antes de la fecha límite: entrega preliminar viernes 23 de octubre de 2026 y entrega definitiva lunes 26 de octubre de 2026, ambas a las 11:59 a. m.</w:t>
      </w:r>
    </w:p>
    <w:p>
      <w:pPr>
        <w:pStyle w:val="Heading2"/>
        <w:spacing w:before="280" w:after="80"/>
      </w:pPr>
      <w:r>
        <w:rPr>
          <w:rFonts w:ascii="Arial" w:hAnsi="Arial"/>
          <w:b/>
          <w:color w:val="2B6CB0"/>
          <w:sz w:val="27"/>
        </w:rPr>
        <w:t>45. Veredicto de cobertura</w:t>
      </w:r>
    </w:p>
    <w:p>
      <w:pPr>
        <w:spacing w:before="40" w:after="80" w:line="276" w:lineRule="auto"/>
      </w:pPr>
      <w:r>
        <w:rPr>
          <w:rFonts w:ascii="Calibri" w:hAnsi="Calibri"/>
          <w:color w:val="1E293B"/>
          <w:sz w:val="20"/>
        </w:rPr>
        <w:t>Con las ampliaciones de esta versión, el diseño documental cubre explícitamente:</w:t>
      </w:r>
    </w:p>
    <w:p>
      <w:pPr>
        <w:pStyle w:val="ListBullet"/>
        <w:spacing w:before="20" w:after="40"/>
        <w:ind w:left="360"/>
      </w:pPr>
      <w:r>
        <w:rPr>
          <w:rFonts w:ascii="Calibri" w:hAnsi="Calibri"/>
          <w:color w:val="2D3748"/>
          <w:sz w:val="19"/>
        </w:rPr>
        <w:t>Todos los requisitos funcionales identificados en el taller.</w:t>
      </w:r>
    </w:p>
    <w:p>
      <w:pPr>
        <w:pStyle w:val="ListBullet"/>
        <w:spacing w:before="20" w:after="40"/>
        <w:ind w:left="360"/>
      </w:pPr>
      <w:r>
        <w:rPr>
          <w:rFonts w:ascii="Calibri" w:hAnsi="Calibri"/>
          <w:color w:val="2D3748"/>
          <w:sz w:val="19"/>
        </w:rPr>
        <w:t>Las cuatro estructuras exigidas.</w:t>
      </w:r>
    </w:p>
    <w:p>
      <w:pPr>
        <w:pStyle w:val="ListBullet"/>
        <w:spacing w:before="20" w:after="40"/>
        <w:ind w:left="360"/>
      </w:pPr>
      <w:r>
        <w:rPr>
          <w:rFonts w:ascii="Calibri" w:hAnsi="Calibri"/>
          <w:color w:val="2D3748"/>
          <w:sz w:val="19"/>
        </w:rPr>
        <w:t>Las operaciones CRUD y persistencia por estructura.</w:t>
      </w:r>
    </w:p>
    <w:p>
      <w:pPr>
        <w:pStyle w:val="ListBullet"/>
        <w:spacing w:before="20" w:after="40"/>
        <w:ind w:left="360"/>
      </w:pPr>
      <w:r>
        <w:rPr>
          <w:rFonts w:ascii="Calibri" w:hAnsi="Calibri"/>
          <w:color w:val="2D3748"/>
          <w:sz w:val="19"/>
        </w:rPr>
        <w:t>El modelo de hipercubo recomendado.</w:t>
      </w:r>
    </w:p>
    <w:p>
      <w:pPr>
        <w:pStyle w:val="ListBullet"/>
        <w:spacing w:before="20" w:after="40"/>
        <w:ind w:left="360"/>
      </w:pPr>
      <w:r>
        <w:rPr>
          <w:rFonts w:ascii="Calibri" w:hAnsi="Calibri"/>
          <w:color w:val="2D3748"/>
          <w:sz w:val="19"/>
        </w:rPr>
        <w:t>Las variables de entrada y salida.</w:t>
      </w:r>
    </w:p>
    <w:p>
      <w:pPr>
        <w:pStyle w:val="ListBullet"/>
        <w:spacing w:before="20" w:after="40"/>
        <w:ind w:left="360"/>
      </w:pPr>
      <w:r>
        <w:rPr>
          <w:rFonts w:ascii="Calibri" w:hAnsi="Calibri"/>
          <w:color w:val="2D3748"/>
          <w:sz w:val="19"/>
        </w:rPr>
        <w:t>Las dos soluciones, integradas en una sola aplicación (D-01).</w:t>
      </w:r>
    </w:p>
    <w:p>
      <w:pPr>
        <w:pStyle w:val="ListBullet"/>
        <w:spacing w:before="20" w:after="40"/>
        <w:ind w:left="360"/>
      </w:pPr>
      <w:r>
        <w:rPr>
          <w:rFonts w:ascii="Calibri" w:hAnsi="Calibri"/>
          <w:color w:val="2D3748"/>
          <w:sz w:val="19"/>
        </w:rPr>
        <w:t>La aplicación integrada.</w:t>
      </w:r>
    </w:p>
    <w:p>
      <w:pPr>
        <w:pStyle w:val="ListBullet"/>
        <w:spacing w:before="20" w:after="40"/>
        <w:ind w:left="360"/>
      </w:pPr>
      <w:r>
        <w:rPr>
          <w:rFonts w:ascii="Calibri" w:hAnsi="Calibri"/>
          <w:color w:val="2D3748"/>
          <w:sz w:val="19"/>
        </w:rPr>
        <w:t>La persistencia en SQL Server y archivo.</w:t>
      </w:r>
    </w:p>
    <w:p>
      <w:pPr>
        <w:pStyle w:val="ListBullet"/>
        <w:spacing w:before="20" w:after="40"/>
        <w:ind w:left="360"/>
      </w:pPr>
      <w:r>
        <w:rPr>
          <w:rFonts w:ascii="Calibri" w:hAnsi="Calibri"/>
          <w:color w:val="2D3748"/>
          <w:sz w:val="19"/>
        </w:rPr>
        <w:t>La elección de cargar datos o iniciar vacío.</w:t>
      </w:r>
    </w:p>
    <w:p>
      <w:pPr>
        <w:pStyle w:val="ListBullet"/>
        <w:spacing w:before="20" w:after="40"/>
        <w:ind w:left="360"/>
      </w:pPr>
      <w:r>
        <w:rPr>
          <w:rFonts w:ascii="Calibri" w:hAnsi="Calibri"/>
          <w:color w:val="2D3748"/>
          <w:sz w:val="19"/>
        </w:rPr>
        <w:t>Los entregables de documentación, video e identificación.</w:t>
      </w:r>
    </w:p>
    <w:p>
      <w:pPr>
        <w:pStyle w:val="ListBullet"/>
        <w:spacing w:before="20" w:after="40"/>
        <w:ind w:left="360"/>
      </w:pPr>
      <w:r>
        <w:rPr>
          <w:rFonts w:ascii="Calibri" w:hAnsi="Calibri"/>
          <w:color w:val="2D3748"/>
          <w:sz w:val="19"/>
        </w:rPr>
        <w:t>Los complementos de Git, base de datos, GUI e interoperabilidad.</w:t>
      </w:r>
    </w:p>
    <w:p>
      <w:pPr>
        <w:spacing w:before="40" w:after="80" w:line="276" w:lineRule="auto"/>
      </w:pPr>
      <w:r>
        <w:rPr>
          <w:rFonts w:ascii="Calibri" w:hAnsi="Calibri"/>
          <w:color w:val="1E293B"/>
          <w:sz w:val="20"/>
        </w:rPr>
        <w:t>Alcance ajustado por las decisiones del equipo (sección 26.1): D-01 entrega ambas soluciones integradas en una sola aplicación, D-02 traslada el dashboard estadístico a la aplicación integrada y D-03 concentró originalmente la ingesta en la ruta URL oficial de SCIENTI — decisión posteriormente sustituida al implementarse los importadores de CSV (dataset oficial hrhc-c4wu de datos.gov.co) y de PDF (estilo GrupLAC), ambos con el mismo flujo de vista previa y confirmación. Ninguna de estas decisiones elimina un requisito obligatorio: reinterpretan su forma de entrega, y el equipo las expondrá y defenderá en el video.</w:t>
      </w:r>
    </w:p>
    <w:p>
      <w:pPr>
        <w:spacing w:before="40" w:after="80" w:line="276" w:lineRule="auto"/>
      </w:pPr>
      <w:r>
        <w:rPr>
          <w:rFonts w:ascii="Calibri" w:hAnsi="Calibri"/>
          <w:color w:val="1E293B"/>
          <w:sz w:val="20"/>
        </w:rPr>
        <w:t>La afirmación de cumplimiento total dependerá de completar la implementación y reunir las evidencias enumeradas en la matriz de trazabilidad y en la lista de comprobación.</w:t>
      </w:r>
    </w:p>
    <w:tbl>
      <w:tblPr>
        <w:tblW w:type="auto" w:w="0"/>
        <w:jc w:val="center"/>
        <w:tblLayout w:type="fixed"/>
        <w:tblLook w:firstColumn="1" w:firstRow="1" w:lastColumn="0" w:lastRow="0" w:noHBand="0" w:noVBand="1" w:val="04A0"/>
        <w:tblBorders>
          <w:top w:val="none"/>
          <w:left w:val="single" w:sz="24" w:space="0" w:color="0D9488"/>
          <w:bottom w:val="none"/>
          <w:right w:val="none"/>
          <w:insideH w:val="none"/>
          <w:insideV w:val="none"/>
        </w:tblBorders>
      </w:tblPr>
      <w:tblGrid>
        <w:gridCol w:w="9360"/>
      </w:tblGrid>
      <w:tr>
        <w:tc>
          <w:tcPr>
            <w:tcW w:type="dxa" w:w="9360"/>
            <w:shd w:fill="F0FDFA"/>
            <w:tcMar>
              <w:top w:w="110" w:type="dxa"/>
              <w:bottom w:w="110" w:type="dxa"/>
              <w:left w:w="150" w:type="dxa"/>
              <w:right w:w="140" w:type="dxa"/>
            </w:tcMar>
          </w:tcPr>
          <w:p>
            <w:pPr>
              <w:spacing w:before="0" w:after="40" w:line="276" w:lineRule="auto"/>
            </w:pPr>
            <w:r>
              <w:rPr>
                <w:rFonts w:ascii="Arial" w:hAnsi="Arial"/>
                <w:b/>
                <w:color w:val="0F766E"/>
                <w:sz w:val="19"/>
              </w:rPr>
              <w:t>ESTADO DE DOCUMENTACIÓN (2026-10-18, CORTE DE ENTREGA):</w:t>
              <w:br/>
            </w:r>
            <w:r>
              <w:rPr>
                <w:rFonts w:ascii="Calibri" w:hAnsi="Calibri"/>
                <w:color w:val="134E4A"/>
                <w:sz w:val="18"/>
              </w:rPr>
              <w:t xml:space="preserve">Esta especificación quedó sincronizada con el estado real del repositorio tras la modularización de finales de la fase de desarrollo: el backend se organiza en los paquetes </w:t>
            </w:r>
            <w:r>
              <w:rPr>
                <w:rFonts w:ascii="Consolas" w:hAnsi="Consolas"/>
                <w:color w:val="0369A1"/>
                <w:sz w:val="17"/>
              </w:rPr>
              <w:t>api/</w:t>
            </w:r>
            <w:r>
              <w:rPr>
                <w:rFonts w:ascii="Calibri" w:hAnsi="Calibri"/>
                <w:color w:val="134E4A"/>
                <w:sz w:val="18"/>
              </w:rPr>
              <w:t xml:space="preserve"> (86 rutas REST en routers por recurso), </w:t>
            </w:r>
            <w:r>
              <w:rPr>
                <w:rFonts w:ascii="Consolas" w:hAnsi="Consolas"/>
                <w:color w:val="0369A1"/>
                <w:sz w:val="17"/>
              </w:rPr>
              <w:t>repositories/</w:t>
            </w:r>
            <w:r>
              <w:rPr>
                <w:rFonts w:ascii="Calibri" w:hAnsi="Calibri"/>
                <w:color w:val="134E4A"/>
                <w:sz w:val="18"/>
              </w:rPr>
              <w:t xml:space="preserve">, </w:t>
            </w:r>
            <w:r>
              <w:rPr>
                <w:rFonts w:ascii="Consolas" w:hAnsi="Consolas"/>
                <w:color w:val="0369A1"/>
                <w:sz w:val="17"/>
              </w:rPr>
              <w:t>scraping/</w:t>
            </w:r>
            <w:r>
              <w:rPr>
                <w:rFonts w:ascii="Calibri" w:hAnsi="Calibri"/>
                <w:color w:val="134E4A"/>
                <w:sz w:val="18"/>
              </w:rPr>
              <w:t xml:space="preserve">, </w:t>
            </w:r>
            <w:r>
              <w:rPr>
                <w:rFonts w:ascii="Consolas" w:hAnsi="Consolas"/>
                <w:color w:val="0369A1"/>
                <w:sz w:val="17"/>
              </w:rPr>
              <w:t>pdf_import/</w:t>
            </w:r>
            <w:r>
              <w:rPr>
                <w:rFonts w:ascii="Calibri" w:hAnsi="Calibri"/>
                <w:color w:val="134E4A"/>
                <w:sz w:val="18"/>
              </w:rPr>
              <w:t xml:space="preserve">, </w:t>
            </w:r>
            <w:r>
              <w:rPr>
                <w:rFonts w:ascii="Consolas" w:hAnsi="Consolas"/>
                <w:color w:val="0369A1"/>
                <w:sz w:val="17"/>
              </w:rPr>
              <w:t>evaluator/</w:t>
            </w:r>
            <w:r>
              <w:rPr>
                <w:rFonts w:ascii="Calibri" w:hAnsi="Calibri"/>
                <w:color w:val="134E4A"/>
                <w:sz w:val="18"/>
              </w:rPr>
              <w:t xml:space="preserve"> y </w:t>
            </w:r>
            <w:r>
              <w:rPr>
                <w:rFonts w:ascii="Consolas" w:hAnsi="Consolas"/>
                <w:color w:val="0369A1"/>
                <w:sz w:val="17"/>
              </w:rPr>
              <w:t>reporting/</w:t>
            </w:r>
            <w:r>
              <w:rPr>
                <w:rFonts w:ascii="Calibri" w:hAnsi="Calibri"/>
                <w:color w:val="134E4A"/>
                <w:sz w:val="18"/>
              </w:rPr>
              <w:t xml:space="preserve"> con fachadas de compatibilidad; la consola C++ se estructura en </w:t>
            </w:r>
            <w:r>
              <w:rPr>
                <w:rFonts w:ascii="Consolas" w:hAnsi="Consolas"/>
                <w:color w:val="0369A1"/>
                <w:sz w:val="17"/>
              </w:rPr>
              <w:t>core_cpp/src/cli/</w:t>
            </w:r>
            <w:r>
              <w:rPr>
                <w:rFonts w:ascii="Calibri" w:hAnsi="Calibri"/>
                <w:color w:val="134E4A"/>
                <w:sz w:val="18"/>
              </w:rPr>
              <w:t xml:space="preserve"> y su persistencia en </w:t>
            </w:r>
            <w:r>
              <w:rPr>
                <w:rFonts w:ascii="Consolas" w:hAnsi="Consolas"/>
                <w:color w:val="0369A1"/>
                <w:sz w:val="17"/>
              </w:rPr>
              <w:t>persistence/db/</w:t>
            </w:r>
            <w:r>
              <w:rPr>
                <w:rFonts w:ascii="Calibri" w:hAnsi="Calibri"/>
                <w:color w:val="134E4A"/>
                <w:sz w:val="18"/>
              </w:rPr>
              <w:t xml:space="preserve"> y </w:t>
            </w:r>
            <w:r>
              <w:rPr>
                <w:rFonts w:ascii="Consolas" w:hAnsi="Consolas"/>
                <w:color w:val="0369A1"/>
                <w:sz w:val="17"/>
              </w:rPr>
              <w:t>persistence/json/</w:t>
            </w:r>
            <w:r>
              <w:rPr>
                <w:rFonts w:ascii="Calibri" w:hAnsi="Calibri"/>
                <w:color w:val="134E4A"/>
                <w:sz w:val="18"/>
              </w:rPr>
              <w:t xml:space="preserve">; y </w:t>
            </w:r>
            <w:r>
              <w:rPr>
                <w:rFonts w:ascii="Consolas" w:hAnsi="Consolas"/>
                <w:color w:val="0369A1"/>
                <w:sz w:val="17"/>
              </w:rPr>
              <w:t>database/init_schema.sql</w:t>
            </w:r>
            <w:r>
              <w:rPr>
                <w:rFonts w:ascii="Calibri" w:hAnsi="Calibri"/>
                <w:color w:val="134E4A"/>
                <w:sz w:val="18"/>
              </w:rPr>
              <w:t xml:space="preserve"> define 22 tablas físicas (17 detalladas en el diagrama ER de la sección 38.2 y cinco de enlace/soporte). La verificación de esta fecha deja 18 suites de </w:t>
            </w:r>
            <w:r>
              <w:rPr>
                <w:rFonts w:ascii="Consolas" w:hAnsi="Consolas"/>
                <w:color w:val="0369A1"/>
                <w:sz w:val="17"/>
              </w:rPr>
              <w:t>pytest</w:t>
            </w:r>
            <w:r>
              <w:rPr>
                <w:rFonts w:ascii="Calibri" w:hAnsi="Calibri"/>
                <w:color w:val="134E4A"/>
                <w:sz w:val="18"/>
              </w:rPr>
              <w:t xml:space="preserve"> con 160 pruebas recolectadas — 141 aprobadas y 19 saltadas por el gate de base de datos (</w:t>
            </w:r>
            <w:r>
              <w:rPr>
                <w:rFonts w:ascii="Consolas" w:hAnsi="Consolas"/>
                <w:color w:val="0369A1"/>
                <w:sz w:val="17"/>
              </w:rPr>
              <w:t>PEAI_TEST_DB</w:t>
            </w:r>
            <w:r>
              <w:rPr>
                <w:rFonts w:ascii="Calibri" w:hAnsi="Calibri"/>
                <w:color w:val="134E4A"/>
                <w:sz w:val="18"/>
              </w:rPr>
              <w:t xml:space="preserve">), con salida exitosa — y el ejecutable de estructuras C++ se mantiene en 159/159 aserciones. El guion del video (37.5) y el análisis comparativo técnico quedaron integrados en </w:t>
            </w:r>
            <w:r>
              <w:rPr>
                <w:rFonts w:ascii="Consolas" w:hAnsi="Consolas"/>
                <w:color w:val="0369A1"/>
                <w:sz w:val="17"/>
              </w:rPr>
              <w:t>docs/</w:t>
            </w:r>
            <w:r>
              <w:rPr>
                <w:rFonts w:ascii="Calibri" w:hAnsi="Calibri"/>
                <w:color w:val="134E4A"/>
                <w:sz w:val="18"/>
              </w:rPr>
              <w:t xml:space="preserve">, y el documento Word </w:t>
            </w:r>
            <w:r>
              <w:rPr>
                <w:rFonts w:ascii="Consolas" w:hAnsi="Consolas"/>
                <w:color w:val="0369A1"/>
                <w:sz w:val="17"/>
              </w:rPr>
              <w:t>docs/word/Parcial2_WP-DN-EO.docx</w:t>
            </w:r>
            <w:r>
              <w:rPr>
                <w:rFonts w:ascii="Calibri" w:hAnsi="Calibri"/>
                <w:color w:val="134E4A"/>
                <w:sz w:val="18"/>
              </w:rPr>
              <w:t xml:space="preserve"> se regenera desde esta especificación con </w:t>
            </w:r>
            <w:r>
              <w:rPr>
                <w:rFonts w:ascii="Consolas" w:hAnsi="Consolas"/>
                <w:color w:val="0369A1"/>
                <w:sz w:val="17"/>
              </w:rPr>
              <w:t>docs/word/build_word_doc.py</w:t>
            </w:r>
            <w:r>
              <w:rPr>
                <w:rFonts w:ascii="Calibri" w:hAnsi="Calibri"/>
                <w:color w:val="134E4A"/>
                <w:sz w:val="18"/>
              </w:rPr>
              <w:t>.</w:t>
            </w:r>
          </w:p>
        </w:tc>
      </w:tr>
    </w:tbl>
    <w:p>
      <w:pPr>
        <w:spacing w:before="0" w:after="120"/>
      </w:pPr>
    </w:p>
    <w:tbl>
      <w:tblPr>
        <w:tblW w:type="auto" w:w="0"/>
        <w:jc w:val="center"/>
        <w:tblLayout w:type="fixed"/>
        <w:tblLook w:firstColumn="1" w:firstRow="1" w:lastColumn="0" w:lastRow="0" w:noHBand="0" w:noVBand="1" w:val="04A0"/>
        <w:tblBorders>
          <w:top w:val="none"/>
          <w:left w:val="single" w:sz="24" w:space="0" w:color="0D9488"/>
          <w:bottom w:val="none"/>
          <w:right w:val="none"/>
          <w:insideH w:val="none"/>
          <w:insideV w:val="none"/>
        </w:tblBorders>
      </w:tblPr>
      <w:tblGrid>
        <w:gridCol w:w="9360"/>
      </w:tblGrid>
      <w:tr>
        <w:tc>
          <w:tcPr>
            <w:tcW w:type="dxa" w:w="9360"/>
            <w:shd w:fill="F0FDFA"/>
            <w:tcMar>
              <w:top w:w="110" w:type="dxa"/>
              <w:bottom w:w="110" w:type="dxa"/>
              <w:left w:w="150" w:type="dxa"/>
              <w:right w:w="140" w:type="dxa"/>
            </w:tcMar>
          </w:tcPr>
          <w:p>
            <w:pPr>
              <w:spacing w:before="0" w:after="40" w:line="276" w:lineRule="auto"/>
            </w:pPr>
            <w:r>
              <w:rPr>
                <w:rFonts w:ascii="Arial" w:hAnsi="Arial"/>
                <w:b/>
                <w:color w:val="0F766E"/>
                <w:sz w:val="19"/>
              </w:rPr>
              <w:t>ESTADO DE IMPLEMENTACIÓN Y VERIFICACIÓN INTEGRAL (2026-10-09, T-12/T-13):</w:t>
              <w:br/>
            </w:r>
            <w:r>
              <w:rPr>
                <w:rFonts w:ascii="Calibri" w:hAnsi="Calibri"/>
                <w:color w:val="134E4A"/>
                <w:sz w:val="18"/>
              </w:rPr>
              <w:t xml:space="preserve">Los importadores por archivo quedaron implementados de punta a punta. </w:t>
            </w:r>
            <w:r>
              <w:rPr>
                <w:rFonts w:ascii="Calibri" w:hAnsi="Calibri"/>
                <w:b/>
                <w:color w:val="134E4A"/>
                <w:sz w:val="18"/>
              </w:rPr>
              <w:t>CSV (T-12):</w:t>
            </w:r>
            <w:r>
              <w:rPr>
                <w:rFonts w:ascii="Calibri" w:hAnsi="Calibri"/>
                <w:color w:val="134E4A"/>
                <w:sz w:val="18"/>
              </w:rPr>
              <w:t xml:space="preserve"> </w:t>
            </w:r>
            <w:r>
              <w:rPr>
                <w:rFonts w:ascii="Consolas" w:hAnsi="Consolas"/>
                <w:color w:val="0369A1"/>
                <w:sz w:val="17"/>
              </w:rPr>
              <w:t>backend/app/import_csv.py</w:t>
            </w:r>
            <w:r>
              <w:rPr>
                <w:rFonts w:ascii="Calibri" w:hAnsi="Calibri"/>
                <w:color w:val="134E4A"/>
                <w:sz w:val="18"/>
              </w:rPr>
              <w:t xml:space="preserve"> parsea el dataset oficial de MinCiencias en datos.gov.co (Socrata </w:t>
            </w:r>
            <w:r>
              <w:rPr>
                <w:rFonts w:ascii="Consolas" w:hAnsi="Consolas"/>
                <w:color w:val="0369A1"/>
                <w:sz w:val="17"/>
              </w:rPr>
              <w:t>hrhc-c4wu</w:t>
            </w:r>
            <w:r>
              <w:rPr>
                <w:rFonts w:ascii="Calibri" w:hAnsi="Calibri"/>
                <w:color w:val="134E4A"/>
                <w:sz w:val="18"/>
              </w:rPr>
              <w:t xml:space="preserve">; tolera BOM, fechas ISO con milisegundos, "No registra" y numéricos "16.0"), deduplica por código COL conservando la convocatoria más reciente, aplica un tope de 200 grupos distintos por importación (HTTP 400 con orientación de filtrado) y permite enriquecer cada grupo con su GrupLAC completo resolviendo COL→nro únicamente por el buscador oficial (con fallback a los datos del archivo si la resolución o el scrapeo fallan); cada fila es una transacción independiente y la RAM se recarga una sola vez al final. </w:t>
            </w:r>
            <w:r>
              <w:rPr>
                <w:rFonts w:ascii="Calibri" w:hAnsi="Calibri"/>
                <w:b/>
                <w:color w:val="134E4A"/>
                <w:sz w:val="18"/>
              </w:rPr>
              <w:t>PDF (T-13):</w:t>
            </w:r>
            <w:r>
              <w:rPr>
                <w:rFonts w:ascii="Calibri" w:hAnsi="Calibri"/>
                <w:color w:val="134E4A"/>
                <w:sz w:val="18"/>
              </w:rPr>
              <w:t xml:space="preserve"> </w:t>
            </w:r>
            <w:r>
              <w:rPr>
                <w:rFonts w:ascii="Consolas" w:hAnsi="Consolas"/>
                <w:color w:val="0369A1"/>
                <w:sz w:val="17"/>
              </w:rPr>
              <w:t>backend/app/import_pdf.py</w:t>
            </w:r>
            <w:r>
              <w:rPr>
                <w:rFonts w:ascii="Calibri" w:hAnsi="Calibri"/>
                <w:color w:val="134E4A"/>
                <w:sz w:val="18"/>
              </w:rPr>
              <w:t xml:space="preserve"> extrae el texto con PyMuPDF y ataca la estructura de secciones/etiquetas compartida por el reporte que genera el propio sistema y una impresión del visor de Scienti; exige código COL válido (un nro pelado se rechaza con HTTP 400, trampa de identidad) y resuelve el subtipo de producto por nombre contra el catálogo 2024 sin requerir BD. Ambos exponen </w:t>
            </w:r>
            <w:r>
              <w:rPr>
                <w:rFonts w:ascii="Consolas" w:hAnsi="Consolas"/>
                <w:color w:val="0369A1"/>
                <w:sz w:val="17"/>
              </w:rPr>
              <w:t>/groups/import/csv(/preview)</w:t>
            </w:r>
            <w:r>
              <w:rPr>
                <w:rFonts w:ascii="Calibri" w:hAnsi="Calibri"/>
                <w:color w:val="134E4A"/>
                <w:sz w:val="18"/>
              </w:rPr>
              <w:t xml:space="preserve"> y </w:t>
            </w:r>
            <w:r>
              <w:rPr>
                <w:rFonts w:ascii="Consolas" w:hAnsi="Consolas"/>
                <w:color w:val="0369A1"/>
                <w:sz w:val="17"/>
              </w:rPr>
              <w:t>/groups/import/pdf(/preview)</w:t>
            </w:r>
            <w:r>
              <w:rPr>
                <w:rFonts w:ascii="Calibri" w:hAnsi="Calibri"/>
                <w:color w:val="134E4A"/>
                <w:sz w:val="18"/>
              </w:rPr>
              <w:t xml:space="preserve"> con flujo de vista previa→confirmación, registran </w:t>
            </w:r>
            <w:r>
              <w:rPr>
                <w:rFonts w:ascii="Consolas" w:hAnsi="Consolas"/>
                <w:color w:val="0369A1"/>
                <w:sz w:val="17"/>
              </w:rPr>
              <w:t>ImportJob.source_type</w:t>
            </w:r>
            <w:r>
              <w:rPr>
                <w:rFonts w:ascii="Calibri" w:hAnsi="Calibri"/>
                <w:color w:val="134E4A"/>
                <w:sz w:val="18"/>
              </w:rPr>
              <w:t xml:space="preserve"> de </w:t>
            </w:r>
            <w:r>
              <w:rPr>
                <w:rFonts w:ascii="Consolas" w:hAnsi="Consolas"/>
                <w:color w:val="0369A1"/>
                <w:sz w:val="17"/>
              </w:rPr>
              <w:t>csv</w:t>
            </w:r>
            <w:r>
              <w:rPr>
                <w:rFonts w:ascii="Calibri" w:hAnsi="Calibri"/>
                <w:color w:val="134E4A"/>
                <w:sz w:val="18"/>
              </w:rPr>
              <w:t>/</w:t>
            </w:r>
            <w:r>
              <w:rPr>
                <w:rFonts w:ascii="Consolas" w:hAnsi="Consolas"/>
                <w:color w:val="0369A1"/>
                <w:sz w:val="17"/>
              </w:rPr>
              <w:t>pdf</w:t>
            </w:r>
            <w:r>
              <w:rPr>
                <w:rFonts w:ascii="Calibri" w:hAnsi="Calibri"/>
                <w:color w:val="134E4A"/>
                <w:sz w:val="18"/>
              </w:rPr>
              <w:t xml:space="preserve">, son idempotentes ante doble importación y tienen UI en React (pestañas "CSV (datos.gov.co)" y "PDF (GrupLAC)" en </w:t>
            </w:r>
            <w:r>
              <w:rPr>
                <w:rFonts w:ascii="Consolas" w:hAnsi="Consolas"/>
                <w:color w:val="0369A1"/>
                <w:sz w:val="17"/>
              </w:rPr>
              <w:t>/admin/import</w:t>
            </w:r>
            <w:r>
              <w:rPr>
                <w:rFonts w:ascii="Calibri" w:hAnsi="Calibri"/>
                <w:color w:val="134E4A"/>
                <w:sz w:val="18"/>
              </w:rPr>
              <w:t>). La suite backend cuenta con 13 archivos de prueba: 147 pruebas en verde con SQL Server local activado (</w:t>
            </w:r>
            <w:r>
              <w:rPr>
                <w:rFonts w:ascii="Consolas" w:hAnsi="Consolas"/>
                <w:color w:val="0369A1"/>
                <w:sz w:val="17"/>
              </w:rPr>
              <w:t>PEAI_TEST_DB=1</w:t>
            </w:r>
            <w:r>
              <w:rPr>
                <w:rFonts w:ascii="Calibri" w:hAnsi="Calibri"/>
                <w:color w:val="134E4A"/>
                <w:sz w:val="18"/>
              </w:rPr>
              <w:t>; 128 aprobadas y 19 saltadas por el gate sin BD). El build de React (</w:t>
            </w:r>
            <w:r>
              <w:rPr>
                <w:rFonts w:ascii="Consolas" w:hAnsi="Consolas"/>
                <w:color w:val="0369A1"/>
                <w:sz w:val="17"/>
              </w:rPr>
              <w:t>tsc -b &amp;&amp; vite build</w:t>
            </w:r>
            <w:r>
              <w:rPr>
                <w:rFonts w:ascii="Calibri" w:hAnsi="Calibri"/>
                <w:color w:val="134E4A"/>
                <w:sz w:val="18"/>
              </w:rPr>
              <w:t>) pasa en limpio.</w:t>
            </w:r>
          </w:p>
        </w:tc>
      </w:tr>
    </w:tbl>
    <w:p>
      <w:pPr>
        <w:spacing w:before="0" w:after="120"/>
      </w:pPr>
    </w:p>
    <w:tbl>
      <w:tblPr>
        <w:tblW w:type="auto" w:w="0"/>
        <w:jc w:val="center"/>
        <w:tblLayout w:type="fixed"/>
        <w:tblLook w:firstColumn="1" w:firstRow="1" w:lastColumn="0" w:lastRow="0" w:noHBand="0" w:noVBand="1" w:val="04A0"/>
        <w:tblBorders>
          <w:top w:val="none"/>
          <w:left w:val="single" w:sz="24" w:space="0" w:color="0D9488"/>
          <w:bottom w:val="none"/>
          <w:right w:val="none"/>
          <w:insideH w:val="none"/>
          <w:insideV w:val="none"/>
        </w:tblBorders>
      </w:tblPr>
      <w:tblGrid>
        <w:gridCol w:w="9360"/>
      </w:tblGrid>
      <w:tr>
        <w:tc>
          <w:tcPr>
            <w:tcW w:type="dxa" w:w="9360"/>
            <w:shd w:fill="F0FDFA"/>
            <w:tcMar>
              <w:top w:w="110" w:type="dxa"/>
              <w:bottom w:w="110" w:type="dxa"/>
              <w:left w:w="150" w:type="dxa"/>
              <w:right w:w="140" w:type="dxa"/>
            </w:tcMar>
          </w:tcPr>
          <w:p>
            <w:pPr>
              <w:spacing w:before="0" w:after="40" w:line="276" w:lineRule="auto"/>
            </w:pPr>
            <w:r>
              <w:rPr>
                <w:rFonts w:ascii="Arial" w:hAnsi="Arial"/>
                <w:b/>
                <w:color w:val="0F766E"/>
                <w:sz w:val="19"/>
              </w:rPr>
              <w:t>ESTADO DE IMPLEMENTACIÓN Y VERIFICACIÓN INTEGRAL (2026-10-04):</w:t>
              <w:br/>
            </w:r>
            <w:r>
              <w:rPr>
                <w:rFonts w:ascii="Calibri" w:hAnsi="Calibri"/>
                <w:color w:val="134E4A"/>
                <w:sz w:val="18"/>
              </w:rPr>
              <w:t xml:space="preserve">T-08 (gestión de planes) está implementado de punta a punta: </w:t>
            </w:r>
            <w:r>
              <w:rPr>
                <w:rFonts w:ascii="Consolas" w:hAnsi="Consolas"/>
                <w:color w:val="0369A1"/>
                <w:sz w:val="17"/>
              </w:rPr>
              <w:t>PlanNode</w:t>
            </w:r>
            <w:r>
              <w:rPr>
                <w:rFonts w:ascii="Calibri" w:hAnsi="Calibri"/>
                <w:color w:val="134E4A"/>
                <w:sz w:val="18"/>
              </w:rPr>
              <w:t xml:space="preserve"> en la multilista C++, </w:t>
            </w:r>
            <w:r>
              <w:rPr>
                <w:rFonts w:ascii="Consolas" w:hAnsi="Consolas"/>
                <w:color w:val="0369A1"/>
                <w:sz w:val="17"/>
              </w:rPr>
              <w:t>work_plan_service</w:t>
            </w:r>
            <w:r>
              <w:rPr>
                <w:rFonts w:ascii="Calibri" w:hAnsi="Calibri"/>
                <w:color w:val="134E4A"/>
                <w:sz w:val="18"/>
              </w:rPr>
              <w:t>, persistencia JSON y SQL Server (MERGE por id estable), pybind11, endpoints REST (</w:t>
            </w:r>
            <w:r>
              <w:rPr>
                <w:rFonts w:ascii="Consolas" w:hAnsi="Consolas"/>
                <w:color w:val="0369A1"/>
                <w:sz w:val="17"/>
              </w:rPr>
              <w:t>/groups/{id}/plans</w:t>
            </w:r>
            <w:r>
              <w:rPr>
                <w:rFonts w:ascii="Calibri" w:hAnsi="Calibri"/>
                <w:color w:val="134E4A"/>
                <w:sz w:val="18"/>
              </w:rPr>
              <w:t xml:space="preserve">, </w:t>
            </w:r>
            <w:r>
              <w:rPr>
                <w:rFonts w:ascii="Consolas" w:hAnsi="Consolas"/>
                <w:color w:val="0369A1"/>
                <w:sz w:val="17"/>
              </w:rPr>
              <w:t>/plans/{id}</w:t>
            </w:r>
            <w:r>
              <w:rPr>
                <w:rFonts w:ascii="Calibri" w:hAnsi="Calibri"/>
                <w:color w:val="134E4A"/>
                <w:sz w:val="18"/>
              </w:rPr>
              <w:t xml:space="preserve">), pestaña "Planes" en el detalle de grupo en React, comandos </w:t>
            </w:r>
            <w:r>
              <w:rPr>
                <w:rFonts w:ascii="Consolas" w:hAnsi="Consolas"/>
                <w:color w:val="0369A1"/>
                <w:sz w:val="17"/>
              </w:rPr>
              <w:t>plans</w:t>
            </w:r>
            <w:r>
              <w:rPr>
                <w:rFonts w:ascii="Calibri" w:hAnsi="Calibri"/>
                <w:color w:val="134E4A"/>
                <w:sz w:val="18"/>
              </w:rPr>
              <w:t xml:space="preserve"> en </w:t>
            </w:r>
            <w:r>
              <w:rPr>
                <w:rFonts w:ascii="Consolas" w:hAnsi="Consolas"/>
                <w:color w:val="0369A1"/>
                <w:sz w:val="17"/>
              </w:rPr>
              <w:t>pea_cli</w:t>
            </w:r>
            <w:r>
              <w:rPr>
                <w:rFonts w:ascii="Calibri" w:hAnsi="Calibri"/>
                <w:color w:val="134E4A"/>
                <w:sz w:val="18"/>
              </w:rPr>
              <w:t xml:space="preserve"> y pruebas unitarias. El CRUD independiente de proyectos (Requerimiento 3) está completo de punta a punta: </w:t>
            </w:r>
            <w:r>
              <w:rPr>
                <w:rFonts w:ascii="Consolas" w:hAnsi="Consolas"/>
                <w:color w:val="0369A1"/>
                <w:sz w:val="17"/>
              </w:rPr>
              <w:t>ProjectNode</w:t>
            </w:r>
            <w:r>
              <w:rPr>
                <w:rFonts w:ascii="Calibri" w:hAnsi="Calibri"/>
                <w:color w:val="134E4A"/>
                <w:sz w:val="18"/>
              </w:rPr>
              <w:t xml:space="preserve"> en la lista global C++, </w:t>
            </w:r>
            <w:r>
              <w:rPr>
                <w:rFonts w:ascii="Consolas" w:hAnsi="Consolas"/>
                <w:color w:val="0369A1"/>
                <w:sz w:val="17"/>
              </w:rPr>
              <w:t>project_service</w:t>
            </w:r>
            <w:r>
              <w:rPr>
                <w:rFonts w:ascii="Calibri" w:hAnsi="Calibri"/>
                <w:color w:val="134E4A"/>
                <w:sz w:val="18"/>
              </w:rPr>
              <w:t>, persistencia JSON y SQL Server (MERGE por id estable), pybind11, endpoints REST (</w:t>
            </w:r>
            <w:r>
              <w:rPr>
                <w:rFonts w:ascii="Consolas" w:hAnsi="Consolas"/>
                <w:color w:val="0369A1"/>
                <w:sz w:val="17"/>
              </w:rPr>
              <w:t>/api/v1/projects</w:t>
            </w:r>
            <w:r>
              <w:rPr>
                <w:rFonts w:ascii="Calibri" w:hAnsi="Calibri"/>
                <w:color w:val="134E4A"/>
                <w:sz w:val="18"/>
              </w:rPr>
              <w:t xml:space="preserve"> con paginación/búsqueda/estado, </w:t>
            </w:r>
            <w:r>
              <w:rPr>
                <w:rFonts w:ascii="Consolas" w:hAnsi="Consolas"/>
                <w:color w:val="0369A1"/>
                <w:sz w:val="17"/>
              </w:rPr>
              <w:t>/groups/{id}/projects</w:t>
            </w:r>
            <w:r>
              <w:rPr>
                <w:rFonts w:ascii="Calibri" w:hAnsi="Calibri"/>
                <w:color w:val="134E4A"/>
                <w:sz w:val="18"/>
              </w:rPr>
              <w:t xml:space="preserve">), página "Proyectos" en React, comandos </w:t>
            </w:r>
            <w:r>
              <w:rPr>
                <w:rFonts w:ascii="Consolas" w:hAnsi="Consolas"/>
                <w:color w:val="0369A1"/>
                <w:sz w:val="17"/>
              </w:rPr>
              <w:t>projects</w:t>
            </w:r>
            <w:r>
              <w:rPr>
                <w:rFonts w:ascii="Calibri" w:hAnsi="Calibri"/>
                <w:color w:val="134E4A"/>
                <w:sz w:val="18"/>
              </w:rPr>
              <w:t xml:space="preserve"> en </w:t>
            </w:r>
            <w:r>
              <w:rPr>
                <w:rFonts w:ascii="Consolas" w:hAnsi="Consolas"/>
                <w:color w:val="0369A1"/>
                <w:sz w:val="17"/>
              </w:rPr>
              <w:t>pea_cli</w:t>
            </w:r>
            <w:r>
              <w:rPr>
                <w:rFonts w:ascii="Calibri" w:hAnsi="Calibri"/>
                <w:color w:val="134E4A"/>
                <w:sz w:val="18"/>
              </w:rPr>
              <w:t xml:space="preserve"> y pruebas unitarias. El periodo de observación personalizado (T-26 / HU-07) está cubierto en toda la pila: rango arbitrario </w:t>
            </w:r>
            <w:r>
              <w:rPr>
                <w:rFonts w:ascii="Consolas" w:hAnsi="Consolas"/>
                <w:color w:val="0369A1"/>
                <w:sz w:val="17"/>
              </w:rPr>
              <w:t>start_year</w:t>
            </w:r>
            <w:r>
              <w:rPr>
                <w:rFonts w:ascii="Calibri" w:hAnsi="Calibri"/>
                <w:color w:val="134E4A"/>
                <w:sz w:val="18"/>
              </w:rPr>
              <w:t>–</w:t>
            </w:r>
            <w:r>
              <w:rPr>
                <w:rFonts w:ascii="Consolas" w:hAnsi="Consolas"/>
                <w:color w:val="0369A1"/>
                <w:sz w:val="17"/>
              </w:rPr>
              <w:t>end_year</w:t>
            </w:r>
            <w:r>
              <w:rPr>
                <w:rFonts w:ascii="Calibri" w:hAnsi="Calibri"/>
                <w:color w:val="134E4A"/>
                <w:sz w:val="18"/>
              </w:rPr>
              <w:t xml:space="preserve"> y "últimos N años" (</w:t>
            </w:r>
            <w:r>
              <w:rPr>
                <w:rFonts w:ascii="Consolas" w:hAnsi="Consolas"/>
                <w:color w:val="0369A1"/>
                <w:sz w:val="17"/>
              </w:rPr>
              <w:t>window_years</w:t>
            </w:r>
            <w:r>
              <w:rPr>
                <w:rFonts w:ascii="Calibri" w:hAnsi="Calibri"/>
                <w:color w:val="134E4A"/>
                <w:sz w:val="18"/>
              </w:rPr>
              <w:t xml:space="preserve">) en </w:t>
            </w:r>
            <w:r>
              <w:rPr>
                <w:rFonts w:ascii="Consolas" w:hAnsi="Consolas"/>
                <w:color w:val="0369A1"/>
                <w:sz w:val="17"/>
              </w:rPr>
              <w:t>/products</w:t>
            </w:r>
            <w:r>
              <w:rPr>
                <w:rFonts w:ascii="Calibri" w:hAnsi="Calibri"/>
                <w:color w:val="134E4A"/>
                <w:sz w:val="18"/>
              </w:rPr>
              <w:t xml:space="preserve">, CLI </w:t>
            </w:r>
            <w:r>
              <w:rPr>
                <w:rFonts w:ascii="Consolas" w:hAnsi="Consolas"/>
                <w:color w:val="0369A1"/>
                <w:sz w:val="17"/>
              </w:rPr>
              <w:t>products by-year</w:t>
            </w:r>
            <w:r>
              <w:rPr>
                <w:rFonts w:ascii="Calibri" w:hAnsi="Calibri"/>
                <w:color w:val="134E4A"/>
                <w:sz w:val="18"/>
              </w:rPr>
              <w:t xml:space="preserve">, e informe PDF de grupo con selector de ventana en la UI que muestra la ventana aplicada y filtra la producción por año de obtención. T-07 (Membresías con rol/fechas) y las reglas de vinculación temporal (RV-001 de periodo invertido y RV-002 de periodos solapados/reingreso) están completamente implementadas en C++, RAM, persistencia (JSON/SQL), API (HTTP 400 en infracción) y deshacer bidireccional. La multilista de autores </w:t>
            </w:r>
            <w:r>
              <w:rPr>
                <w:rFonts w:ascii="Consolas" w:hAnsi="Consolas"/>
                <w:color w:val="0369A1"/>
                <w:sz w:val="17"/>
              </w:rPr>
              <w:t>ProductAuthorNode</w:t>
            </w:r>
            <w:r>
              <w:rPr>
                <w:rFonts w:ascii="Calibri" w:hAnsi="Calibri"/>
                <w:color w:val="134E4A"/>
                <w:sz w:val="18"/>
              </w:rPr>
              <w:t xml:space="preserve"> y la exportación íntegra de los 20 atributos de producto del modelo Minciencias 2024 están operativas y sincronizadas en </w:t>
            </w:r>
            <w:r>
              <w:rPr>
                <w:rFonts w:ascii="Consolas" w:hAnsi="Consolas"/>
                <w:color w:val="0369A1"/>
                <w:sz w:val="17"/>
              </w:rPr>
              <w:t>pea_data.json</w:t>
            </w:r>
            <w:r>
              <w:rPr>
                <w:rFonts w:ascii="Calibri" w:hAnsi="Calibri"/>
                <w:color w:val="134E4A"/>
                <w:sz w:val="18"/>
              </w:rPr>
              <w:t>. La suite de pruebas de estructuras en C++ (</w:t>
            </w:r>
            <w:r>
              <w:rPr>
                <w:rFonts w:ascii="Consolas" w:hAnsi="Consolas"/>
                <w:color w:val="0369A1"/>
                <w:sz w:val="17"/>
              </w:rPr>
              <w:t>pea_tests.exe</w:t>
            </w:r>
            <w:r>
              <w:rPr>
                <w:rFonts w:ascii="Calibri" w:hAnsi="Calibri"/>
                <w:color w:val="134E4A"/>
                <w:sz w:val="18"/>
              </w:rPr>
              <w:t>) cuenta con 159/159 aserciones en verde (0 fallos). El backend en Python cuenta con 11 suites de pruebas automatizadas con 84 tests en verde (100% aprobadas) que cubren reglas de membresía, lógica y simetría de deshacer, enriquecimiento y filtros de cola, contratos 2024, scrapers e importadores. Todas las brechas documentales y funcionales detectadas en la auditoría han sido subsanadas.</w:t>
            </w:r>
          </w:p>
        </w:tc>
      </w:tr>
    </w:tbl>
    <w:p>
      <w:pPr>
        <w:spacing w:before="0" w:after="120"/>
      </w:pPr>
    </w:p>
    <w:p>
      <w:pPr>
        <w:pStyle w:val="Heading2"/>
        <w:spacing w:before="280" w:after="80"/>
      </w:pPr>
      <w:r>
        <w:rPr>
          <w:rFonts w:ascii="Arial" w:hAnsi="Arial"/>
          <w:b/>
          <w:color w:val="2B6CB0"/>
          <w:sz w:val="27"/>
        </w:rPr>
        <w:t>46. Indicador de producción científica (ejercicios PARCIAL 1 y 2)</w:t>
      </w:r>
    </w:p>
    <w:p>
      <w:pPr>
        <w:pStyle w:val="Heading3"/>
        <w:spacing w:before="200" w:after="60"/>
      </w:pPr>
      <w:r>
        <w:rPr>
          <w:rFonts w:ascii="Arial" w:hAnsi="Arial"/>
          <w:b/>
          <w:color w:val="0D9488"/>
          <w:sz w:val="23"/>
        </w:rPr>
        <w:t>46.1 Modelo normativo aplicado</w:t>
      </w:r>
    </w:p>
    <w:p>
      <w:pPr>
        <w:spacing w:before="40" w:after="80" w:line="276" w:lineRule="auto"/>
      </w:pPr>
      <w:r>
        <w:rPr>
          <w:rFonts w:ascii="Calibri" w:hAnsi="Calibri"/>
          <w:color w:val="1E293B"/>
          <w:sz w:val="20"/>
        </w:rPr>
        <w:t xml:space="preserve">El indicador de producción científica se define en el </w:t>
      </w:r>
      <w:r>
        <w:rPr>
          <w:rFonts w:ascii="Calibri" w:hAnsi="Calibri"/>
          <w:b/>
          <w:color w:val="1E293B"/>
          <w:sz w:val="20"/>
        </w:rPr>
        <w:t>Modelo de Medición Minciencias 2024</w:t>
      </w:r>
      <w:r>
        <w:rPr>
          <w:rFonts w:ascii="Calibri" w:hAnsi="Calibri"/>
          <w:color w:val="1E293B"/>
          <w:sz w:val="20"/>
        </w:rPr>
        <w:t xml:space="preserve"> (Anexo 1 de la Convocatoria Nacional para el Reconocimiento y Medición de Grupos de Investigación, Desarrollo Tecnológico o de Innovación, código M601PR04G01, versión 02), transcrito en </w:t>
      </w:r>
      <w:r>
        <w:rPr>
          <w:rFonts w:ascii="Consolas" w:hAnsi="Consolas"/>
          <w:color w:val="0369A1"/>
          <w:sz w:val="17"/>
        </w:rPr>
        <w:t>docs/modelo-medicion-2024.md</w:t>
      </w:r>
      <w:r>
        <w:rPr>
          <w:rFonts w:ascii="Calibri" w:hAnsi="Calibri"/>
          <w:color w:val="1E293B"/>
          <w:sz w:val="20"/>
        </w:rPr>
        <w:t xml:space="preserve"> y catalogado en </w:t>
      </w:r>
      <w:r>
        <w:rPr>
          <w:rFonts w:ascii="Consolas" w:hAnsi="Consolas"/>
          <w:color w:val="0369A1"/>
          <w:sz w:val="17"/>
        </w:rPr>
        <w:t>docs/catalogo_oficial_pesos_minciencias_2024.md</w:t>
      </w:r>
      <w:r>
        <w:rPr>
          <w:rFonts w:ascii="Calibri" w:hAnsi="Calibri"/>
          <w:color w:val="1E293B"/>
          <w:sz w:val="20"/>
        </w:rPr>
        <w:t>:</w:t>
      </w:r>
    </w:p>
    <w:tbl>
      <w:tblPr>
        <w:tblW w:type="auto" w:w="0"/>
        <w:jc w:val="center"/>
        <w:tblLook w:firstColumn="1" w:firstRow="1" w:lastColumn="0" w:lastRow="0" w:noHBand="0" w:noVBand="1" w:val="04A0"/>
        <w:tblBorders>
          <w:top w:val="single" w:sz="6" w:space="0" w:color="CBD5E1"/>
          <w:left w:val="none"/>
          <w:bottom w:val="single" w:sz="12" w:space="0" w:color="1A365D"/>
          <w:right w:val="none"/>
          <w:insideH w:val="single" w:sz="4" w:space="0" w:color="CBD5E1"/>
          <w:insideV w:val="none"/>
        </w:tblBorders>
      </w:tblPr>
      <w:tblGrid>
        <w:gridCol w:w="3120"/>
        <w:gridCol w:w="3120"/>
        <w:gridCol w:w="3120"/>
      </w:tblGrid>
      <w:tr>
        <w:trPr>
          <w:tblHeader/>
          <w:cantSplit/>
        </w:trPr>
        <w:tc>
          <w:tcPr>
            <w:tcW w:type="dxa" w:w="122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Sección del modelo</w:t>
            </w:r>
          </w:p>
        </w:tc>
        <w:tc>
          <w:tcPr>
            <w:tcW w:type="dxa" w:w="4075"/>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Contenido normativo</w:t>
            </w:r>
          </w:p>
        </w:tc>
        <w:tc>
          <w:tcPr>
            <w:tcW w:type="dxa" w:w="4075"/>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Uso en PEA-i</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§2.2.9</w:t>
            </w:r>
          </w:p>
        </w:tc>
        <w:tc>
          <w:tcPr>
            <w:tcW w:type="dxa" w:w="4075"/>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λ del subtipo: λ = ln(productos en la ventana + 1)</w:t>
            </w:r>
          </w:p>
        </w:tc>
        <w:tc>
          <w:tcPr>
            <w:tcW w:type="dxa" w:w="4075"/>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Peso temporal de cada subtipo dentro de la ventana de observación</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§3.6</w:t>
            </w:r>
          </w:p>
        </w:tc>
        <w:tc>
          <w:tcPr>
            <w:tcW w:type="dxa" w:w="4075"/>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Peso global del subtipo = ancla del subtipo (Tabla 6) × peso relativo (Anexo 1)</w:t>
            </w:r>
          </w:p>
        </w:tc>
        <w:tc>
          <w:tcPr>
            <w:tcW w:type="dxa" w:w="4075"/>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Valor en puntos y peso relativo de cada producto</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§3.7</w:t>
            </w:r>
          </w:p>
        </w:tc>
        <w:tc>
          <w:tcPr>
            <w:tcW w:type="dxa" w:w="4075"/>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Familias y clases de productos: TOP, A, B, ASC, DPC, FRH-A, FRH-B</w:t>
            </w:r>
          </w:p>
        </w:tc>
        <w:tc>
          <w:tcPr>
            <w:tcW w:type="dxa" w:w="4075"/>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Clasificación del producto por familia y clase</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§3.8.1</w:t>
            </w:r>
          </w:p>
        </w:tc>
        <w:tc>
          <w:tcPr>
            <w:tcW w:type="dxa" w:w="4075"/>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Índice de clase = Σ (λ × peso global)</w:t>
            </w:r>
          </w:p>
        </w:tc>
        <w:tc>
          <w:tcPr>
            <w:tcW w:type="dxa" w:w="4075"/>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Producción ponderada por clase</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§3.8.2 y §3.8.3</w:t>
            </w:r>
          </w:p>
        </w:tc>
        <w:tc>
          <w:tcPr>
            <w:tcW w:type="dxa" w:w="4075"/>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Indicadores de cohesión (Cohe) y de cooperación (Coop)</w:t>
            </w:r>
          </w:p>
        </w:tc>
        <w:tc>
          <w:tcPr>
            <w:tcW w:type="dxa" w:w="4075"/>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Términos de red del grupo</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§3.9</w:t>
            </w:r>
          </w:p>
        </w:tc>
        <w:tc>
          <w:tcPr>
            <w:tcW w:type="dxa" w:w="4075"/>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Normalización de cada índice frente al máximo de la población</w:t>
            </w:r>
          </w:p>
        </w:tc>
        <w:tc>
          <w:tcPr>
            <w:tcW w:type="dxa" w:w="4075"/>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Índices comparables entre grupos de una misma convocatoria</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§3.10</w:t>
            </w:r>
          </w:p>
        </w:tc>
        <w:tc>
          <w:tcPr>
            <w:tcW w:type="dxa" w:w="4075"/>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Ind.Grupo = 3,7·Nc.Top + 2,3·Nc.A + 0,4·Nc.B + 1,5·AP + 0,5·DPC + 1·Fr.A + 0,2·Fr.B + 0,1·Cohe + 0,3·Coop</w:t>
            </w:r>
          </w:p>
        </w:tc>
        <w:tc>
          <w:tcPr>
            <w:tcW w:type="dxa" w:w="4075"/>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Indicador del grupo de investigación</w:t>
            </w:r>
          </w:p>
        </w:tc>
      </w:tr>
    </w:tbl>
    <w:p>
      <w:pPr>
        <w:spacing w:before="0" w:after="120"/>
      </w:pPr>
    </w:p>
    <w:p>
      <w:pPr>
        <w:spacing w:before="40" w:after="80" w:line="276" w:lineRule="auto"/>
      </w:pPr>
      <w:r>
        <w:rPr>
          <w:rFonts w:ascii="Calibri" w:hAnsi="Calibri"/>
          <w:color w:val="1E293B"/>
          <w:sz w:val="20"/>
        </w:rPr>
        <w:t xml:space="preserve">La prioridad de la §3.6 es la </w:t>
      </w:r>
      <w:r>
        <w:rPr>
          <w:rFonts w:ascii="Calibri" w:hAnsi="Calibri"/>
          <w:b/>
          <w:color w:val="1E293B"/>
          <w:sz w:val="20"/>
        </w:rPr>
        <w:t>categoría de calidad validada</w:t>
      </w:r>
      <w:r>
        <w:rPr>
          <w:rFonts w:ascii="Calibri" w:hAnsi="Calibri"/>
          <w:color w:val="1E293B"/>
          <w:sz w:val="20"/>
        </w:rPr>
        <w:t xml:space="preserve"> cuando existe: si el producto tiene categoría validada por el validador se usa esa; si no, se infiere de la descripción; y un subtipo ajeno al catálogo 2024 se excluye con motivo explícito.</w:t>
      </w:r>
    </w:p>
    <w:p>
      <w:pPr>
        <w:pStyle w:val="Heading3"/>
        <w:spacing w:before="200" w:after="60"/>
      </w:pPr>
      <w:r>
        <w:rPr>
          <w:rFonts w:ascii="Arial" w:hAnsi="Arial"/>
          <w:b/>
          <w:color w:val="0D9488"/>
          <w:sz w:val="23"/>
        </w:rPr>
        <w:t>46.2 Variables de entrada y salida del modelo (ejercicio 6)</w:t>
      </w:r>
    </w:p>
    <w:p>
      <w:pPr>
        <w:pStyle w:val="Heading4"/>
        <w:spacing w:before="160" w:after="40"/>
      </w:pPr>
      <w:r>
        <w:rPr>
          <w:rFonts w:ascii="Arial" w:hAnsi="Arial"/>
          <w:b/>
          <w:color w:val="2D3748"/>
          <w:sz w:val="21"/>
        </w:rPr>
        <w:t>46.2.1 Grupo de investigación</w:t>
      </w:r>
    </w:p>
    <w:tbl>
      <w:tblPr>
        <w:tblW w:type="auto" w:w="0"/>
        <w:jc w:val="center"/>
        <w:tblLook w:firstColumn="1" w:firstRow="1" w:lastColumn="0" w:lastRow="0" w:noHBand="0" w:noVBand="1" w:val="04A0"/>
        <w:tblBorders>
          <w:top w:val="single" w:sz="6" w:space="0" w:color="CBD5E1"/>
          <w:left w:val="none"/>
          <w:bottom w:val="single" w:sz="12" w:space="0" w:color="1A365D"/>
          <w:right w:val="none"/>
          <w:insideH w:val="single" w:sz="4" w:space="0" w:color="CBD5E1"/>
          <w:insideV w:val="none"/>
        </w:tblBorders>
      </w:tblPr>
      <w:tblGrid>
        <w:gridCol w:w="4680"/>
        <w:gridCol w:w="4680"/>
      </w:tblGrid>
      <w:tr>
        <w:trPr>
          <w:tblHeader/>
          <w:cantSplit/>
        </w:trPr>
        <w:tc>
          <w:tcPr>
            <w:tcW w:type="dxa" w:w="4680"/>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Variables de entrada</w:t>
            </w:r>
          </w:p>
        </w:tc>
        <w:tc>
          <w:tcPr>
            <w:tcW w:type="dxa" w:w="4680"/>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Variables de salida</w:t>
            </w:r>
          </w:p>
        </w:tc>
      </w:tr>
      <w:tr>
        <w:trPr>
          <w:cantSplit/>
        </w:trPr>
        <w:tc>
          <w:tcPr>
            <w:tcW w:type="dxa" w:w="4680"/>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Productos del grupo: tipología, familia, subtipo, año de obtención y categoría de calidad</w:t>
            </w:r>
          </w:p>
        </w:tc>
        <w:tc>
          <w:tcPr>
            <w:tcW w:type="dxa" w:w="4680"/>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Productos clasificados dentro de la ventana de observación</w:t>
            </w:r>
          </w:p>
        </w:tc>
      </w:tr>
      <w:tr>
        <w:trPr>
          <w:cantSplit/>
        </w:trPr>
        <w:tc>
          <w:tcPr>
            <w:tcW w:type="dxa" w:w="4680"/>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Integrantes del grupo y antigüedad de la vinculación</w:t>
            </w:r>
          </w:p>
        </w:tc>
        <w:tc>
          <w:tcPr>
            <w:tcW w:type="dxa" w:w="4680"/>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Nc.Top, Nc.A, Nc.B, AP, DPC, Fr.A y Fr.B (conteo por clase)</w:t>
            </w:r>
          </w:p>
        </w:tc>
      </w:tr>
      <w:tr>
        <w:trPr>
          <w:cantSplit/>
        </w:trPr>
        <w:tc>
          <w:tcPr>
            <w:tcW w:type="dxa" w:w="4680"/>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Año de cierre de la convocatoria en curso</w:t>
            </w:r>
          </w:p>
        </w:tc>
        <w:tc>
          <w:tcPr>
            <w:tcW w:type="dxa" w:w="4680"/>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Cohe (cohesión interna) y Coop (productos coautorizados con otros grupos)</w:t>
            </w:r>
          </w:p>
        </w:tc>
      </w:tr>
      <w:tr>
        <w:trPr>
          <w:cantSplit/>
        </w:trPr>
        <w:tc>
          <w:tcPr>
            <w:tcW w:type="dxa" w:w="4680"/>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Población de comparación de la convocatoria</w:t>
            </w:r>
          </w:p>
        </w:tc>
        <w:tc>
          <w:tcPr>
            <w:tcW w:type="dxa" w:w="4680"/>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λ, peso relativo, ancla y peso global de cada subtipo (§2.2.9 y §3.6)</w:t>
            </w:r>
          </w:p>
        </w:tc>
      </w:tr>
      <w:tr>
        <w:trPr>
          <w:cantSplit/>
        </w:trPr>
        <w:tc>
          <w:tcPr>
            <w:tcW w:type="dxa" w:w="4680"/>
            <w:shd w:fill="F8FAFC"/>
            <w:tcMar>
              <w:top w:w="70" w:type="dxa"/>
              <w:bottom w:w="70" w:type="dxa"/>
              <w:left w:w="100" w:type="dxa"/>
              <w:right w:w="100" w:type="dxa"/>
            </w:tcMar>
            <w:vAlign w:val="center"/>
          </w:tcPr>
          <w:p>
            <w:pPr>
              <w:spacing w:before="0" w:after="0" w:line="252" w:lineRule="auto"/>
              <w:jc w:val="left"/>
            </w:pPr>
            <w:r/>
          </w:p>
        </w:tc>
        <w:tc>
          <w:tcPr>
            <w:tcW w:type="dxa" w:w="4680"/>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I_Grupo</w:t>
            </w:r>
            <w:r>
              <w:rPr>
                <w:rFonts w:ascii="Calibri" w:hAnsi="Calibri"/>
                <w:color w:val="334155"/>
                <w:sz w:val="17"/>
              </w:rPr>
              <w:t>: indicador de producción científica del grupo</w:t>
            </w:r>
          </w:p>
        </w:tc>
      </w:tr>
    </w:tbl>
    <w:p>
      <w:pPr>
        <w:spacing w:before="0" w:after="120"/>
      </w:pPr>
    </w:p>
    <w:p>
      <w:pPr>
        <w:pStyle w:val="Heading4"/>
        <w:spacing w:before="160" w:after="40"/>
      </w:pPr>
      <w:r>
        <w:rPr>
          <w:rFonts w:ascii="Arial" w:hAnsi="Arial"/>
          <w:b/>
          <w:color w:val="2D3748"/>
          <w:sz w:val="21"/>
        </w:rPr>
        <w:t>46.2.2 Investigador</w:t>
      </w:r>
    </w:p>
    <w:tbl>
      <w:tblPr>
        <w:tblW w:type="auto" w:w="0"/>
        <w:jc w:val="center"/>
        <w:tblLook w:firstColumn="1" w:firstRow="1" w:lastColumn="0" w:lastRow="0" w:noHBand="0" w:noVBand="1" w:val="04A0"/>
        <w:tblBorders>
          <w:top w:val="single" w:sz="6" w:space="0" w:color="CBD5E1"/>
          <w:left w:val="none"/>
          <w:bottom w:val="single" w:sz="12" w:space="0" w:color="1A365D"/>
          <w:right w:val="none"/>
          <w:insideH w:val="single" w:sz="4" w:space="0" w:color="CBD5E1"/>
          <w:insideV w:val="none"/>
        </w:tblBorders>
      </w:tblPr>
      <w:tblGrid>
        <w:gridCol w:w="4680"/>
        <w:gridCol w:w="4680"/>
      </w:tblGrid>
      <w:tr>
        <w:trPr>
          <w:tblHeader/>
          <w:cantSplit/>
        </w:trPr>
        <w:tc>
          <w:tcPr>
            <w:tcW w:type="dxa" w:w="4680"/>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Variables de entrada</w:t>
            </w:r>
          </w:p>
        </w:tc>
        <w:tc>
          <w:tcPr>
            <w:tcW w:type="dxa" w:w="4680"/>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Variables de salida</w:t>
            </w:r>
          </w:p>
        </w:tc>
      </w:tr>
      <w:tr>
        <w:trPr>
          <w:cantSplit/>
        </w:trPr>
        <w:tc>
          <w:tcPr>
            <w:tcW w:type="dxa" w:w="4680"/>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Identificador y datos del investigador</w:t>
            </w:r>
          </w:p>
        </w:tc>
        <w:tc>
          <w:tcPr>
            <w:tcW w:type="dxa" w:w="4680"/>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Productos totales y productos en la ventana de observación</w:t>
            </w:r>
          </w:p>
        </w:tc>
      </w:tr>
      <w:tr>
        <w:trPr>
          <w:cantSplit/>
        </w:trPr>
        <w:tc>
          <w:tcPr>
            <w:tcW w:type="dxa" w:w="4680"/>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Productos propios: tipología, familia, subtipo, año y categoría de calidad</w:t>
            </w:r>
          </w:p>
        </w:tc>
        <w:tc>
          <w:tcPr>
            <w:tcW w:type="dxa" w:w="4680"/>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Nc.Top, Nc.A, Nc.B, AP, DPC, Fr.A y Fr.B (conteo por clase)</w:t>
            </w:r>
          </w:p>
        </w:tc>
      </w:tr>
      <w:tr>
        <w:trPr>
          <w:cantSplit/>
        </w:trPr>
        <w:tc>
          <w:tcPr>
            <w:tcW w:type="dxa" w:w="4680"/>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Membresías y fecha de primera vinculación (antigüedad)</w:t>
            </w:r>
          </w:p>
        </w:tc>
        <w:tc>
          <w:tcPr>
            <w:tcW w:type="dxa" w:w="4680"/>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Cohe y Coop de la red del investigador</w:t>
            </w:r>
          </w:p>
        </w:tc>
      </w:tr>
      <w:tr>
        <w:trPr>
          <w:cantSplit/>
        </w:trPr>
        <w:tc>
          <w:tcPr>
            <w:tcW w:type="dxa" w:w="4680"/>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Año de cierre de la convocatoria en curso</w:t>
            </w:r>
          </w:p>
        </w:tc>
        <w:tc>
          <w:tcPr>
            <w:tcW w:type="dxa" w:w="4680"/>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I_Investigador</w:t>
            </w:r>
            <w:r>
              <w:rPr>
                <w:rFonts w:ascii="Calibri" w:hAnsi="Calibri"/>
                <w:color w:val="334155"/>
                <w:sz w:val="17"/>
              </w:rPr>
              <w:t>: indicador de producción científica del investigador</w:t>
            </w:r>
          </w:p>
        </w:tc>
      </w:tr>
    </w:tbl>
    <w:p>
      <w:pPr>
        <w:spacing w:before="0" w:after="120"/>
      </w:pPr>
    </w:p>
    <w:p>
      <w:pPr>
        <w:spacing w:before="40" w:after="80" w:line="276" w:lineRule="auto"/>
      </w:pPr>
      <w:r>
        <w:rPr>
          <w:rFonts w:ascii="Calibri" w:hAnsi="Calibri"/>
          <w:color w:val="1E293B"/>
          <w:sz w:val="20"/>
        </w:rPr>
        <w:t>En el nivel individual el indicador de cohesión (Cohe) no aplica y se fija en 0, por definición del modelo: la cohesión es una magnitud de grupo.</w:t>
      </w:r>
    </w:p>
    <w:p>
      <w:pPr>
        <w:pStyle w:val="Heading3"/>
        <w:spacing w:before="200" w:after="60"/>
      </w:pPr>
      <w:r>
        <w:rPr>
          <w:rFonts w:ascii="Arial" w:hAnsi="Arial"/>
          <w:b/>
          <w:color w:val="0D9488"/>
          <w:sz w:val="23"/>
        </w:rPr>
        <w:t>46.3 Fórmula del indicador y valores verificados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I ≡ 3,7·Nc.Top + 2,3·Nc.A + 0,4·Nc.B + 1,5·AP + 0,5·DPC</w:t>
              <w:br/>
              <w:t xml:space="preserve">    + 1,0·Fr.A + 0,2·Fr.B + 0,1·Cohe + 0,3·Coop</w:t>
            </w:r>
          </w:p>
        </w:tc>
      </w:tr>
    </w:tbl>
    <w:p>
      <w:pPr>
        <w:spacing w:before="0" w:after="120"/>
      </w:pPr>
    </w:p>
    <w:p>
      <w:pPr>
        <w:spacing w:before="40" w:after="80" w:line="276" w:lineRule="auto"/>
      </w:pPr>
      <w:r>
        <w:rPr>
          <w:rFonts w:ascii="Calibri" w:hAnsi="Calibri"/>
          <w:color w:val="1E293B"/>
          <w:sz w:val="20"/>
        </w:rPr>
        <w:t xml:space="preserve">Valores obtenidos al ejecutar los archivos entregables </w:t>
      </w:r>
      <w:r>
        <w:rPr>
          <w:rFonts w:ascii="Consolas" w:hAnsi="Consolas"/>
          <w:color w:val="0369A1"/>
          <w:sz w:val="17"/>
        </w:rPr>
        <w:t>Taller2_WP-DN-EO.py</w:t>
      </w:r>
      <w:r>
        <w:rPr>
          <w:rFonts w:ascii="Calibri" w:hAnsi="Calibri"/>
          <w:color w:val="1E293B"/>
          <w:sz w:val="20"/>
        </w:rPr>
        <w:t xml:space="preserve"> y </w:t>
      </w:r>
      <w:r>
        <w:rPr>
          <w:rFonts w:ascii="Consolas" w:hAnsi="Consolas"/>
          <w:color w:val="0369A1"/>
          <w:sz w:val="17"/>
        </w:rPr>
        <w:t>Taller2_WP-DN-EO.cpp</w:t>
      </w:r>
      <w:r>
        <w:rPr>
          <w:rFonts w:ascii="Calibri" w:hAnsi="Calibri"/>
          <w:color w:val="1E293B"/>
          <w:sz w:val="20"/>
        </w:rPr>
        <w:t xml:space="preserve"> sobre el conjunto de datos del enunciado:</w:t>
      </w:r>
    </w:p>
    <w:tbl>
      <w:tblPr>
        <w:tblW w:type="auto" w:w="0"/>
        <w:jc w:val="center"/>
        <w:tblLook w:firstColumn="1" w:firstRow="1" w:lastColumn="0" w:lastRow="0" w:noHBand="0" w:noVBand="1" w:val="04A0"/>
        <w:tblBorders>
          <w:top w:val="single" w:sz="6" w:space="0" w:color="CBD5E1"/>
          <w:left w:val="none"/>
          <w:bottom w:val="single" w:sz="12" w:space="0" w:color="1A365D"/>
          <w:right w:val="none"/>
          <w:insideH w:val="single" w:sz="4" w:space="0" w:color="CBD5E1"/>
          <w:insideV w:val="none"/>
        </w:tblBorders>
      </w:tblPr>
      <w:tblGrid>
        <w:gridCol w:w="3120"/>
        <w:gridCol w:w="3120"/>
        <w:gridCol w:w="3120"/>
      </w:tblGrid>
      <w:tr>
        <w:trPr>
          <w:tblHeader/>
          <w:cantSplit/>
        </w:trPr>
        <w:tc>
          <w:tcPr>
            <w:tcW w:type="dxa" w:w="3643"/>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Magnitud</w:t>
            </w:r>
          </w:p>
        </w:tc>
        <w:tc>
          <w:tcPr>
            <w:tcW w:type="dxa" w:w="243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Grupo</w:t>
            </w:r>
          </w:p>
        </w:tc>
        <w:tc>
          <w:tcPr>
            <w:tcW w:type="dxa" w:w="3283"/>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Investigador</w:t>
            </w:r>
          </w:p>
        </w:tc>
      </w:tr>
      <w:tr>
        <w:trPr>
          <w:cantSplit/>
        </w:trPr>
        <w:tc>
          <w:tcPr>
            <w:tcW w:type="dxa" w:w="3643"/>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Nc.Top</w:t>
            </w:r>
          </w:p>
        </w:tc>
        <w:tc>
          <w:tcPr>
            <w:tcW w:type="dxa" w:w="243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2</w:t>
            </w:r>
          </w:p>
        </w:tc>
        <w:tc>
          <w:tcPr>
            <w:tcW w:type="dxa" w:w="3283"/>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2</w:t>
            </w:r>
          </w:p>
        </w:tc>
      </w:tr>
      <w:tr>
        <w:trPr>
          <w:cantSplit/>
        </w:trPr>
        <w:tc>
          <w:tcPr>
            <w:tcW w:type="dxa" w:w="3643"/>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Nc.A</w:t>
            </w:r>
          </w:p>
        </w:tc>
        <w:tc>
          <w:tcPr>
            <w:tcW w:type="dxa" w:w="243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1</w:t>
            </w:r>
          </w:p>
        </w:tc>
        <w:tc>
          <w:tcPr>
            <w:tcW w:type="dxa" w:w="3283"/>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1</w:t>
            </w:r>
          </w:p>
        </w:tc>
      </w:tr>
      <w:tr>
        <w:trPr>
          <w:cantSplit/>
        </w:trPr>
        <w:tc>
          <w:tcPr>
            <w:tcW w:type="dxa" w:w="3643"/>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Nc.B</w:t>
            </w:r>
          </w:p>
        </w:tc>
        <w:tc>
          <w:tcPr>
            <w:tcW w:type="dxa" w:w="243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2</w:t>
            </w:r>
          </w:p>
        </w:tc>
        <w:tc>
          <w:tcPr>
            <w:tcW w:type="dxa" w:w="3283"/>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1</w:t>
            </w:r>
          </w:p>
        </w:tc>
      </w:tr>
      <w:tr>
        <w:trPr>
          <w:cantSplit/>
        </w:trPr>
        <w:tc>
          <w:tcPr>
            <w:tcW w:type="dxa" w:w="3643"/>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AP (apropiación social)</w:t>
            </w:r>
          </w:p>
        </w:tc>
        <w:tc>
          <w:tcPr>
            <w:tcW w:type="dxa" w:w="243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0</w:t>
            </w:r>
          </w:p>
        </w:tc>
        <w:tc>
          <w:tcPr>
            <w:tcW w:type="dxa" w:w="3283"/>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0</w:t>
            </w:r>
          </w:p>
        </w:tc>
      </w:tr>
      <w:tr>
        <w:trPr>
          <w:cantSplit/>
        </w:trPr>
        <w:tc>
          <w:tcPr>
            <w:tcW w:type="dxa" w:w="3643"/>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DPC (divulgación pública)</w:t>
            </w:r>
          </w:p>
        </w:tc>
        <w:tc>
          <w:tcPr>
            <w:tcW w:type="dxa" w:w="243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1</w:t>
            </w:r>
          </w:p>
        </w:tc>
        <w:tc>
          <w:tcPr>
            <w:tcW w:type="dxa" w:w="3283"/>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0</w:t>
            </w:r>
          </w:p>
        </w:tc>
      </w:tr>
      <w:tr>
        <w:trPr>
          <w:cantSplit/>
        </w:trPr>
        <w:tc>
          <w:tcPr>
            <w:tcW w:type="dxa" w:w="3643"/>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Fr.A (formación de RH tipo A)</w:t>
            </w:r>
          </w:p>
        </w:tc>
        <w:tc>
          <w:tcPr>
            <w:tcW w:type="dxa" w:w="243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1</w:t>
            </w:r>
          </w:p>
        </w:tc>
        <w:tc>
          <w:tcPr>
            <w:tcW w:type="dxa" w:w="3283"/>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1</w:t>
            </w:r>
          </w:p>
        </w:tc>
      </w:tr>
      <w:tr>
        <w:trPr>
          <w:cantSplit/>
        </w:trPr>
        <w:tc>
          <w:tcPr>
            <w:tcW w:type="dxa" w:w="3643"/>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Fr.B (formación de RH tipo B)</w:t>
            </w:r>
          </w:p>
        </w:tc>
        <w:tc>
          <w:tcPr>
            <w:tcW w:type="dxa" w:w="243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0</w:t>
            </w:r>
          </w:p>
        </w:tc>
        <w:tc>
          <w:tcPr>
            <w:tcW w:type="dxa" w:w="3283"/>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0</w:t>
            </w:r>
          </w:p>
        </w:tc>
      </w:tr>
      <w:tr>
        <w:trPr>
          <w:cantSplit/>
        </w:trPr>
        <w:tc>
          <w:tcPr>
            <w:tcW w:type="dxa" w:w="3643"/>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Cohe (cohesión)</w:t>
            </w:r>
          </w:p>
        </w:tc>
        <w:tc>
          <w:tcPr>
            <w:tcW w:type="dxa" w:w="243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0,667</w:t>
            </w:r>
          </w:p>
        </w:tc>
        <w:tc>
          <w:tcPr>
            <w:tcW w:type="dxa" w:w="3283"/>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0,000</w:t>
            </w:r>
          </w:p>
        </w:tc>
      </w:tr>
      <w:tr>
        <w:trPr>
          <w:cantSplit/>
        </w:trPr>
        <w:tc>
          <w:tcPr>
            <w:tcW w:type="dxa" w:w="3643"/>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Coop (productos coautorizados)</w:t>
            </w:r>
          </w:p>
        </w:tc>
        <w:tc>
          <w:tcPr>
            <w:tcW w:type="dxa" w:w="243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2</w:t>
            </w:r>
          </w:p>
        </w:tc>
        <w:tc>
          <w:tcPr>
            <w:tcW w:type="dxa" w:w="3283"/>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2</w:t>
            </w:r>
          </w:p>
        </w:tc>
      </w:tr>
      <w:tr>
        <w:trPr>
          <w:cantSplit/>
        </w:trPr>
        <w:tc>
          <w:tcPr>
            <w:tcW w:type="dxa" w:w="3643"/>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Resultado del indicador</w:t>
            </w:r>
          </w:p>
        </w:tc>
        <w:tc>
          <w:tcPr>
            <w:tcW w:type="dxa" w:w="243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I_Grupo = 12,667</w:t>
            </w:r>
          </w:p>
        </w:tc>
        <w:tc>
          <w:tcPr>
            <w:tcW w:type="dxa" w:w="3283"/>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I_Investigador = 11,700</w:t>
            </w:r>
          </w:p>
        </w:tc>
      </w:tr>
    </w:tbl>
    <w:p>
      <w:pPr>
        <w:spacing w:before="0" w:after="120"/>
      </w:pPr>
    </w:p>
    <w:p>
      <w:pPr>
        <w:spacing w:before="40" w:after="80" w:line="276" w:lineRule="auto"/>
      </w:pPr>
      <w:r>
        <w:rPr>
          <w:rFonts w:ascii="Calibri" w:hAnsi="Calibri"/>
          <w:color w:val="1E293B"/>
          <w:sz w:val="20"/>
        </w:rPr>
        <w:t>El valor de Cohe del grupo se obtiene como (autores coincidentes / productos GNC+DTI) − 1 = (5 / 3) − 1 = 0,667.</w:t>
      </w:r>
    </w:p>
    <w:p>
      <w:pPr>
        <w:pStyle w:val="Heading3"/>
        <w:spacing w:before="200" w:after="60"/>
      </w:pPr>
      <w:r>
        <w:rPr>
          <w:rFonts w:ascii="Arial" w:hAnsi="Arial"/>
          <w:b/>
          <w:color w:val="0D9488"/>
          <w:sz w:val="23"/>
        </w:rPr>
        <w:t>46.4 Alcance de la medición: conteo propio frente a índice normalizado</w:t>
      </w:r>
    </w:p>
    <w:p>
      <w:pPr>
        <w:spacing w:before="40" w:after="80" w:line="276" w:lineRule="auto"/>
      </w:pPr>
      <w:r>
        <w:rPr>
          <w:rFonts w:ascii="Calibri" w:hAnsi="Calibri"/>
          <w:color w:val="1E293B"/>
          <w:sz w:val="20"/>
        </w:rPr>
        <w:t xml:space="preserve">La §3.10 pondera </w:t>
      </w:r>
      <w:r>
        <w:rPr>
          <w:rFonts w:ascii="Calibri" w:hAnsi="Calibri"/>
          <w:b/>
          <w:color w:val="1E293B"/>
          <w:sz w:val="20"/>
        </w:rPr>
        <w:t>índices</w:t>
      </w:r>
      <w:r>
        <w:rPr>
          <w:rFonts w:ascii="Calibri" w:hAnsi="Calibri"/>
          <w:color w:val="1E293B"/>
          <w:sz w:val="20"/>
        </w:rPr>
        <w:t>, no conteos crudos: la §3.9 normaliza cada índice frente al máximo alcanzado por la población de la convocatoria. Los dos archivos entregables (</w:t>
      </w:r>
      <w:r>
        <w:rPr>
          <w:rFonts w:ascii="Consolas" w:hAnsi="Consolas"/>
          <w:color w:val="0369A1"/>
          <w:sz w:val="17"/>
        </w:rPr>
        <w:t>Taller2_WP-DN-EO.py</w:t>
      </w:r>
      <w:r>
        <w:rPr>
          <w:rFonts w:ascii="Calibri" w:hAnsi="Calibri"/>
          <w:color w:val="1E293B"/>
          <w:sz w:val="20"/>
        </w:rPr>
        <w:t xml:space="preserve"> y </w:t>
      </w:r>
      <w:r>
        <w:rPr>
          <w:rFonts w:ascii="Consolas" w:hAnsi="Consolas"/>
          <w:color w:val="0369A1"/>
          <w:sz w:val="17"/>
        </w:rPr>
        <w:t>Taller2_WP-DN-EO.cpp</w:t>
      </w:r>
      <w:r>
        <w:rPr>
          <w:rFonts w:ascii="Calibri" w:hAnsi="Calibri"/>
          <w:color w:val="1E293B"/>
          <w:sz w:val="20"/>
        </w:rPr>
        <w:t xml:space="preserve">) resuelven el ejercicio con el </w:t>
      </w:r>
      <w:r>
        <w:rPr>
          <w:rFonts w:ascii="Calibri" w:hAnsi="Calibri"/>
          <w:b/>
          <w:color w:val="1E293B"/>
          <w:sz w:val="20"/>
        </w:rPr>
        <w:t>conteo</w:t>
      </w:r>
      <w:r>
        <w:rPr>
          <w:rFonts w:ascii="Calibri" w:hAnsi="Calibri"/>
          <w:color w:val="1E293B"/>
          <w:sz w:val="20"/>
        </w:rPr>
        <w:t xml:space="preserve"> de los productos de la URL del enunciado, y esa es la lectura correcta para el alcance del Parcial 2: el enunciado entrega una sola URL (un grupo y un investigador), de modo que no existe población contra la cual normalizar y las §3.9 y §3.8.3 son incalculables por diseño en ese escenario.</w:t>
      </w:r>
    </w:p>
    <w:p>
      <w:pPr>
        <w:spacing w:before="40" w:after="80" w:line="276" w:lineRule="auto"/>
      </w:pPr>
      <w:r>
        <w:rPr>
          <w:rFonts w:ascii="Calibri" w:hAnsi="Calibri"/>
          <w:color w:val="1E293B"/>
          <w:sz w:val="20"/>
        </w:rPr>
        <w:t xml:space="preserve">PEA-i implementa y distingue ambas lecturas, con rótulo explícito en el payload, la API y la consola. En la interfaz se exhibe </w:t>
      </w:r>
      <w:r>
        <w:rPr>
          <w:rFonts w:ascii="Calibri" w:hAnsi="Calibri"/>
          <w:b/>
          <w:color w:val="1E293B"/>
          <w:sz w:val="20"/>
        </w:rPr>
        <w:t>exclusivamente la lectura oficial</w:t>
      </w:r>
      <w:r>
        <w:rPr>
          <w:rFonts w:ascii="Calibri" w:hAnsi="Calibri"/>
          <w:color w:val="1E293B"/>
          <w:sz w:val="20"/>
        </w:rPr>
        <w:t xml:space="preserve"> (grupo) o la adaptación individual declarada, siempre rotulada "NO oficial"; el conteo ponderado legacy </w:t>
      </w:r>
      <w:r>
        <w:rPr>
          <w:rFonts w:ascii="Calibri" w:hAnsi="Calibri"/>
          <w:b/>
          <w:color w:val="1E293B"/>
          <w:sz w:val="20"/>
        </w:rPr>
        <w:t>no se muestra en ninguna pantalla</w:t>
      </w:r>
      <w:r>
        <w:rPr>
          <w:rFonts w:ascii="Calibri" w:hAnsi="Calibri"/>
          <w:color w:val="1E293B"/>
          <w:sz w:val="20"/>
        </w:rPr>
        <w:t xml:space="preserve"> desde el 2026-10-24 y queda únicamente en el payload de la API, para trazabilidad:</w:t>
      </w:r>
    </w:p>
    <w:tbl>
      <w:tblPr>
        <w:tblW w:type="auto" w:w="0"/>
        <w:jc w:val="center"/>
        <w:tblLook w:firstColumn="1" w:firstRow="1" w:lastColumn="0" w:lastRow="0" w:noHBand="0" w:noVBand="1" w:val="04A0"/>
        <w:tblBorders>
          <w:top w:val="single" w:sz="6" w:space="0" w:color="CBD5E1"/>
          <w:left w:val="none"/>
          <w:bottom w:val="single" w:sz="12" w:space="0" w:color="1A365D"/>
          <w:right w:val="none"/>
          <w:insideH w:val="single" w:sz="4" w:space="0" w:color="CBD5E1"/>
          <w:insideV w:val="none"/>
        </w:tblBorders>
      </w:tblPr>
      <w:tblGrid>
        <w:gridCol w:w="2340"/>
        <w:gridCol w:w="2340"/>
        <w:gridCol w:w="2340"/>
        <w:gridCol w:w="2340"/>
      </w:tblGrid>
      <w:tr>
        <w:trPr>
          <w:tblHeader/>
          <w:cantSplit/>
        </w:trPr>
        <w:tc>
          <w:tcPr>
            <w:tcW w:type="dxa" w:w="1483"/>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Artefacto</w:t>
            </w:r>
          </w:p>
        </w:tc>
        <w:tc>
          <w:tcPr>
            <w:tcW w:type="dxa" w:w="2621"/>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Ubicación en el repositorio</w:t>
            </w:r>
          </w:p>
        </w:tc>
        <w:tc>
          <w:tcPr>
            <w:tcW w:type="dxa" w:w="2621"/>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Magnitud que produce</w:t>
            </w:r>
          </w:p>
        </w:tc>
        <w:tc>
          <w:tcPr>
            <w:tcW w:type="dxa" w:w="2621"/>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Rótulo</w:t>
            </w:r>
          </w:p>
        </w:tc>
      </w:tr>
      <w:tr>
        <w:trPr>
          <w:cantSplit/>
        </w:trPr>
        <w:tc>
          <w:tcPr>
            <w:tcW w:type="dxa" w:w="1483"/>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Archivos entregables del Parcial 2</w:t>
            </w:r>
          </w:p>
        </w:tc>
        <w:tc>
          <w:tcPr>
            <w:tcW w:type="dxa" w:w="2621"/>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Taller2_WP-DN-EO.py</w:t>
            </w:r>
            <w:r>
              <w:rPr>
                <w:rFonts w:ascii="Calibri" w:hAnsi="Calibri"/>
                <w:color w:val="334155"/>
                <w:sz w:val="17"/>
              </w:rPr>
              <w:t xml:space="preserve">, </w:t>
            </w:r>
            <w:r>
              <w:rPr>
                <w:rFonts w:ascii="Consolas" w:hAnsi="Consolas"/>
                <w:color w:val="0369A1"/>
                <w:sz w:val="16"/>
              </w:rPr>
              <w:t>Taller2_WP-DN-EO.cpp</w:t>
            </w:r>
          </w:p>
        </w:tc>
        <w:tc>
          <w:tcPr>
            <w:tcW w:type="dxa" w:w="2621"/>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Suma ponderada de </w:t>
            </w:r>
            <w:r>
              <w:rPr>
                <w:rFonts w:ascii="Calibri" w:hAnsi="Calibri"/>
                <w:b/>
                <w:color w:val="334155"/>
                <w:sz w:val="17"/>
              </w:rPr>
              <w:t>conteos</w:t>
            </w:r>
            <w:r>
              <w:rPr>
                <w:rFonts w:ascii="Calibri" w:hAnsi="Calibri"/>
                <w:color w:val="334155"/>
                <w:sz w:val="17"/>
              </w:rPr>
              <w:t xml:space="preserve"> sobre la URL del enunciado</w:t>
            </w:r>
          </w:p>
        </w:tc>
        <w:tc>
          <w:tcPr>
            <w:tcW w:type="dxa" w:w="2621"/>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Respuesta del ejercicio</w:t>
            </w:r>
          </w:p>
        </w:tc>
      </w:tr>
      <w:tr>
        <w:trPr>
          <w:cantSplit/>
        </w:trPr>
        <w:tc>
          <w:tcPr>
            <w:tcW w:type="dxa" w:w="1483"/>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Evaluador oficial de la API</w:t>
            </w:r>
          </w:p>
        </w:tc>
        <w:tc>
          <w:tcPr>
            <w:tcW w:type="dxa" w:w="2621"/>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backend/app/evaluator/official_indicator.py</w:t>
            </w:r>
            <w:r>
              <w:rPr>
                <w:rFonts w:ascii="Calibri" w:hAnsi="Calibri"/>
                <w:color w:val="334155"/>
                <w:sz w:val="17"/>
              </w:rPr>
              <w:t xml:space="preserve"> (grupo) y </w:t>
            </w:r>
            <w:r>
              <w:rPr>
                <w:rFonts w:ascii="Consolas" w:hAnsi="Consolas"/>
                <w:color w:val="0369A1"/>
                <w:sz w:val="16"/>
              </w:rPr>
              <w:t>official_researcher.py</w:t>
            </w:r>
            <w:r>
              <w:rPr>
                <w:rFonts w:ascii="Calibri" w:hAnsi="Calibri"/>
                <w:color w:val="334155"/>
                <w:sz w:val="17"/>
              </w:rPr>
              <w:t xml:space="preserve"> (investigador)</w:t>
            </w:r>
          </w:p>
        </w:tc>
        <w:tc>
          <w:tcPr>
            <w:tcW w:type="dxa" w:w="2621"/>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Índice </w:t>
            </w:r>
            <w:r>
              <w:rPr>
                <w:rFonts w:ascii="Calibri" w:hAnsi="Calibri"/>
                <w:b/>
                <w:color w:val="334155"/>
                <w:sz w:val="17"/>
              </w:rPr>
              <w:t>normalizado</w:t>
            </w:r>
            <w:r>
              <w:rPr>
                <w:rFonts w:ascii="Calibri" w:hAnsi="Calibri"/>
                <w:color w:val="334155"/>
                <w:sz w:val="17"/>
              </w:rPr>
              <w:t xml:space="preserve"> (§3.9) sobre la población de la convocatoria</w:t>
            </w:r>
          </w:p>
        </w:tc>
        <w:tc>
          <w:tcPr>
            <w:tcW w:type="dxa" w:w="2621"/>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modelo_oficial_2024</w:t>
            </w:r>
            <w:r>
              <w:rPr>
                <w:rFonts w:ascii="Calibri" w:hAnsi="Calibri"/>
                <w:color w:val="334155"/>
                <w:sz w:val="17"/>
              </w:rPr>
              <w:t xml:space="preserve"> / </w:t>
            </w:r>
            <w:r>
              <w:rPr>
                <w:rFonts w:ascii="Consolas" w:hAnsi="Consolas"/>
                <w:color w:val="0369A1"/>
                <w:sz w:val="16"/>
              </w:rPr>
              <w:t>adaptacion_individual_2024</w:t>
            </w:r>
          </w:p>
        </w:tc>
      </w:tr>
      <w:tr>
        <w:trPr>
          <w:cantSplit/>
        </w:trPr>
        <w:tc>
          <w:tcPr>
            <w:tcW w:type="dxa" w:w="1483"/>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Espejo C++ del evaluador oficial</w:t>
            </w:r>
          </w:p>
        </w:tc>
        <w:tc>
          <w:tcPr>
            <w:tcW w:type="dxa" w:w="2621"/>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core_cpp/src/services/official_indicator.cpp</w:t>
            </w:r>
            <w:r>
              <w:rPr>
                <w:rFonts w:ascii="Calibri" w:hAnsi="Calibri"/>
                <w:color w:val="334155"/>
                <w:sz w:val="17"/>
              </w:rPr>
              <w:t xml:space="preserve">, comando </w:t>
            </w:r>
            <w:r>
              <w:rPr>
                <w:rFonts w:ascii="Consolas" w:hAnsi="Consolas"/>
                <w:color w:val="0369A1"/>
                <w:sz w:val="16"/>
              </w:rPr>
              <w:t>pea_cli indicator</w:t>
            </w:r>
          </w:p>
        </w:tc>
        <w:tc>
          <w:tcPr>
            <w:tcW w:type="dxa" w:w="2621"/>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Idéntico al anterior (paridad verificada por </w:t>
            </w:r>
            <w:r>
              <w:rPr>
                <w:rFonts w:ascii="Consolas" w:hAnsi="Consolas"/>
                <w:color w:val="0369A1"/>
                <w:sz w:val="16"/>
              </w:rPr>
              <w:t>scripts/pea_paridad_indicador.py</w:t>
            </w:r>
            <w:r>
              <w:rPr>
                <w:rFonts w:ascii="Calibri" w:hAnsi="Calibri"/>
                <w:color w:val="334155"/>
                <w:sz w:val="17"/>
              </w:rPr>
              <w:t xml:space="preserve"> y </w:t>
            </w:r>
            <w:r>
              <w:rPr>
                <w:rFonts w:ascii="Consolas" w:hAnsi="Consolas"/>
                <w:color w:val="0369A1"/>
                <w:sz w:val="16"/>
              </w:rPr>
              <w:t>scripts/pea_paridad_individual.py</w:t>
            </w:r>
            <w:r>
              <w:rPr>
                <w:rFonts w:ascii="Calibri" w:hAnsi="Calibri"/>
                <w:color w:val="334155"/>
                <w:sz w:val="17"/>
              </w:rPr>
              <w:t>)</w:t>
            </w:r>
          </w:p>
        </w:tc>
        <w:tc>
          <w:tcPr>
            <w:tcW w:type="dxa" w:w="2621"/>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Salida de consola</w:t>
            </w:r>
          </w:p>
        </w:tc>
      </w:tr>
      <w:tr>
        <w:trPr>
          <w:cantSplit/>
        </w:trPr>
        <w:tc>
          <w:tcPr>
            <w:tcW w:type="dxa" w:w="1483"/>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Conteo ponderado conservado</w:t>
            </w:r>
          </w:p>
        </w:tc>
        <w:tc>
          <w:tcPr>
            <w:tcW w:type="dxa" w:w="2621"/>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Payload de la API (no en la interfaz)</w:t>
            </w:r>
          </w:p>
        </w:tc>
        <w:tc>
          <w:tcPr>
            <w:tcW w:type="dxa" w:w="2621"/>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Suma ponderada de conteos crudos</w:t>
            </w:r>
          </w:p>
        </w:tc>
        <w:tc>
          <w:tcPr>
            <w:tcW w:type="dxa" w:w="2621"/>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i_grupo_legacy</w:t>
            </w:r>
            <w:r>
              <w:rPr>
                <w:rFonts w:ascii="Calibri" w:hAnsi="Calibri"/>
                <w:color w:val="334155"/>
                <w:sz w:val="17"/>
              </w:rPr>
              <w:t xml:space="preserve"> / </w:t>
            </w:r>
            <w:r>
              <w:rPr>
                <w:rFonts w:ascii="Consolas" w:hAnsi="Consolas"/>
                <w:color w:val="0369A1"/>
                <w:sz w:val="16"/>
              </w:rPr>
              <w:t>i_investigador_legacy</w:t>
            </w:r>
            <w:r>
              <w:rPr>
                <w:rFonts w:ascii="Calibri" w:hAnsi="Calibri"/>
                <w:color w:val="334155"/>
                <w:sz w:val="17"/>
              </w:rPr>
              <w:t xml:space="preserve"> — </w:t>
            </w:r>
            <w:r>
              <w:rPr>
                <w:rFonts w:ascii="Calibri" w:hAnsi="Calibri"/>
                <w:b/>
                <w:color w:val="334155"/>
                <w:sz w:val="17"/>
              </w:rPr>
              <w:t>NO es un indicador del modelo 2024</w:t>
            </w:r>
            <w:r>
              <w:rPr>
                <w:rFonts w:ascii="Calibri" w:hAnsi="Calibri"/>
                <w:color w:val="334155"/>
                <w:sz w:val="17"/>
              </w:rPr>
              <w:t>, se conserva solo por trazabilidad</w:t>
            </w:r>
          </w:p>
        </w:tc>
      </w:tr>
    </w:tbl>
    <w:p>
      <w:pPr>
        <w:spacing w:before="0" w:after="120"/>
      </w:pPr>
    </w:p>
    <w:p>
      <w:pPr>
        <w:spacing w:before="40" w:after="80" w:line="276" w:lineRule="auto"/>
      </w:pPr>
      <w:r>
        <w:rPr>
          <w:rFonts w:ascii="Calibri" w:hAnsi="Calibri"/>
          <w:color w:val="1E293B"/>
          <w:sz w:val="20"/>
        </w:rPr>
        <w:t xml:space="preserve">La adaptación individual se declara como </w:t>
      </w:r>
      <w:r>
        <w:rPr>
          <w:rFonts w:ascii="Calibri" w:hAnsi="Calibri"/>
          <w:b/>
          <w:color w:val="1E293B"/>
          <w:sz w:val="20"/>
        </w:rPr>
        <w:t>no oficial</w:t>
      </w:r>
      <w:r>
        <w:rPr>
          <w:rFonts w:ascii="Calibri" w:hAnsi="Calibri"/>
          <w:color w:val="1E293B"/>
          <w:sz w:val="20"/>
        </w:rPr>
        <w:t xml:space="preserve"> de forma explícita: el modelo 2024 define el indicador de producción a nivel de grupo, de modo que la lectura individual se construye con el mismo pipeline del grupo, sustituyendo la edad del grupo por la antigüedad del investigador y rotulando las tres adaptaciones en la interfaz.</w:t>
      </w:r>
    </w:p>
    <w:p>
      <w:pPr>
        <w:pStyle w:val="Heading3"/>
        <w:spacing w:before="200" w:after="60"/>
      </w:pPr>
      <w:r>
        <w:rPr>
          <w:rFonts w:ascii="Arial" w:hAnsi="Arial"/>
          <w:b/>
          <w:color w:val="0D9488"/>
          <w:sz w:val="23"/>
        </w:rPr>
        <w:t>46.5 Evidencia de paridad y de pruebas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python -X utf8 scripts/pea_paridad_indicador.py --golden     # CONTRATO CONFIRMADO (grupo)</w:t>
              <w:br/>
              <w:t>python -X utf8 scripts/pea_paridad_individual.py --golden    # CONTRATO CONFIRMADO (individual)</w:t>
              <w:br/>
              <w:t>python -X utf8 scripts/gen_contrato_oficial.py --check        # CONTRATO AL DIA</w:t>
              <w:br/>
              <w:t>python -X utf8 scripts/gen_contrato_individual.py --check     # CONTRATO INDIVIDUAL AL DIA</w:t>
              <w:br/>
              <w:t>core_cpp/build2/Release/pea_tests_indicador.exe              # 283 aserciones, 0 fallos</w:t>
              <w:br/>
              <w:t>python -X utf8 -m pytest backend/tests -q                     # 235 aprobadas, 19 saltadas por el gate de base de datos</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718096"/>
        <w:sz w:val="17"/>
      </w:rPr>
      <w:t>Grupo WP-DN-EO — Especificación Técnica Integral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Universidad Popular del Cesar | PEA-i — Parcial 2 (Estructura de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