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D9B6" w14:textId="77777777" w:rsidR="00141611" w:rsidRPr="00141611" w:rsidRDefault="00141611" w:rsidP="00141611">
      <w:pPr>
        <w:pStyle w:val="Heading3"/>
        <w:rPr>
          <w:rFonts w:ascii="Calibri" w:eastAsia="Times New Roman" w:hAnsi="Calibri" w:cs="Calibri"/>
          <w:color w:val="000000"/>
          <w:kern w:val="0"/>
          <w:sz w:val="27"/>
          <w:szCs w:val="27"/>
          <w14:ligatures w14:val="none"/>
        </w:rPr>
      </w:pPr>
      <w:r w:rsidRPr="00141611">
        <w:rPr>
          <w:rFonts w:ascii="Calibri" w:hAnsi="Calibri" w:cs="Calibri"/>
          <w:lang w:val="es-ES_tradnl"/>
        </w:rPr>
        <w:t xml:space="preserve">Riesgos – Anexo </w:t>
      </w:r>
      <w:proofErr w:type="spellStart"/>
      <w:r w:rsidRPr="00141611">
        <w:rPr>
          <w:rFonts w:ascii="Calibri" w:hAnsi="Calibri" w:cs="Calibri"/>
          <w:lang w:val="es-ES_tradnl"/>
        </w:rPr>
        <w:t>Tecnico</w:t>
      </w:r>
      <w:proofErr w:type="spellEnd"/>
      <w:r w:rsidRPr="00141611">
        <w:rPr>
          <w:rFonts w:ascii="Calibri" w:hAnsi="Calibri" w:cs="Calibri"/>
          <w:lang w:val="es-ES_tradnl"/>
        </w:rPr>
        <w:t xml:space="preserve"> – Estupendo </w:t>
      </w:r>
      <w:r w:rsidRPr="00141611">
        <w:rPr>
          <w:rFonts w:ascii="Calibri" w:hAnsi="Calibri" w:cs="Calibri"/>
          <w:lang w:val="es-ES_tradnl"/>
        </w:rPr>
        <w:br/>
      </w:r>
      <w:r w:rsidRPr="00141611">
        <w:rPr>
          <w:rFonts w:ascii="Calibri" w:hAnsi="Calibri" w:cs="Calibri"/>
          <w:lang w:val="es-ES_tradnl"/>
        </w:rPr>
        <w:br/>
      </w:r>
      <w:r w:rsidRPr="00141611">
        <w:rPr>
          <w:rFonts w:ascii="Calibri" w:eastAsia="Times New Roman" w:hAnsi="Calibri" w:cs="Calibri"/>
          <w:color w:val="000000"/>
          <w:kern w:val="0"/>
          <w:sz w:val="27"/>
          <w:szCs w:val="27"/>
          <w14:ligatures w14:val="none"/>
        </w:rPr>
        <w:t>1. Riesgos en la Descomposición de Microservicios y Acoplamiento de Datos</w:t>
      </w:r>
    </w:p>
    <w:p w14:paraId="178AD185" w14:textId="77777777" w:rsidR="00141611" w:rsidRPr="00141611" w:rsidRDefault="00141611" w:rsidP="00141611">
      <w:pPr>
        <w:numPr>
          <w:ilvl w:val="0"/>
          <w:numId w:val="1"/>
        </w:numPr>
        <w:spacing w:before="100" w:beforeAutospacing="1" w:after="100" w:afterAutospacing="1" w:line="240" w:lineRule="auto"/>
        <w:rPr>
          <w:rFonts w:ascii="Calibri" w:eastAsia="Times New Roman" w:hAnsi="Calibri" w:cs="Calibri"/>
          <w:color w:val="000000"/>
          <w:kern w:val="0"/>
          <w14:ligatures w14:val="none"/>
        </w:rPr>
      </w:pPr>
      <w:r w:rsidRPr="00141611">
        <w:rPr>
          <w:rFonts w:ascii="Calibri" w:eastAsia="Times New Roman" w:hAnsi="Calibri" w:cs="Calibri"/>
          <w:color w:val="000000"/>
          <w:kern w:val="0"/>
          <w14:ligatures w14:val="none"/>
        </w:rPr>
        <w:t>Riesgo del "Monolito Distribuido": El anexo menciona una "Descomposición modular en microservicios Anexo de listado de microservicios que será un archivo vivo en el proceso de desarrollo". Si bien la flexibilidad es buena, la ausencia de un plan detallado y predefinido de descomposición en esta etapa, especialmente dada la complejidad de los "controladores gordos" PHP existentes , es un riesgo arquitectónico crítico. Sin límites de microservicios claramente definidos basados en capacidades de negocio y contextos delimitados, existe una alta probabilidad de crear un "monolito distribuido". Esto significa que los servicios, aunque separados físicamente, seguirán estando fuertemente acoplados, compartiendo datos de forma inapropiada y teniendo interdependencias que anulan los beneficios principales de los microservicios (despliegue independiente, escalado, heterogeneidad tecnológica).</w:t>
      </w:r>
    </w:p>
    <w:p w14:paraId="439489D9" w14:textId="77777777" w:rsidR="00141611" w:rsidRPr="00141611" w:rsidRDefault="00141611" w:rsidP="00141611">
      <w:pPr>
        <w:numPr>
          <w:ilvl w:val="0"/>
          <w:numId w:val="1"/>
        </w:numPr>
        <w:spacing w:before="100" w:beforeAutospacing="1" w:after="100" w:afterAutospacing="1" w:line="240" w:lineRule="auto"/>
        <w:rPr>
          <w:rFonts w:ascii="Calibri" w:eastAsia="Times New Roman" w:hAnsi="Calibri" w:cs="Calibri"/>
          <w:color w:val="000000"/>
          <w:kern w:val="0"/>
          <w14:ligatures w14:val="none"/>
        </w:rPr>
      </w:pPr>
      <w:r w:rsidRPr="00141611">
        <w:rPr>
          <w:rFonts w:ascii="Calibri" w:eastAsia="Times New Roman" w:hAnsi="Calibri" w:cs="Calibri"/>
          <w:color w:val="000000"/>
          <w:kern w:val="0"/>
          <w14:ligatures w14:val="none"/>
        </w:rPr>
        <w:t>Acoplamiento de Base de Datos: Se especifica que "Se mantiene la configuración de Mongo Atlas" y que los microservicios interactuarán con ella. En una verdadera arquitectura de microservicios, se aboga por el patrón de "base de datos por servicio" para garantizar la independencia. Mantener una única instancia de MongoDB, potencialmente grande, compartida entre múltiples microservicios sin límites claros de propiedad de datos puede llevar a una capa de datos fuertemente acoplada. Esto limita la independencia de los microservicios y puede generar problemas de evolución del esquema y consistencia. No se detalla cómo se garantizará la independencia de los datos y se evitará que los servicios accedan directamente a los datos de otros servicios.</w:t>
      </w:r>
    </w:p>
    <w:p w14:paraId="34791BF4" w14:textId="77777777" w:rsidR="00141611" w:rsidRPr="00141611" w:rsidRDefault="00141611" w:rsidP="00141611">
      <w:pPr>
        <w:spacing w:before="100" w:beforeAutospacing="1" w:after="100" w:afterAutospacing="1" w:line="240" w:lineRule="auto"/>
        <w:outlineLvl w:val="2"/>
        <w:rPr>
          <w:rFonts w:ascii="Calibri" w:eastAsia="Times New Roman" w:hAnsi="Calibri" w:cs="Calibri"/>
          <w:color w:val="000000"/>
          <w:kern w:val="0"/>
          <w:sz w:val="27"/>
          <w:szCs w:val="27"/>
          <w14:ligatures w14:val="none"/>
        </w:rPr>
      </w:pPr>
      <w:r w:rsidRPr="00141611">
        <w:rPr>
          <w:rFonts w:ascii="Calibri" w:eastAsia="Times New Roman" w:hAnsi="Calibri" w:cs="Calibri"/>
          <w:color w:val="000000"/>
          <w:kern w:val="0"/>
          <w:sz w:val="27"/>
          <w:szCs w:val="27"/>
          <w14:ligatures w14:val="none"/>
        </w:rPr>
        <w:t>2. Ambigüedad y Fragmentación en la Estrategia de CI/CD</w:t>
      </w:r>
    </w:p>
    <w:p w14:paraId="25323C7B" w14:textId="77777777" w:rsidR="00141611" w:rsidRPr="00141611" w:rsidRDefault="00141611" w:rsidP="00141611">
      <w:pPr>
        <w:numPr>
          <w:ilvl w:val="0"/>
          <w:numId w:val="2"/>
        </w:numPr>
        <w:spacing w:before="100" w:beforeAutospacing="1" w:after="100" w:afterAutospacing="1" w:line="240" w:lineRule="auto"/>
        <w:rPr>
          <w:rFonts w:ascii="Calibri" w:eastAsia="Times New Roman" w:hAnsi="Calibri" w:cs="Calibri"/>
          <w:color w:val="000000"/>
          <w:kern w:val="0"/>
          <w14:ligatures w14:val="none"/>
        </w:rPr>
      </w:pPr>
      <w:r w:rsidRPr="00141611">
        <w:rPr>
          <w:rFonts w:ascii="Calibri" w:eastAsia="Times New Roman" w:hAnsi="Calibri" w:cs="Calibri"/>
          <w:color w:val="000000"/>
          <w:kern w:val="0"/>
          <w14:ligatures w14:val="none"/>
        </w:rPr>
        <w:t>Doble Herramienta de CI/CD: El documento menciona tanto el uso de AWS CodeSuite (CodePipeline, CodeCommit, CodeBuild, CloudFormation) como la fuerte indicación de utilizar "Github y action" para el nuevo proyecto. Esta ambigüedad o la sugerencia de una estrategia de doble herramienta puede introducir una complejidad significativa en la gestión, la consistencia de las pipelines y los requisitos de habilidades para el equipo de operaciones. El uso de dos conjuntos de herramientas de CI/CD diferentes para distintas partes de la aplicación podría llevar a prácticas de despliegue inconsistentes y a una mayor sobrecarga operativa. Una estrategia unificada generalmente simplifica las operaciones y mejora la consistencia.</w:t>
      </w:r>
    </w:p>
    <w:p w14:paraId="1346F02F" w14:textId="77777777" w:rsidR="00141611" w:rsidRPr="00141611" w:rsidRDefault="00141611" w:rsidP="00141611">
      <w:pPr>
        <w:numPr>
          <w:ilvl w:val="0"/>
          <w:numId w:val="2"/>
        </w:numPr>
        <w:spacing w:before="100" w:beforeAutospacing="1" w:after="100" w:afterAutospacing="1" w:line="240" w:lineRule="auto"/>
        <w:rPr>
          <w:rFonts w:ascii="Calibri" w:eastAsia="Times New Roman" w:hAnsi="Calibri" w:cs="Calibri"/>
          <w:color w:val="000000"/>
          <w:kern w:val="0"/>
          <w14:ligatures w14:val="none"/>
        </w:rPr>
      </w:pPr>
      <w:r w:rsidRPr="00141611">
        <w:rPr>
          <w:rFonts w:ascii="Calibri" w:eastAsia="Times New Roman" w:hAnsi="Calibri" w:cs="Calibri"/>
          <w:color w:val="000000"/>
          <w:kern w:val="0"/>
          <w14:ligatures w14:val="none"/>
        </w:rPr>
        <w:t>Falta de Detalle en Rollbacks: Aunque se menciona la automatización de despliegues, el anexo no detalla explícitamente los procedimientos de rollback. En un entorno de microservicios, la capacidad de revertir rápidamente a una versión anterior en caso de problemas en producción es crucial. La dependencia de la Infraestructura como Código (CloudFormation) para la recuperación de desastres es buena, pero no sustituye una estrategia de rollback de aplicación bien definida.</w:t>
      </w:r>
    </w:p>
    <w:p w14:paraId="23790914" w14:textId="77777777" w:rsidR="00141611" w:rsidRPr="00141611" w:rsidRDefault="00141611" w:rsidP="00141611">
      <w:pPr>
        <w:spacing w:before="100" w:beforeAutospacing="1" w:after="100" w:afterAutospacing="1" w:line="240" w:lineRule="auto"/>
        <w:outlineLvl w:val="2"/>
        <w:rPr>
          <w:rFonts w:ascii="Calibri" w:eastAsia="Times New Roman" w:hAnsi="Calibri" w:cs="Calibri"/>
          <w:color w:val="000000"/>
          <w:kern w:val="0"/>
          <w:sz w:val="27"/>
          <w:szCs w:val="27"/>
          <w14:ligatures w14:val="none"/>
        </w:rPr>
      </w:pPr>
      <w:r w:rsidRPr="00141611">
        <w:rPr>
          <w:rFonts w:ascii="Calibri" w:eastAsia="Times New Roman" w:hAnsi="Calibri" w:cs="Calibri"/>
          <w:color w:val="000000"/>
          <w:kern w:val="0"/>
          <w:sz w:val="27"/>
          <w:szCs w:val="27"/>
          <w14:ligatures w14:val="none"/>
        </w:rPr>
        <w:lastRenderedPageBreak/>
        <w:t>3. Observabilidad Insuficiente para Microservicios</w:t>
      </w:r>
    </w:p>
    <w:p w14:paraId="755DFB1C" w14:textId="77777777" w:rsidR="00141611" w:rsidRPr="00141611" w:rsidRDefault="00141611" w:rsidP="00141611">
      <w:pPr>
        <w:numPr>
          <w:ilvl w:val="0"/>
          <w:numId w:val="3"/>
        </w:numPr>
        <w:spacing w:before="100" w:beforeAutospacing="1" w:after="100" w:afterAutospacing="1" w:line="240" w:lineRule="auto"/>
        <w:rPr>
          <w:rFonts w:ascii="Calibri" w:eastAsia="Times New Roman" w:hAnsi="Calibri" w:cs="Calibri"/>
          <w:color w:val="000000"/>
          <w:kern w:val="0"/>
          <w14:ligatures w14:val="none"/>
        </w:rPr>
      </w:pPr>
      <w:r w:rsidRPr="00141611">
        <w:rPr>
          <w:rFonts w:ascii="Calibri" w:eastAsia="Times New Roman" w:hAnsi="Calibri" w:cs="Calibri"/>
          <w:color w:val="000000"/>
          <w:kern w:val="0"/>
          <w14:ligatures w14:val="none"/>
        </w:rPr>
        <w:t>Monitoreo Básico: Si bien Amazon CloudWatch es fundamental para la observabilidad y se utilizará para logs y métricas básicas (CPU, memoria, latencia del ALB) , una arquitectura de microservicios introduce una complejidad considerable en la comprensión de los flujos de transacciones de extremo a extremo. Las métricas básicas y los logs centralizados, aunque útiles, a menudo son insuficientes para este nivel de observabilidad en sistemas distribuidos.</w:t>
      </w:r>
    </w:p>
    <w:p w14:paraId="31775FE0" w14:textId="77777777" w:rsidR="00141611" w:rsidRPr="00141611" w:rsidRDefault="00141611" w:rsidP="00141611">
      <w:pPr>
        <w:numPr>
          <w:ilvl w:val="0"/>
          <w:numId w:val="3"/>
        </w:numPr>
        <w:spacing w:before="100" w:beforeAutospacing="1" w:after="100" w:afterAutospacing="1" w:line="240" w:lineRule="auto"/>
        <w:rPr>
          <w:rFonts w:ascii="Calibri" w:eastAsia="Times New Roman" w:hAnsi="Calibri" w:cs="Calibri"/>
          <w:color w:val="000000"/>
          <w:kern w:val="0"/>
          <w14:ligatures w14:val="none"/>
        </w:rPr>
      </w:pPr>
      <w:r w:rsidRPr="00141611">
        <w:rPr>
          <w:rFonts w:ascii="Calibri" w:eastAsia="Times New Roman" w:hAnsi="Calibri" w:cs="Calibri"/>
          <w:color w:val="000000"/>
          <w:kern w:val="0"/>
          <w14:ligatures w14:val="none"/>
        </w:rPr>
        <w:t>Omisión de Rastreo Distribuido y APM: No se mencionan planes para implementar herramientas de observabilidad más avanzadas, como el rastreo distribuido (por ejemplo, AWS X-Ray o integración con OpenTelemetry) o soluciones de Monitoreo del Rendimiento de Aplicaciones (APM). Estas herramientas son cruciales para obtener una visión profunda de cómo las solicitudes se propagan a través de los microservicios, identificar los factores que contribuyen a la latencia y localizar rápidamente la causa raíz de los problemas en un entorno distribuido complejo. Sin ellas, la resolución de problemas y el mantenimiento del rendimiento en Estupendo 2.0 podrían volverse extremadamente desafiantes y consumir mucho tiempo.</w:t>
      </w:r>
    </w:p>
    <w:p w14:paraId="4BA5F435" w14:textId="77777777" w:rsidR="00141611" w:rsidRPr="00141611" w:rsidRDefault="00141611" w:rsidP="00141611">
      <w:pPr>
        <w:spacing w:before="100" w:beforeAutospacing="1" w:after="100" w:afterAutospacing="1" w:line="240" w:lineRule="auto"/>
        <w:outlineLvl w:val="2"/>
        <w:rPr>
          <w:rFonts w:ascii="Calibri" w:eastAsia="Times New Roman" w:hAnsi="Calibri" w:cs="Calibri"/>
          <w:color w:val="000000"/>
          <w:kern w:val="0"/>
          <w:sz w:val="27"/>
          <w:szCs w:val="27"/>
          <w14:ligatures w14:val="none"/>
        </w:rPr>
      </w:pPr>
      <w:r w:rsidRPr="00141611">
        <w:rPr>
          <w:rFonts w:ascii="Calibri" w:eastAsia="Times New Roman" w:hAnsi="Calibri" w:cs="Calibri"/>
          <w:color w:val="000000"/>
          <w:kern w:val="0"/>
          <w:sz w:val="27"/>
          <w:szCs w:val="27"/>
          <w14:ligatures w14:val="none"/>
        </w:rPr>
        <w:t>4. Detalles de Seguridad Incompletos</w:t>
      </w:r>
    </w:p>
    <w:p w14:paraId="38967B4F" w14:textId="77777777" w:rsidR="00141611" w:rsidRPr="00141611" w:rsidRDefault="00141611" w:rsidP="00141611">
      <w:pPr>
        <w:numPr>
          <w:ilvl w:val="0"/>
          <w:numId w:val="4"/>
        </w:numPr>
        <w:spacing w:before="100" w:beforeAutospacing="1" w:after="100" w:afterAutospacing="1" w:line="240" w:lineRule="auto"/>
        <w:rPr>
          <w:rFonts w:ascii="Calibri" w:eastAsia="Times New Roman" w:hAnsi="Calibri" w:cs="Calibri"/>
          <w:color w:val="000000"/>
          <w:kern w:val="0"/>
          <w14:ligatures w14:val="none"/>
        </w:rPr>
      </w:pPr>
      <w:r w:rsidRPr="00141611">
        <w:rPr>
          <w:rFonts w:ascii="Calibri" w:eastAsia="Times New Roman" w:hAnsi="Calibri" w:cs="Calibri"/>
          <w:color w:val="000000"/>
          <w:kern w:val="0"/>
          <w14:ligatures w14:val="none"/>
        </w:rPr>
        <w:t>Cifrado de Datos Sensibles: Las afirmaciones sobre el cifrado de datos "en tránsito y en reposo" son importantes, pero carecen de detalles específicos más allá de la "encriptación de contraseñas con Hash". Para una plataforma que maneja información fiscal y de nómina bajo la regulación de la DIAN, esta falta de detalle es una brecha crítica. No se especifican los algoritmos de cifrado para todos los datos sensibles en reposo (MongoDB Atlas, S3, EBS), ni la estrategia de gestión de claves (por ejemplo, AWS KMS). Declaraciones de seguridad vagas pueden ocultar vulnerabilidades significativas o riesgos de incumplimiento normativo.</w:t>
      </w:r>
    </w:p>
    <w:p w14:paraId="00054851" w14:textId="77777777" w:rsidR="00141611" w:rsidRPr="00141611" w:rsidRDefault="00141611" w:rsidP="00141611">
      <w:pPr>
        <w:numPr>
          <w:ilvl w:val="0"/>
          <w:numId w:val="4"/>
        </w:numPr>
        <w:spacing w:before="100" w:beforeAutospacing="1" w:after="100" w:afterAutospacing="1" w:line="240" w:lineRule="auto"/>
        <w:rPr>
          <w:rFonts w:ascii="Calibri" w:eastAsia="Times New Roman" w:hAnsi="Calibri" w:cs="Calibri"/>
          <w:color w:val="000000"/>
          <w:kern w:val="0"/>
          <w14:ligatures w14:val="none"/>
        </w:rPr>
      </w:pPr>
      <w:r w:rsidRPr="00141611">
        <w:rPr>
          <w:rFonts w:ascii="Calibri" w:eastAsia="Times New Roman" w:hAnsi="Calibri" w:cs="Calibri"/>
          <w:color w:val="000000"/>
          <w:kern w:val="0"/>
          <w14:ligatures w14:val="none"/>
        </w:rPr>
        <w:t>Rate Limiting y Protección DDoS: La propuesta de un límite de tasa fijo de 1000 solicitudes por minuto por cliente para las APIs , con una nota que cuestiona si este máximo debe mantenerse o dejarse abierto, es un punto que requiere mayor análisis. Un límite fijo podría ser demasiado rígido o insuficiente para escenarios de tráfico muy elevado. Más críticamente, este límite de tasa específico debe ser parte de una estrategia más amplia de protección contra ataques de denegación de servicio distribuido (DDoS). Depender únicamente de un límite de tasa fijo es insuficiente para una protección DDoS integral para una plataforma financiera crítica.</w:t>
      </w:r>
    </w:p>
    <w:p w14:paraId="65B3EAE5" w14:textId="77777777" w:rsidR="00141611" w:rsidRPr="00141611" w:rsidRDefault="00141611" w:rsidP="00141611">
      <w:pPr>
        <w:spacing w:before="100" w:beforeAutospacing="1" w:after="100" w:afterAutospacing="1" w:line="240" w:lineRule="auto"/>
        <w:outlineLvl w:val="2"/>
        <w:rPr>
          <w:rFonts w:ascii="Calibri" w:eastAsia="Times New Roman" w:hAnsi="Calibri" w:cs="Calibri"/>
          <w:color w:val="000000"/>
          <w:kern w:val="0"/>
          <w:sz w:val="27"/>
          <w:szCs w:val="27"/>
          <w14:ligatures w14:val="none"/>
        </w:rPr>
      </w:pPr>
      <w:r w:rsidRPr="00141611">
        <w:rPr>
          <w:rFonts w:ascii="Calibri" w:eastAsia="Times New Roman" w:hAnsi="Calibri" w:cs="Calibri"/>
          <w:color w:val="000000"/>
          <w:kern w:val="0"/>
          <w:sz w:val="27"/>
          <w:szCs w:val="27"/>
          <w14:ligatures w14:val="none"/>
        </w:rPr>
        <w:t>5. Complejidad de la Capa Backend for Frontends (BFF)</w:t>
      </w:r>
    </w:p>
    <w:p w14:paraId="4247381F" w14:textId="77777777" w:rsidR="00141611" w:rsidRPr="00141611" w:rsidRDefault="00141611" w:rsidP="00141611">
      <w:pPr>
        <w:numPr>
          <w:ilvl w:val="0"/>
          <w:numId w:val="5"/>
        </w:numPr>
        <w:spacing w:before="100" w:beforeAutospacing="1" w:after="100" w:afterAutospacing="1" w:line="240" w:lineRule="auto"/>
        <w:rPr>
          <w:rFonts w:ascii="Calibri" w:eastAsia="Times New Roman" w:hAnsi="Calibri" w:cs="Calibri"/>
          <w:color w:val="000000"/>
          <w:kern w:val="0"/>
          <w14:ligatures w14:val="none"/>
        </w:rPr>
      </w:pPr>
      <w:r w:rsidRPr="00141611">
        <w:rPr>
          <w:rFonts w:ascii="Calibri" w:eastAsia="Times New Roman" w:hAnsi="Calibri" w:cs="Calibri"/>
          <w:color w:val="000000"/>
          <w:kern w:val="0"/>
          <w14:ligatures w14:val="none"/>
        </w:rPr>
        <w:t xml:space="preserve">Implementación y Gestión de BFFs: La mención de una capa de Backend for Frontends (BFFs) es un patrón arquitectónico válido para desacoplar los frontends de los microservicios, pero añade una capa adicional de complejidad. Esta capa requiere diseño, desarrollo, despliegue y gestión propios. El anexo no clarifica las responsabilidades específicas de estos BFFs (por ejemplo, agregación de datos, </w:t>
      </w:r>
      <w:r w:rsidRPr="00141611">
        <w:rPr>
          <w:rFonts w:ascii="Calibri" w:eastAsia="Times New Roman" w:hAnsi="Calibri" w:cs="Calibri"/>
          <w:color w:val="000000"/>
          <w:kern w:val="0"/>
          <w14:ligatures w14:val="none"/>
        </w:rPr>
        <w:lastRenderedPageBreak/>
        <w:t>transformación, lógica específica del frontend, manejo de autenticación/autorización), cómo se implementarán (como microservicios separados o dentro de un API Gateway) y cómo abordarán posibles cuellos de botella de rendimiento o puntos únicos de fallo.</w:t>
      </w:r>
    </w:p>
    <w:p w14:paraId="4140D84D" w14:textId="77777777" w:rsidR="00141611" w:rsidRPr="00141611" w:rsidRDefault="00141611" w:rsidP="00141611">
      <w:pPr>
        <w:spacing w:before="100" w:beforeAutospacing="1" w:after="100" w:afterAutospacing="1" w:line="240" w:lineRule="auto"/>
        <w:outlineLvl w:val="2"/>
        <w:rPr>
          <w:rFonts w:ascii="Calibri" w:eastAsia="Times New Roman" w:hAnsi="Calibri" w:cs="Calibri"/>
          <w:color w:val="000000"/>
          <w:kern w:val="0"/>
          <w:sz w:val="27"/>
          <w:szCs w:val="27"/>
          <w14:ligatures w14:val="none"/>
        </w:rPr>
      </w:pPr>
      <w:r w:rsidRPr="00141611">
        <w:rPr>
          <w:rFonts w:ascii="Calibri" w:eastAsia="Times New Roman" w:hAnsi="Calibri" w:cs="Calibri"/>
          <w:color w:val="000000"/>
          <w:kern w:val="0"/>
          <w:sz w:val="27"/>
          <w:szCs w:val="27"/>
          <w14:ligatures w14:val="none"/>
        </w:rPr>
        <w:t>6. Reescritura Completa de la Lógica de Negocio</w:t>
      </w:r>
    </w:p>
    <w:p w14:paraId="6FB6D00C" w14:textId="77777777" w:rsidR="00141611" w:rsidRPr="00141611" w:rsidRDefault="00141611" w:rsidP="00141611">
      <w:pPr>
        <w:numPr>
          <w:ilvl w:val="0"/>
          <w:numId w:val="6"/>
        </w:numPr>
        <w:spacing w:before="100" w:beforeAutospacing="1" w:after="100" w:afterAutospacing="1" w:line="240" w:lineRule="auto"/>
        <w:rPr>
          <w:rFonts w:ascii="Calibri" w:eastAsia="Times New Roman" w:hAnsi="Calibri" w:cs="Calibri"/>
          <w:color w:val="000000"/>
          <w:kern w:val="0"/>
          <w14:ligatures w14:val="none"/>
        </w:rPr>
      </w:pPr>
      <w:r w:rsidRPr="00141611">
        <w:rPr>
          <w:rFonts w:ascii="Calibri" w:eastAsia="Times New Roman" w:hAnsi="Calibri" w:cs="Calibri"/>
          <w:color w:val="000000"/>
          <w:kern w:val="0"/>
          <w14:ligatures w14:val="none"/>
        </w:rPr>
        <w:t>Riesgos de Reescritura: La transición de PHP a Python y Node.js para el backend implica una reescritura completa de la lógica de negocio existente en los "controladores gordos" del MVC. Esto no es una simple refactorización o contenerización, sino una reconstrucción. Esto conlleva riesgos inherentes como la aparición de nuevas incidencias, posibles retrasos en los plazos de entrega y la dificultad de asegurar la paridad funcional con el sistema legado, especialmente si hay lógica de negocio compleja y no documentada en el código PHP. No se detalla una estrategia robusta para gestionar esta reescritura y asegurar la paridad de funcionalidades.</w:t>
      </w:r>
    </w:p>
    <w:p w14:paraId="5358408A" w14:textId="77777777" w:rsidR="00141611" w:rsidRPr="00141611" w:rsidRDefault="00141611" w:rsidP="00141611">
      <w:pPr>
        <w:spacing w:before="100" w:beforeAutospacing="1" w:after="100" w:afterAutospacing="1" w:line="240" w:lineRule="auto"/>
        <w:outlineLvl w:val="2"/>
        <w:rPr>
          <w:rFonts w:ascii="Calibri" w:eastAsia="Times New Roman" w:hAnsi="Calibri" w:cs="Calibri"/>
          <w:color w:val="000000"/>
          <w:kern w:val="0"/>
          <w:sz w:val="27"/>
          <w:szCs w:val="27"/>
          <w14:ligatures w14:val="none"/>
        </w:rPr>
      </w:pPr>
      <w:r w:rsidRPr="00141611">
        <w:rPr>
          <w:rFonts w:ascii="Calibri" w:eastAsia="Times New Roman" w:hAnsi="Calibri" w:cs="Calibri"/>
          <w:color w:val="000000"/>
          <w:kern w:val="0"/>
          <w:sz w:val="27"/>
          <w:szCs w:val="27"/>
          <w14:ligatures w14:val="none"/>
        </w:rPr>
        <w:t>7. Falta de Detalle en Pruebas de Rendimiento y Carga</w:t>
      </w:r>
    </w:p>
    <w:p w14:paraId="7BB0C26C" w14:textId="77777777" w:rsidR="00141611" w:rsidRPr="00141611" w:rsidRDefault="00141611" w:rsidP="00141611">
      <w:pPr>
        <w:numPr>
          <w:ilvl w:val="0"/>
          <w:numId w:val="7"/>
        </w:numPr>
        <w:spacing w:before="100" w:beforeAutospacing="1" w:after="100" w:afterAutospacing="1" w:line="240" w:lineRule="auto"/>
        <w:rPr>
          <w:rFonts w:ascii="Calibri" w:eastAsia="Times New Roman" w:hAnsi="Calibri" w:cs="Calibri"/>
          <w:color w:val="000000"/>
          <w:kern w:val="0"/>
          <w14:ligatures w14:val="none"/>
        </w:rPr>
      </w:pPr>
      <w:r w:rsidRPr="00141611">
        <w:rPr>
          <w:rFonts w:ascii="Calibri" w:eastAsia="Times New Roman" w:hAnsi="Calibri" w:cs="Calibri"/>
          <w:color w:val="000000"/>
          <w:kern w:val="0"/>
          <w14:ligatures w14:val="none"/>
        </w:rPr>
        <w:t>Validación de Requisitos No Funcionales: Aunque se mencionan requisitos no funcionales críticos como el procesamiento de "dos millones de documentos mensuales" y la "disponibilidad de documentos en menos de cinco segundos" , el anexo no detalla cómo se validarán estos requisitos en la nueva arquitectura. No hay mención explícita de pruebas de rendimiento, pruebas de carga o pruebas de estrés para asegurar que la solución propuesta realmente cumpla con estas expectativas bajo condiciones de producción.</w:t>
      </w:r>
    </w:p>
    <w:p w14:paraId="471FB6B3" w14:textId="77777777" w:rsidR="00141611" w:rsidRPr="00141611" w:rsidRDefault="00141611" w:rsidP="00141611">
      <w:pPr>
        <w:spacing w:before="100" w:beforeAutospacing="1" w:after="100" w:afterAutospacing="1" w:line="240" w:lineRule="auto"/>
        <w:outlineLvl w:val="2"/>
        <w:rPr>
          <w:rFonts w:ascii="Calibri" w:eastAsia="Times New Roman" w:hAnsi="Calibri" w:cs="Calibri"/>
          <w:color w:val="000000"/>
          <w:kern w:val="0"/>
          <w:sz w:val="27"/>
          <w:szCs w:val="27"/>
          <w14:ligatures w14:val="none"/>
        </w:rPr>
      </w:pPr>
      <w:r w:rsidRPr="00141611">
        <w:rPr>
          <w:rFonts w:ascii="Calibri" w:eastAsia="Times New Roman" w:hAnsi="Calibri" w:cs="Calibri"/>
          <w:color w:val="000000"/>
          <w:kern w:val="0"/>
          <w:sz w:val="27"/>
          <w:szCs w:val="27"/>
          <w14:ligatures w14:val="none"/>
        </w:rPr>
        <w:t>8. Gestión de Costos y Optimización</w:t>
      </w:r>
    </w:p>
    <w:p w14:paraId="26B0C878" w14:textId="77777777" w:rsidR="00141611" w:rsidRPr="00141611" w:rsidRDefault="00141611" w:rsidP="00141611">
      <w:pPr>
        <w:numPr>
          <w:ilvl w:val="0"/>
          <w:numId w:val="8"/>
        </w:numPr>
        <w:spacing w:before="100" w:beforeAutospacing="1" w:after="100" w:afterAutospacing="1" w:line="240" w:lineRule="auto"/>
        <w:rPr>
          <w:rFonts w:ascii="Calibri" w:eastAsia="Times New Roman" w:hAnsi="Calibri" w:cs="Calibri"/>
          <w:color w:val="000000"/>
          <w:kern w:val="0"/>
          <w14:ligatures w14:val="none"/>
        </w:rPr>
      </w:pPr>
      <w:r w:rsidRPr="00141611">
        <w:rPr>
          <w:rFonts w:ascii="Calibri" w:eastAsia="Times New Roman" w:hAnsi="Calibri" w:cs="Calibri"/>
          <w:color w:val="000000"/>
          <w:kern w:val="0"/>
          <w14:ligatures w14:val="none"/>
        </w:rPr>
        <w:t>Estrategia de Costos Genérica: Si bien se menciona la "Optimización de costos" con opciones como instancias reservadas y auto scaling , la estrategia es bastante genérica. Una arquitectura de microservicios, si no se gestiona cuidadosamente, puede llevar a un aumento de los costos operativos debido a la mayor cantidad de instancias, el tráfico de red entre servicios y la necesidad de herramientas de monitoreo más sofisticadas. No se presenta un modelo de costos detallado ni una estrategia proactiva para el seguimiento y la optimización de costos específicos de la nueva arquitectura.</w:t>
      </w:r>
    </w:p>
    <w:p w14:paraId="67077C75" w14:textId="77777777" w:rsidR="00141611" w:rsidRPr="00141611" w:rsidRDefault="00141611" w:rsidP="00141611">
      <w:pPr>
        <w:spacing w:before="100" w:beforeAutospacing="1" w:after="100" w:afterAutospacing="1" w:line="240" w:lineRule="auto"/>
        <w:outlineLvl w:val="2"/>
        <w:rPr>
          <w:rFonts w:ascii="Calibri" w:eastAsia="Times New Roman" w:hAnsi="Calibri" w:cs="Calibri"/>
          <w:color w:val="000000"/>
          <w:kern w:val="0"/>
          <w:sz w:val="27"/>
          <w:szCs w:val="27"/>
          <w14:ligatures w14:val="none"/>
        </w:rPr>
      </w:pPr>
      <w:r w:rsidRPr="00141611">
        <w:rPr>
          <w:rFonts w:ascii="Calibri" w:eastAsia="Times New Roman" w:hAnsi="Calibri" w:cs="Calibri"/>
          <w:color w:val="000000"/>
          <w:kern w:val="0"/>
          <w:sz w:val="27"/>
          <w:szCs w:val="27"/>
          <w14:ligatures w14:val="none"/>
        </w:rPr>
        <w:t>9. Plan de Desactivación del Sistema Legado</w:t>
      </w:r>
    </w:p>
    <w:p w14:paraId="253E7EAE" w14:textId="77777777" w:rsidR="00141611" w:rsidRPr="00141611" w:rsidRDefault="00141611" w:rsidP="00141611">
      <w:pPr>
        <w:numPr>
          <w:ilvl w:val="0"/>
          <w:numId w:val="9"/>
        </w:numPr>
        <w:spacing w:before="100" w:beforeAutospacing="1" w:after="100" w:afterAutospacing="1" w:line="240" w:lineRule="auto"/>
        <w:rPr>
          <w:rFonts w:ascii="Calibri" w:eastAsia="Times New Roman" w:hAnsi="Calibri" w:cs="Calibri"/>
          <w:color w:val="000000"/>
          <w:kern w:val="0"/>
          <w14:ligatures w14:val="none"/>
        </w:rPr>
      </w:pPr>
      <w:r w:rsidRPr="00141611">
        <w:rPr>
          <w:rFonts w:ascii="Calibri" w:eastAsia="Times New Roman" w:hAnsi="Calibri" w:cs="Calibri"/>
          <w:color w:val="000000"/>
          <w:kern w:val="0"/>
          <w14:ligatures w14:val="none"/>
        </w:rPr>
        <w:t>Coexistencia y Migración de Datos: No se aborda explícitamente cómo se realizará la transición del sistema PHP MVC existente. ¿Habrá un período de coexistencia? ¿Cómo se migrarán los datos históricos de la base de datos actual a la nueva estructura (si aplica) o cómo se accederá a ellos? La falta de un plan claro para la desactivación o coexistencia del sistema legado puede introducir complejidades operativas y desafíos de sincronización de datos.</w:t>
      </w:r>
    </w:p>
    <w:p w14:paraId="7C6D9408" w14:textId="698E9B72" w:rsidR="00F145B4" w:rsidRPr="00141611" w:rsidRDefault="00F145B4">
      <w:pPr>
        <w:rPr>
          <w:rFonts w:ascii="Calibri" w:hAnsi="Calibri" w:cs="Calibri"/>
          <w:lang w:val="es-ES_tradnl"/>
        </w:rPr>
      </w:pPr>
    </w:p>
    <w:sectPr w:rsidR="00F145B4" w:rsidRPr="001416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B773F"/>
    <w:multiLevelType w:val="multilevel"/>
    <w:tmpl w:val="06C2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24A4C"/>
    <w:multiLevelType w:val="multilevel"/>
    <w:tmpl w:val="16E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D0558"/>
    <w:multiLevelType w:val="multilevel"/>
    <w:tmpl w:val="7032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77B5C"/>
    <w:multiLevelType w:val="multilevel"/>
    <w:tmpl w:val="83F4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51630"/>
    <w:multiLevelType w:val="multilevel"/>
    <w:tmpl w:val="EC20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D0F6E"/>
    <w:multiLevelType w:val="multilevel"/>
    <w:tmpl w:val="5BBE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2241C"/>
    <w:multiLevelType w:val="multilevel"/>
    <w:tmpl w:val="20D6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40160"/>
    <w:multiLevelType w:val="multilevel"/>
    <w:tmpl w:val="6D70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32505"/>
    <w:multiLevelType w:val="multilevel"/>
    <w:tmpl w:val="F8E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091828">
    <w:abstractNumId w:val="7"/>
  </w:num>
  <w:num w:numId="2" w16cid:durableId="281575043">
    <w:abstractNumId w:val="6"/>
  </w:num>
  <w:num w:numId="3" w16cid:durableId="452599533">
    <w:abstractNumId w:val="5"/>
  </w:num>
  <w:num w:numId="4" w16cid:durableId="10107571">
    <w:abstractNumId w:val="4"/>
  </w:num>
  <w:num w:numId="5" w16cid:durableId="1568103704">
    <w:abstractNumId w:val="3"/>
  </w:num>
  <w:num w:numId="6" w16cid:durableId="1855151574">
    <w:abstractNumId w:val="2"/>
  </w:num>
  <w:num w:numId="7" w16cid:durableId="834028978">
    <w:abstractNumId w:val="1"/>
  </w:num>
  <w:num w:numId="8" w16cid:durableId="1693649205">
    <w:abstractNumId w:val="0"/>
  </w:num>
  <w:num w:numId="9" w16cid:durableId="20438205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611"/>
    <w:rsid w:val="0007101B"/>
    <w:rsid w:val="00141611"/>
    <w:rsid w:val="001D5465"/>
    <w:rsid w:val="004E231D"/>
    <w:rsid w:val="00690C22"/>
    <w:rsid w:val="00F145B4"/>
    <w:rsid w:val="00FE28D6"/>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690692AA"/>
  <w15:chartTrackingRefBased/>
  <w15:docId w15:val="{AF413568-CCA0-9C4E-BC12-16936FB73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1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1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611"/>
    <w:rPr>
      <w:rFonts w:eastAsiaTheme="majorEastAsia" w:cstheme="majorBidi"/>
      <w:color w:val="272727" w:themeColor="text1" w:themeTint="D8"/>
    </w:rPr>
  </w:style>
  <w:style w:type="paragraph" w:styleId="Title">
    <w:name w:val="Title"/>
    <w:basedOn w:val="Normal"/>
    <w:next w:val="Normal"/>
    <w:link w:val="TitleChar"/>
    <w:uiPriority w:val="10"/>
    <w:qFormat/>
    <w:rsid w:val="00141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611"/>
    <w:pPr>
      <w:spacing w:before="160"/>
      <w:jc w:val="center"/>
    </w:pPr>
    <w:rPr>
      <w:i/>
      <w:iCs/>
      <w:color w:val="404040" w:themeColor="text1" w:themeTint="BF"/>
    </w:rPr>
  </w:style>
  <w:style w:type="character" w:customStyle="1" w:styleId="QuoteChar">
    <w:name w:val="Quote Char"/>
    <w:basedOn w:val="DefaultParagraphFont"/>
    <w:link w:val="Quote"/>
    <w:uiPriority w:val="29"/>
    <w:rsid w:val="00141611"/>
    <w:rPr>
      <w:i/>
      <w:iCs/>
      <w:color w:val="404040" w:themeColor="text1" w:themeTint="BF"/>
    </w:rPr>
  </w:style>
  <w:style w:type="paragraph" w:styleId="ListParagraph">
    <w:name w:val="List Paragraph"/>
    <w:basedOn w:val="Normal"/>
    <w:uiPriority w:val="34"/>
    <w:qFormat/>
    <w:rsid w:val="00141611"/>
    <w:pPr>
      <w:ind w:left="720"/>
      <w:contextualSpacing/>
    </w:pPr>
  </w:style>
  <w:style w:type="character" w:styleId="IntenseEmphasis">
    <w:name w:val="Intense Emphasis"/>
    <w:basedOn w:val="DefaultParagraphFont"/>
    <w:uiPriority w:val="21"/>
    <w:qFormat/>
    <w:rsid w:val="00141611"/>
    <w:rPr>
      <w:i/>
      <w:iCs/>
      <w:color w:val="0F4761" w:themeColor="accent1" w:themeShade="BF"/>
    </w:rPr>
  </w:style>
  <w:style w:type="paragraph" w:styleId="IntenseQuote">
    <w:name w:val="Intense Quote"/>
    <w:basedOn w:val="Normal"/>
    <w:next w:val="Normal"/>
    <w:link w:val="IntenseQuoteChar"/>
    <w:uiPriority w:val="30"/>
    <w:qFormat/>
    <w:rsid w:val="00141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611"/>
    <w:rPr>
      <w:i/>
      <w:iCs/>
      <w:color w:val="0F4761" w:themeColor="accent1" w:themeShade="BF"/>
    </w:rPr>
  </w:style>
  <w:style w:type="character" w:styleId="IntenseReference">
    <w:name w:val="Intense Reference"/>
    <w:basedOn w:val="DefaultParagraphFont"/>
    <w:uiPriority w:val="32"/>
    <w:qFormat/>
    <w:rsid w:val="00141611"/>
    <w:rPr>
      <w:b/>
      <w:bCs/>
      <w:smallCaps/>
      <w:color w:val="0F4761" w:themeColor="accent1" w:themeShade="BF"/>
      <w:spacing w:val="5"/>
    </w:rPr>
  </w:style>
  <w:style w:type="character" w:styleId="Strong">
    <w:name w:val="Strong"/>
    <w:basedOn w:val="DefaultParagraphFont"/>
    <w:uiPriority w:val="22"/>
    <w:qFormat/>
    <w:rsid w:val="00141611"/>
    <w:rPr>
      <w:b/>
      <w:bCs/>
    </w:rPr>
  </w:style>
  <w:style w:type="character" w:customStyle="1" w:styleId="apple-converted-space">
    <w:name w:val="apple-converted-space"/>
    <w:basedOn w:val="DefaultParagraphFont"/>
    <w:rsid w:val="001416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40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1290</Words>
  <Characters>7353</Characters>
  <Application>Microsoft Office Word</Application>
  <DocSecurity>0</DocSecurity>
  <Lines>61</Lines>
  <Paragraphs>17</Paragraphs>
  <ScaleCrop>false</ScaleCrop>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Quintero Torres</dc:creator>
  <cp:keywords/>
  <dc:description/>
  <cp:lastModifiedBy>William Quintero Torres</cp:lastModifiedBy>
  <cp:revision>1</cp:revision>
  <dcterms:created xsi:type="dcterms:W3CDTF">2025-05-23T01:27:00Z</dcterms:created>
  <dcterms:modified xsi:type="dcterms:W3CDTF">2025-05-23T01:28:00Z</dcterms:modified>
</cp:coreProperties>
</file>