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B8" w:rsidRDefault="00A06AB8" w:rsidP="00A06AB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搭建干涉仪测量空气折射率</w:t>
      </w:r>
    </w:p>
    <w:p w:rsidR="00A06AB8" w:rsidRDefault="00A06AB8" w:rsidP="00AF4F80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201711140236 物理系基地班 李励玮</w:t>
      </w:r>
    </w:p>
    <w:p w:rsidR="00A06AB8" w:rsidRDefault="00A06AB8" w:rsidP="00A06AB8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实验仪器</w:t>
      </w:r>
    </w:p>
    <w:p w:rsidR="00A06AB8" w:rsidRDefault="00A06AB8" w:rsidP="00A06AB8">
      <w:pPr>
        <w:ind w:firstLine="420"/>
        <w:rPr>
          <w:rFonts w:ascii="黑体" w:eastAsia="黑体" w:hAnsi="黑体"/>
        </w:rPr>
      </w:pPr>
      <w:r w:rsidRPr="00A06AB8">
        <w:rPr>
          <w:rFonts w:ascii="黑体" w:eastAsia="黑体" w:hAnsi="黑体" w:hint="eastAsia"/>
        </w:rPr>
        <w:t>单色光源</w:t>
      </w:r>
      <w:r>
        <w:rPr>
          <w:rFonts w:ascii="黑体" w:eastAsia="黑体" w:hAnsi="黑体" w:hint="eastAsia"/>
        </w:rPr>
        <w:t>（半导体激光器，波长532nm）、</w:t>
      </w:r>
      <w:proofErr w:type="gramStart"/>
      <w:r>
        <w:rPr>
          <w:rFonts w:ascii="黑体" w:eastAsia="黑体" w:hAnsi="黑体" w:hint="eastAsia"/>
        </w:rPr>
        <w:t>扩束器</w:t>
      </w:r>
      <w:proofErr w:type="gramEnd"/>
      <w:r>
        <w:rPr>
          <w:rFonts w:ascii="黑体" w:eastAsia="黑体" w:hAnsi="黑体" w:hint="eastAsia"/>
        </w:rPr>
        <w:t>、平板玻璃片若干、分</w:t>
      </w:r>
      <w:proofErr w:type="gramStart"/>
      <w:r>
        <w:rPr>
          <w:rFonts w:ascii="黑体" w:eastAsia="黑体" w:hAnsi="黑体" w:hint="eastAsia"/>
        </w:rPr>
        <w:t>束板若</w:t>
      </w:r>
      <w:proofErr w:type="gramEnd"/>
      <w:r>
        <w:rPr>
          <w:rFonts w:ascii="黑体" w:eastAsia="黑体" w:hAnsi="黑体" w:hint="eastAsia"/>
        </w:rPr>
        <w:t>干（单侧表面涂反射膜的玻璃片）、平面镜若干（根据放置位置不同，又</w:t>
      </w:r>
      <w:proofErr w:type="gramStart"/>
      <w:r>
        <w:rPr>
          <w:rFonts w:ascii="黑体" w:eastAsia="黑体" w:hAnsi="黑体" w:hint="eastAsia"/>
        </w:rPr>
        <w:t>称为动镜</w:t>
      </w:r>
      <w:proofErr w:type="gramEnd"/>
      <w:r>
        <w:rPr>
          <w:rFonts w:ascii="黑体" w:eastAsia="黑体" w:hAnsi="黑体" w:hint="eastAsia"/>
        </w:rPr>
        <w:t>和定镜）、白板、气室（带充气装置和气压表）</w:t>
      </w:r>
    </w:p>
    <w:p w:rsidR="00A06AB8" w:rsidRDefault="00A06AB8" w:rsidP="00A06AB8">
      <w:pPr>
        <w:rPr>
          <w:rFonts w:ascii="黑体" w:eastAsia="黑体" w:hAnsi="黑体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实验原理</w:t>
      </w:r>
    </w:p>
    <w:p w:rsidR="00A06AB8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1.仪器布局同迈克尔逊干涉仪。</w:t>
      </w:r>
    </w:p>
    <w:p w:rsidR="007216D0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2.空气折射率的测量</w:t>
      </w:r>
    </w:p>
    <w:p w:rsidR="00A62578" w:rsidRDefault="007216D0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在分</w:t>
      </w:r>
      <w:proofErr w:type="gramStart"/>
      <w:r>
        <w:rPr>
          <w:rFonts w:ascii="黑体" w:eastAsia="黑体" w:hAnsi="黑体" w:hint="eastAsia"/>
        </w:rPr>
        <w:t>束板会</w:t>
      </w:r>
      <w:proofErr w:type="gramEnd"/>
      <w:r>
        <w:rPr>
          <w:rFonts w:ascii="黑体" w:eastAsia="黑体" w:hAnsi="黑体" w:hint="eastAsia"/>
        </w:rPr>
        <w:t>和反射镜之间插入一个小气室，并再次调整得到等倾条纹干涉</w:t>
      </w:r>
      <w:r w:rsidR="00A62578">
        <w:rPr>
          <w:rFonts w:ascii="黑体" w:eastAsia="黑体" w:hAnsi="黑体" w:hint="eastAsia"/>
        </w:rPr>
        <w:t>。使小气室内的气压变化</w:t>
      </w:r>
      <m:oMath>
        <m:r>
          <w:rPr>
            <w:rFonts w:ascii="Cambria Math" w:eastAsia="黑体" w:hAnsi="Cambria Math"/>
          </w:rPr>
          <m:t>Δp</m:t>
        </m:r>
      </m:oMath>
      <w:r w:rsidR="00A62578">
        <w:rPr>
          <w:rFonts w:ascii="黑体" w:eastAsia="黑体" w:hAnsi="黑体" w:hint="eastAsia"/>
        </w:rPr>
        <w:t>，从而使气体折射率改变</w:t>
      </w:r>
      <m:oMath>
        <m:r>
          <w:rPr>
            <w:rFonts w:ascii="Cambria Math" w:eastAsia="黑体" w:hAnsi="Cambria Math"/>
          </w:rPr>
          <m:t>Δn</m:t>
        </m:r>
      </m:oMath>
      <w:r w:rsidR="00A62578">
        <w:rPr>
          <w:rFonts w:ascii="黑体" w:eastAsia="黑体" w:hAnsi="黑体" w:hint="eastAsia"/>
        </w:rPr>
        <w:t>，光经过小气室光程改变了</w:t>
      </w:r>
      <m:oMath>
        <m:r>
          <w:rPr>
            <w:rFonts w:ascii="Cambria Math" w:eastAsia="黑体" w:hAnsi="Cambria Math"/>
          </w:rPr>
          <m:t>2LΔn</m:t>
        </m:r>
      </m:oMath>
      <w:r w:rsidR="00A62578">
        <w:rPr>
          <w:rFonts w:ascii="黑体" w:eastAsia="黑体" w:hAnsi="黑体" w:hint="eastAsia"/>
        </w:rPr>
        <w:t>，引起干涉条纹吞或吐</w:t>
      </w:r>
      <m:oMath>
        <m:r>
          <w:rPr>
            <w:rFonts w:ascii="Cambria Math" w:eastAsia="黑体" w:hAnsi="Cambria Math"/>
          </w:rPr>
          <m:t>N</m:t>
        </m:r>
      </m:oMath>
      <w:r w:rsidR="00A62578">
        <w:rPr>
          <w:rFonts w:ascii="黑体" w:eastAsia="黑体" w:hAnsi="黑体" w:hint="eastAsia"/>
        </w:rPr>
        <w:t>条。</w:t>
      </w:r>
    </w:p>
    <w:p w:rsidR="007216D0" w:rsidRDefault="00A62578" w:rsidP="007216D0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则由</w:t>
      </w:r>
      <m:oMath>
        <m:r>
          <w:rPr>
            <w:rFonts w:ascii="Cambria Math" w:eastAsia="黑体" w:hAnsi="Cambria Math"/>
          </w:rPr>
          <m:t>2LΔn=Nλ</m:t>
        </m:r>
      </m:oMath>
      <w:r>
        <w:rPr>
          <w:rFonts w:ascii="黑体" w:eastAsia="黑体" w:hAnsi="黑体" w:hint="eastAsia"/>
        </w:rPr>
        <w:t>，得</w:t>
      </w:r>
      <m:oMath>
        <m:d>
          <m:dPr>
            <m:begChr m:val="|"/>
            <m:endChr m:val="|"/>
            <m:ctrlPr>
              <w:rPr>
                <w:rFonts w:ascii="Cambria Math" w:eastAsia="黑体" w:hAnsi="Cambria Math"/>
                <w:i/>
              </w:rPr>
            </m:ctrlPr>
          </m:dPr>
          <m:e>
            <m:r>
              <w:rPr>
                <w:rFonts w:ascii="Cambria Math" w:eastAsia="黑体" w:hAnsi="Cambria Math"/>
              </w:rPr>
              <m:t>Δn</m:t>
            </m:r>
          </m:e>
        </m:d>
        <m:r>
          <w:rPr>
            <w:rFonts w:ascii="Cambria Math" w:eastAsia="黑体" w:hAnsi="Cambria Math"/>
          </w:rPr>
          <m:t>=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Nλ</m:t>
            </m:r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</m:oMath>
      <w:r>
        <w:rPr>
          <w:rFonts w:ascii="黑体" w:eastAsia="黑体" w:hAnsi="黑体" w:hint="eastAsia"/>
        </w:rPr>
        <w:t>。其中</w:t>
      </w:r>
      <m:oMath>
        <m:r>
          <w:rPr>
            <w:rFonts w:ascii="Cambria Math" w:eastAsia="黑体" w:hAnsi="Cambria Math"/>
          </w:rPr>
          <m:t>L</m:t>
        </m:r>
      </m:oMath>
      <w:r>
        <w:rPr>
          <w:rFonts w:ascii="黑体" w:eastAsia="黑体" w:hAnsi="黑体" w:hint="eastAsia"/>
        </w:rPr>
        <w:t>为气室长度，</w:t>
      </w:r>
      <m:oMath>
        <m:r>
          <w:rPr>
            <w:rFonts w:ascii="Cambria Math" w:eastAsia="黑体" w:hAnsi="Cambria Math"/>
          </w:rPr>
          <m:t>Δn</m:t>
        </m:r>
      </m:oMath>
      <w:r>
        <w:rPr>
          <w:rFonts w:ascii="黑体" w:eastAsia="黑体" w:hAnsi="黑体" w:hint="eastAsia"/>
        </w:rPr>
        <w:t>与气压变化量</w:t>
      </w:r>
      <m:oMath>
        <m:r>
          <w:rPr>
            <w:rFonts w:ascii="Cambria Math" w:eastAsia="黑体" w:hAnsi="Cambria Math"/>
          </w:rPr>
          <m:t>Δp</m:t>
        </m:r>
      </m:oMath>
      <w:r>
        <w:rPr>
          <w:rFonts w:ascii="黑体" w:eastAsia="黑体" w:hAnsi="黑体" w:hint="eastAsia"/>
        </w:rPr>
        <w:t>成正比，则</w:t>
      </w:r>
      <m:oMath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n-1</m:t>
            </m:r>
          </m:num>
          <m:den>
            <m:r>
              <w:rPr>
                <w:rFonts w:ascii="Cambria Math" w:eastAsia="黑体" w:hAnsi="Cambria Math"/>
              </w:rPr>
              <m:t>p</m:t>
            </m:r>
          </m:den>
        </m:f>
        <m:r>
          <w:rPr>
            <w:rFonts w:ascii="Cambria Math" w:eastAsia="黑体" w:hAnsi="Cambria Math"/>
          </w:rPr>
          <m:t>=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Δn</m:t>
            </m:r>
          </m:num>
          <m:den>
            <m:r>
              <w:rPr>
                <w:rFonts w:ascii="Cambria Math" w:eastAsia="黑体" w:hAnsi="Cambria Math"/>
              </w:rPr>
              <m:t>Δp</m:t>
            </m:r>
          </m:den>
        </m:f>
      </m:oMath>
      <w:r>
        <w:rPr>
          <w:rFonts w:ascii="黑体" w:eastAsia="黑体" w:hAnsi="黑体" w:hint="eastAsia"/>
        </w:rPr>
        <w:t>，可得空气折射率公式为</w:t>
      </w:r>
      <m:oMath>
        <m:r>
          <w:rPr>
            <w:rFonts w:ascii="Cambria Math" w:eastAsia="黑体" w:hAnsi="Cambria Math"/>
          </w:rPr>
          <m:t>n=1+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λ</m:t>
                </m:r>
              </m:e>
              <m:sub>
                <m:r>
                  <w:rPr>
                    <w:rFonts w:ascii="Cambria Math" w:eastAsia="黑体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黑体" w:hAnsi="Cambria Math"/>
              </w:rPr>
              <m:t>2L</m:t>
            </m:r>
          </m:den>
        </m:f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/>
                    <w:i/>
                  </w:rPr>
                </m:ctrlPr>
              </m:dPr>
              <m:e>
                <m:r>
                  <w:rPr>
                    <w:rFonts w:ascii="Cambria Math" w:eastAsia="黑体" w:hAnsi="Cambria Math"/>
                  </w:rPr>
                  <m:t>Δp</m:t>
                </m:r>
              </m:e>
            </m:d>
          </m:den>
        </m:f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</m:oMath>
      <w:r>
        <w:rPr>
          <w:rFonts w:ascii="黑体" w:eastAsia="黑体" w:hAnsi="黑体" w:hint="eastAsia"/>
        </w:rPr>
        <w:t>，其中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b</m:t>
            </m:r>
          </m:sub>
        </m:sSub>
      </m:oMath>
      <w:r>
        <w:rPr>
          <w:rFonts w:ascii="黑体" w:eastAsia="黑体" w:hAnsi="黑体" w:hint="eastAsia"/>
        </w:rPr>
        <w:t>为大气压强。</w:t>
      </w:r>
    </w:p>
    <w:p w:rsidR="00A62578" w:rsidRPr="00A62578" w:rsidRDefault="00A62578" w:rsidP="007216D0">
      <w:pPr>
        <w:ind w:firstLine="420"/>
        <w:rPr>
          <w:rFonts w:ascii="黑体" w:eastAsia="黑体" w:hAnsi="黑体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A06AB8" w:rsidRDefault="00A62578" w:rsidP="00A62578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1.根据非定域干涉圆条纹（等倾干涉条纹）的形成原理，利用实验仪器所给的器材和元件，在光学平台上自行设计并搭建干涉仪光路，获得清晰的等倾条纹干涉。</w:t>
      </w:r>
    </w:p>
    <w:p w:rsidR="00A62578" w:rsidRDefault="00A62578" w:rsidP="00A62578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2.在</w:t>
      </w:r>
      <w:proofErr w:type="gramStart"/>
      <w:r>
        <w:rPr>
          <w:rFonts w:ascii="黑体" w:eastAsia="黑体" w:hAnsi="黑体" w:hint="eastAsia"/>
        </w:rPr>
        <w:t>分束板和</w:t>
      </w:r>
      <w:proofErr w:type="gramEnd"/>
      <w:r>
        <w:rPr>
          <w:rFonts w:ascii="黑体" w:eastAsia="黑体" w:hAnsi="黑体" w:hint="eastAsia"/>
        </w:rPr>
        <w:t>反射镜之间插入一个小气室，并再次调整得到等倾干涉条纹。给小气室充气，然后放气，测量空气折射率随气压的变化关系。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B57E40" w:rsidTr="00B57E40">
        <w:tc>
          <w:tcPr>
            <w:tcW w:w="1390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1391" w:type="dxa"/>
          </w:tcPr>
          <w:p w:rsidR="00B57E40" w:rsidRDefault="00B57E40" w:rsidP="00B57E4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</w:tr>
      <w:tr w:rsidR="00B57E40" w:rsidTr="00B57E40">
        <w:tc>
          <w:tcPr>
            <w:tcW w:w="1390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</w:rPr>
                  <m:t>/</m:t>
                </m:r>
                <m:r>
                  <w:rPr>
                    <w:rFonts w:ascii="Cambria Math" w:eastAsia="黑体" w:hAnsi="Cambria Math"/>
                  </w:rPr>
                  <m:t>M</m:t>
                </m:r>
                <m:r>
                  <w:rPr>
                    <w:rFonts w:ascii="Cambria Math" w:eastAsia="黑体" w:hAnsi="Cambria Math" w:hint="eastAsia"/>
                  </w:rPr>
                  <m:t>pa</m:t>
                </m:r>
              </m:oMath>
            </m:oMathPara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</w:tr>
      <w:tr w:rsidR="00B57E40" w:rsidTr="00B57E40">
        <w:tc>
          <w:tcPr>
            <w:tcW w:w="1390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 w:hint="eastAsia"/>
                  </w:rPr>
                  <m:t>/</m:t>
                </m:r>
                <m:r>
                  <w:rPr>
                    <w:rFonts w:ascii="Cambria Math" w:eastAsia="黑体" w:hAnsi="Cambria Math"/>
                  </w:rPr>
                  <m:t>M</m:t>
                </m:r>
                <m:r>
                  <w:rPr>
                    <w:rFonts w:ascii="Cambria Math" w:eastAsia="黑体" w:hAnsi="Cambria Math" w:hint="eastAsia"/>
                  </w:rPr>
                  <m:t>pa</m:t>
                </m:r>
              </m:oMath>
            </m:oMathPara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391" w:type="dxa"/>
          </w:tcPr>
          <w:p w:rsidR="00B57E40" w:rsidRDefault="00B57E40" w:rsidP="00B57E40">
            <w:pPr>
              <w:rPr>
                <w:rFonts w:ascii="黑体" w:eastAsia="黑体" w:hAnsi="黑体" w:hint="eastAsia"/>
              </w:rPr>
            </w:pPr>
          </w:p>
        </w:tc>
      </w:tr>
    </w:tbl>
    <w:p w:rsidR="00B57E40" w:rsidRDefault="00B57E40" w:rsidP="00B57E40">
      <w:pPr>
        <w:rPr>
          <w:rFonts w:ascii="黑体" w:eastAsia="黑体" w:hAnsi="黑体" w:hint="eastAsia"/>
        </w:rPr>
      </w:pPr>
    </w:p>
    <w:p w:rsidR="00A62578" w:rsidRPr="00A06AB8" w:rsidRDefault="00A62578" w:rsidP="00A62578">
      <w:pPr>
        <w:ind w:firstLine="420"/>
        <w:rPr>
          <w:rFonts w:ascii="黑体" w:eastAsia="黑体" w:hAnsi="黑体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实验步骤</w:t>
      </w:r>
    </w:p>
    <w:p w:rsidR="00A06AB8" w:rsidRDefault="00E22719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AF4F80">
        <w:rPr>
          <w:rFonts w:ascii="黑体" w:eastAsia="黑体" w:hAnsi="黑体" w:hint="eastAsia"/>
        </w:rPr>
        <w:t>理解空气折射率基本原理。</w:t>
      </w:r>
    </w:p>
    <w:p w:rsidR="00AF4F80" w:rsidRDefault="00AF4F80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 w:rsidR="00FC357A">
        <w:rPr>
          <w:rFonts w:ascii="黑体" w:eastAsia="黑体" w:hAnsi="黑体" w:hint="eastAsia"/>
        </w:rPr>
        <w:t>调整光学元件等高共轴，设计光路并搭建，获得对比度清晰的明暗相间的等倾圆形干涉条纹。</w:t>
      </w:r>
    </w:p>
    <w:p w:rsidR="00FC357A" w:rsidRDefault="00FC357A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3.将气室组件放置于</w:t>
      </w:r>
      <w:proofErr w:type="gramStart"/>
      <w:r>
        <w:rPr>
          <w:rFonts w:ascii="黑体" w:eastAsia="黑体" w:hAnsi="黑体" w:hint="eastAsia"/>
        </w:rPr>
        <w:t>分束镜和</w:t>
      </w:r>
      <w:proofErr w:type="gramEnd"/>
      <w:r>
        <w:rPr>
          <w:rFonts w:ascii="黑体" w:eastAsia="黑体" w:hAnsi="黑体" w:hint="eastAsia"/>
        </w:rPr>
        <w:t>平面镜之间后（</w:t>
      </w:r>
      <w:proofErr w:type="gramStart"/>
      <w:r>
        <w:rPr>
          <w:rFonts w:ascii="黑体" w:eastAsia="黑体" w:hAnsi="黑体" w:hint="eastAsia"/>
        </w:rPr>
        <w:t>动镜</w:t>
      </w:r>
      <w:proofErr w:type="gramEnd"/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w:rPr>
                <w:rFonts w:ascii="Cambria Math" w:eastAsia="黑体" w:hAnsi="Cambria Math"/>
              </w:rPr>
              <m:t>M</m:t>
            </m:r>
          </m:e>
          <m:sub>
            <m:r>
              <w:rPr>
                <w:rFonts w:ascii="Cambria Math" w:eastAsia="黑体" w:hAnsi="Cambria Math" w:hint="eastAsia"/>
              </w:rPr>
              <m:t>1</m:t>
            </m:r>
          </m:sub>
        </m:sSub>
      </m:oMath>
      <w:r>
        <w:rPr>
          <w:rFonts w:ascii="黑体" w:eastAsia="黑体" w:hAnsi="黑体" w:hint="eastAsia"/>
        </w:rPr>
        <w:t>的前方）注意：由于气室的通光窗玻璃可能多次反射光点，可用</w:t>
      </w:r>
      <w:proofErr w:type="gramStart"/>
      <w:r>
        <w:rPr>
          <w:rFonts w:ascii="黑体" w:eastAsia="黑体" w:hAnsi="黑体" w:hint="eastAsia"/>
        </w:rPr>
        <w:t>调节动镜和</w:t>
      </w:r>
      <w:proofErr w:type="gramEnd"/>
      <w:r>
        <w:rPr>
          <w:rFonts w:ascii="黑体" w:eastAsia="黑体" w:hAnsi="黑体" w:hint="eastAsia"/>
        </w:rPr>
        <w:t>定镜背后的三颗螺丝钉来判断，光点发生变化的即是；并在眼睛正前方再次观察到干涉条纹。</w:t>
      </w:r>
    </w:p>
    <w:p w:rsidR="00FC357A" w:rsidRDefault="00FC357A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4.检查气管1的一端连接气室组件，另一端与数字仪表的出气孔相连；气管2与数字仪表的进气孔相连。</w:t>
      </w:r>
    </w:p>
    <w:p w:rsidR="00FC357A" w:rsidRDefault="00FC357A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5.接通电源，打开电源开关，电源指示灯亮，液晶显示屏显示“.</w:t>
      </w:r>
      <w:r>
        <w:rPr>
          <w:rFonts w:ascii="黑体" w:eastAsia="黑体" w:hAnsi="黑体"/>
        </w:rPr>
        <w:t>000</w:t>
      </w:r>
      <w:r>
        <w:rPr>
          <w:rFonts w:ascii="黑体" w:eastAsia="黑体" w:hAnsi="黑体" w:hint="eastAsia"/>
        </w:rPr>
        <w:t>”；</w:t>
      </w:r>
    </w:p>
    <w:p w:rsidR="00FC357A" w:rsidRDefault="00FC357A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6.关闭气球上的阀门，鼓气使气压值大于</w:t>
      </w:r>
      <m:oMath>
        <m:r>
          <m:rPr>
            <m:sty m:val="p"/>
          </m:rPr>
          <w:rPr>
            <w:rFonts w:ascii="Cambria Math" w:eastAsia="黑体" w:hAnsi="Cambria Math" w:hint="eastAsia"/>
          </w:rPr>
          <m:t>0.09</m:t>
        </m:r>
        <m:r>
          <m:rPr>
            <m:sty m:val="p"/>
          </m:rPr>
          <w:rPr>
            <w:rFonts w:ascii="Cambria Math" w:eastAsia="黑体" w:hAnsi="Cambria Math"/>
          </w:rPr>
          <m:t>M</m:t>
        </m:r>
        <m:r>
          <m:rPr>
            <m:sty m:val="p"/>
          </m:rPr>
          <w:rPr>
            <w:rFonts w:ascii="Cambria Math" w:eastAsia="黑体" w:hAnsi="Cambria Math" w:hint="eastAsia"/>
          </w:rPr>
          <m:t>pa</m:t>
        </m:r>
      </m:oMath>
      <w:r>
        <w:rPr>
          <w:rFonts w:ascii="黑体" w:eastAsia="黑体" w:hAnsi="黑体" w:hint="eastAsia"/>
        </w:rPr>
        <w:t>，读出数字仪表的数值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2</m:t>
            </m:r>
          </m:sub>
        </m:sSub>
      </m:oMath>
      <w:r>
        <w:rPr>
          <w:rFonts w:ascii="黑体" w:eastAsia="黑体" w:hAnsi="黑体" w:hint="eastAsia"/>
        </w:rPr>
        <w:t>，打开阀门慢慢放气，当移动60个条纹时，记下数字仪表的数值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p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 w:rsidR="00B57E40">
        <w:rPr>
          <w:rFonts w:ascii="黑体" w:eastAsia="黑体" w:hAnsi="黑体" w:hint="eastAsia"/>
        </w:rPr>
        <w:t>。重复该步骤，共取6组数据，求出变化值</w:t>
      </w:r>
      <m:oMath>
        <m:r>
          <w:rPr>
            <w:rFonts w:ascii="Cambria Math" w:eastAsia="黑体" w:hAnsi="Cambria Math"/>
          </w:rPr>
          <m:t>Δ</m:t>
        </m:r>
        <m:r>
          <w:rPr>
            <w:rFonts w:ascii="Cambria Math" w:eastAsia="黑体" w:hAnsi="Cambria Math" w:hint="eastAsia"/>
          </w:rPr>
          <m:t>p</m:t>
        </m:r>
        <m:r>
          <w:rPr>
            <w:rFonts w:ascii="Cambria Math" w:eastAsia="黑体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黑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p</m:t>
                </m:r>
              </m:e>
              <m:sub>
                <m:r>
                  <w:rPr>
                    <w:rFonts w:ascii="Cambria Math" w:eastAsia="黑体" w:hAnsi="Cambria Math"/>
                  </w:rPr>
                  <m:t>2</m:t>
                </m:r>
              </m:sub>
            </m:sSub>
            <m:r>
              <w:rPr>
                <w:rFonts w:ascii="Cambria Math" w:eastAsia="黑体" w:hAnsi="Cambria Math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i/>
                  </w:rPr>
                </m:ctrlPr>
              </m:sSubPr>
              <m:e>
                <m:r>
                  <w:rPr>
                    <w:rFonts w:ascii="Cambria Math" w:eastAsia="黑体" w:hAnsi="Cambria Math"/>
                  </w:rPr>
                  <m:t>p</m:t>
                </m:r>
              </m:e>
              <m:sub>
                <m:r>
                  <w:rPr>
                    <w:rFonts w:ascii="Cambria Math" w:eastAsia="黑体" w:hAnsi="Cambria Math"/>
                  </w:rPr>
                  <m:t>1</m:t>
                </m:r>
              </m:sub>
            </m:sSub>
          </m:e>
        </m:d>
      </m:oMath>
      <w:r w:rsidR="00B57E40">
        <w:rPr>
          <w:rFonts w:ascii="黑体" w:eastAsia="黑体" w:hAnsi="黑体" w:hint="eastAsia"/>
        </w:rPr>
        <w:t>六次平均值，求标准偏差</w:t>
      </w:r>
      <m:oMath>
        <m:sSub>
          <m:sSubPr>
            <m:ctrlPr>
              <w:rPr>
                <w:rFonts w:ascii="Cambria Math" w:eastAsia="黑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黑体" w:hAnsi="Cambria Math" w:hint="eastAsia"/>
              </w:rPr>
              <m:t>p</m:t>
            </m:r>
          </m:sub>
        </m:sSub>
      </m:oMath>
      <w:r w:rsidR="00B57E40">
        <w:rPr>
          <w:rFonts w:ascii="黑体" w:eastAsia="黑体" w:hAnsi="黑体" w:hint="eastAsia"/>
        </w:rPr>
        <w:t>。</w:t>
      </w:r>
    </w:p>
    <w:p w:rsidR="00B57E40" w:rsidRDefault="00B57E40" w:rsidP="00E22719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7.根据公式计算空气折射率，估算其不确定度。</w:t>
      </w:r>
    </w:p>
    <w:p w:rsidR="00B57E40" w:rsidRPr="00A06AB8" w:rsidRDefault="00B57E40" w:rsidP="00E22719">
      <w:pPr>
        <w:ind w:firstLine="420"/>
        <w:rPr>
          <w:rFonts w:ascii="黑体" w:eastAsia="黑体" w:hAnsi="黑体" w:hint="eastAsia"/>
        </w:rPr>
      </w:pPr>
    </w:p>
    <w:p w:rsidR="00A06AB8" w:rsidRDefault="00A06AB8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4"/>
          <w:szCs w:val="24"/>
        </w:rPr>
        <w:t>注意事项</w:t>
      </w:r>
    </w:p>
    <w:p w:rsidR="00A06AB8" w:rsidRDefault="00B57E40" w:rsidP="00A06AB8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测量时切勿振动桌面及光学平台与仪器，否则重测。</w:t>
      </w:r>
    </w:p>
    <w:p w:rsidR="00B57E40" w:rsidRPr="00A06AB8" w:rsidRDefault="00B57E40" w:rsidP="00A06AB8">
      <w:pPr>
        <w:rPr>
          <w:rFonts w:ascii="黑体" w:eastAsia="黑体" w:hAnsi="黑体" w:hint="eastAsia"/>
        </w:rPr>
      </w:pPr>
    </w:p>
    <w:p w:rsidR="00A06AB8" w:rsidRDefault="00327B7D" w:rsidP="00A06AB8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295" y="21470"/>
                <wp:lineTo x="212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光路图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0" t="21707" r="13006" b="26924"/>
                    <a:stretch/>
                  </pic:blipFill>
                  <pic:spPr bwMode="auto">
                    <a:xfrm>
                      <a:off x="0" y="0"/>
                      <a:ext cx="17970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AB8">
        <w:rPr>
          <w:rFonts w:ascii="黑体" w:eastAsia="黑体" w:hAnsi="黑体" w:hint="eastAsia"/>
          <w:b/>
          <w:sz w:val="24"/>
          <w:szCs w:val="24"/>
        </w:rPr>
        <w:t>预习思考题</w:t>
      </w:r>
    </w:p>
    <w:p w:rsidR="00327B7D" w:rsidRDefault="00B57E40" w:rsidP="00B57E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</w:t>
      </w:r>
      <w:r w:rsidR="00327B7D">
        <w:rPr>
          <w:rFonts w:ascii="黑体" w:eastAsia="黑体" w:hAnsi="黑体" w:hint="eastAsia"/>
        </w:rPr>
        <w:t>光路如右图。</w:t>
      </w:r>
    </w:p>
    <w:p w:rsidR="00B57E40" w:rsidRPr="00B57E40" w:rsidRDefault="00327B7D" w:rsidP="00B57E4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操作：</w:t>
      </w:r>
      <w:r w:rsidR="00B57E40" w:rsidRPr="00B57E40">
        <w:rPr>
          <w:rFonts w:ascii="黑体" w:eastAsia="黑体" w:hAnsi="黑体" w:hint="eastAsia"/>
        </w:rPr>
        <w:t>调整激光束与干涉仪的光路大致垂直；</w:t>
      </w:r>
      <w:proofErr w:type="gramStart"/>
      <w:r w:rsidR="00B57E40" w:rsidRPr="00B57E40">
        <w:rPr>
          <w:rFonts w:ascii="黑体" w:eastAsia="黑体" w:hAnsi="黑体"/>
        </w:rPr>
        <w:t>旋转粗动手轮</w:t>
      </w:r>
      <w:proofErr w:type="gramEnd"/>
      <w:r w:rsidR="00B57E40" w:rsidRPr="00B57E40">
        <w:rPr>
          <w:rFonts w:ascii="黑体" w:eastAsia="黑体" w:hAnsi="黑体"/>
        </w:rPr>
        <w:t>，</w:t>
      </w:r>
      <w:proofErr w:type="gramStart"/>
      <w:r w:rsidR="00B57E40" w:rsidRPr="00B57E40">
        <w:rPr>
          <w:rFonts w:ascii="黑体" w:eastAsia="黑体" w:hAnsi="黑体"/>
        </w:rPr>
        <w:t>使动镜和</w:t>
      </w:r>
      <w:proofErr w:type="gramEnd"/>
      <w:r w:rsidR="00B57E40" w:rsidRPr="00B57E40">
        <w:rPr>
          <w:rFonts w:ascii="黑体" w:eastAsia="黑体" w:hAnsi="黑体"/>
        </w:rPr>
        <w:t>定镜到镀膜面的距离大致相等； 调节</w:t>
      </w:r>
      <m:oMath>
        <m:sSub>
          <m:sSubPr>
            <m:ctrlPr>
              <w:rPr>
                <w:rFonts w:ascii="Cambria Math" w:eastAsia="黑体" w:hAnsi="Cambria Math" w:cs="黑体"/>
                <w:i/>
              </w:rPr>
            </m:ctrlPr>
          </m:sSubPr>
          <m:e>
            <m:r>
              <w:rPr>
                <w:rFonts w:ascii="Cambria Math" w:eastAsia="黑体" w:hAnsi="Cambria Math" w:cs="黑体"/>
              </w:rPr>
              <m:t>M</m:t>
            </m:r>
          </m:e>
          <m:sub>
            <m:r>
              <w:rPr>
                <w:rFonts w:ascii="Cambria Math" w:eastAsia="黑体" w:hAnsi="Cambria Math" w:cs="黑体"/>
              </w:rPr>
              <m:t>1</m:t>
            </m:r>
          </m:sub>
        </m:sSub>
        <m:r>
          <w:rPr>
            <w:rFonts w:ascii="Cambria Math" w:eastAsia="黑体" w:hAnsi="Cambria Math" w:cs="黑体"/>
          </w:rPr>
          <m:t>⊥</m:t>
        </m:r>
        <m:sSub>
          <m:sSubPr>
            <m:ctrlPr>
              <w:rPr>
                <w:rFonts w:ascii="Cambria Math" w:eastAsia="黑体" w:hAnsi="Cambria Math" w:cs="黑体"/>
                <w:i/>
              </w:rPr>
            </m:ctrlPr>
          </m:sSubPr>
          <m:e>
            <m:r>
              <w:rPr>
                <w:rFonts w:ascii="Cambria Math" w:eastAsia="黑体" w:hAnsi="Cambria Math" w:cs="黑体"/>
              </w:rPr>
              <m:t>M</m:t>
            </m:r>
          </m:e>
          <m:sub>
            <m:r>
              <w:rPr>
                <w:rFonts w:ascii="Cambria Math" w:eastAsia="黑体" w:hAnsi="Cambria Math" w:cs="黑体"/>
              </w:rPr>
              <m:t>2</m:t>
            </m:r>
          </m:sub>
        </m:sSub>
      </m:oMath>
      <w:r w:rsidR="00B57E40" w:rsidRPr="00B57E40">
        <w:rPr>
          <w:rFonts w:ascii="黑体" w:eastAsia="黑体" w:hAnsi="黑体"/>
        </w:rPr>
        <w:t>， 在透镜与</w:t>
      </w:r>
      <w:proofErr w:type="gramStart"/>
      <w:r w:rsidR="00B57E40" w:rsidRPr="00B57E40">
        <w:rPr>
          <w:rFonts w:ascii="黑体" w:eastAsia="黑体" w:hAnsi="黑体"/>
        </w:rPr>
        <w:t>分束板之间</w:t>
      </w:r>
      <w:proofErr w:type="gramEnd"/>
      <w:r w:rsidR="00B57E40" w:rsidRPr="00B57E40">
        <w:rPr>
          <w:rFonts w:ascii="黑体" w:eastAsia="黑体" w:hAnsi="黑体"/>
        </w:rPr>
        <w:t>放置一个笔尖状的物体，调整定镜背的螺丝（，有时还需要</w:t>
      </w:r>
      <w:proofErr w:type="gramStart"/>
      <w:r w:rsidR="00B57E40" w:rsidRPr="00B57E40">
        <w:rPr>
          <w:rFonts w:ascii="黑体" w:eastAsia="黑体" w:hAnsi="黑体"/>
        </w:rPr>
        <w:t>调节动镜背面</w:t>
      </w:r>
      <w:proofErr w:type="gramEnd"/>
      <w:r w:rsidR="00B57E40" w:rsidRPr="00B57E40">
        <w:rPr>
          <w:rFonts w:ascii="黑体" w:eastAsia="黑体" w:hAnsi="黑体"/>
        </w:rPr>
        <w:t>的螺丝），</w:t>
      </w:r>
    </w:p>
    <w:p w:rsidR="00B57E40" w:rsidRPr="00B57E40" w:rsidRDefault="00B57E40" w:rsidP="00B57E40">
      <w:pPr>
        <w:rPr>
          <w:rFonts w:ascii="黑体" w:eastAsia="黑体" w:hAnsi="黑体"/>
        </w:rPr>
      </w:pPr>
      <w:r w:rsidRPr="00B57E40">
        <w:rPr>
          <w:rFonts w:ascii="黑体" w:eastAsia="黑体" w:hAnsi="黑体" w:hint="eastAsia"/>
        </w:rPr>
        <w:t>使两个镜子对笔尖的成像重合。此时，视野中出现一系列平行的干涉直条纹。进一步调整定镜上面的微调</w:t>
      </w:r>
      <w:proofErr w:type="gramStart"/>
      <w:r w:rsidRPr="00B57E40">
        <w:rPr>
          <w:rFonts w:ascii="黑体" w:eastAsia="黑体" w:hAnsi="黑体" w:hint="eastAsia"/>
        </w:rPr>
        <w:t>螺</w:t>
      </w:r>
      <w:proofErr w:type="gramEnd"/>
    </w:p>
    <w:p w:rsidR="00A06AB8" w:rsidRPr="00A06AB8" w:rsidRDefault="00B57E40" w:rsidP="00B57E40">
      <w:pPr>
        <w:rPr>
          <w:rFonts w:ascii="黑体" w:eastAsia="黑体" w:hAnsi="黑体"/>
        </w:rPr>
      </w:pPr>
      <w:r w:rsidRPr="00B57E40">
        <w:rPr>
          <w:rFonts w:ascii="黑体" w:eastAsia="黑体" w:hAnsi="黑体" w:hint="eastAsia"/>
        </w:rPr>
        <w:t>钉，使直条纹变成同心圆条纹。</w:t>
      </w:r>
      <w:r w:rsidRPr="00B57E40">
        <w:rPr>
          <w:rFonts w:ascii="黑体" w:eastAsia="黑体" w:hAnsi="黑体"/>
        </w:rPr>
        <w:t xml:space="preserve"> 进一步微调定镜背后的螺丝，使得干涉条纹成像在无穷远处观察同心圆条纹</w:t>
      </w:r>
      <w:r w:rsidRPr="00B57E40">
        <w:rPr>
          <w:rFonts w:ascii="黑体" w:eastAsia="黑体" w:hAnsi="黑体" w:hint="eastAsia"/>
        </w:rPr>
        <w:t>后，移动眼睛，如果条纹随着眼睛的移动出现吞吐，需要微调定镜背面的螺丝，直到条纹随着眼睛的移动不发生吞吐为</w:t>
      </w:r>
      <w:r>
        <w:rPr>
          <w:rFonts w:ascii="黑体" w:eastAsia="黑体" w:hAnsi="黑体" w:hint="eastAsia"/>
        </w:rPr>
        <w:t>止</w:t>
      </w:r>
      <w:r w:rsidRPr="00B57E40">
        <w:rPr>
          <w:rFonts w:ascii="黑体" w:eastAsia="黑体" w:hAnsi="黑体" w:hint="eastAsia"/>
        </w:rPr>
        <w:t>，此时，衍射条纹随着眼睛的移动</w:t>
      </w:r>
      <w:proofErr w:type="gramStart"/>
      <w:r w:rsidRPr="00B57E40">
        <w:rPr>
          <w:rFonts w:ascii="黑体" w:eastAsia="黑体" w:hAnsi="黑体" w:hint="eastAsia"/>
        </w:rPr>
        <w:t>一</w:t>
      </w:r>
      <w:proofErr w:type="gramEnd"/>
      <w:r w:rsidRPr="00B57E40">
        <w:rPr>
          <w:rFonts w:ascii="黑体" w:eastAsia="黑体" w:hAnsi="黑体" w:hint="eastAsia"/>
        </w:rPr>
        <w:t>起动，但没有吞吐。</w:t>
      </w:r>
    </w:p>
    <w:p w:rsidR="00A06AB8" w:rsidRPr="00A06AB8" w:rsidRDefault="00B57E40" w:rsidP="00A06AB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</w:t>
      </w:r>
      <w:r w:rsidR="00327B7D">
        <w:rPr>
          <w:rFonts w:ascii="黑体" w:eastAsia="黑体" w:hAnsi="黑体" w:hint="eastAsia"/>
        </w:rPr>
        <w:t>若温度升高，环境气压变高，测得的</w:t>
      </w:r>
      <m:oMath>
        <m:r>
          <w:rPr>
            <w:rFonts w:ascii="Cambria Math" w:eastAsia="黑体" w:hAnsi="Cambria Math"/>
          </w:rPr>
          <m:t>Δ</m:t>
        </m:r>
        <m:r>
          <w:rPr>
            <w:rFonts w:ascii="Cambria Math" w:eastAsia="黑体" w:hAnsi="Cambria Math" w:hint="eastAsia"/>
          </w:rPr>
          <m:t>p</m:t>
        </m:r>
      </m:oMath>
      <w:r w:rsidR="00327B7D">
        <w:rPr>
          <w:rFonts w:ascii="黑体" w:eastAsia="黑体" w:hAnsi="黑体" w:hint="eastAsia"/>
        </w:rPr>
        <w:t>比实际值低，则空气折射率公式的斜率增大。</w:t>
      </w:r>
      <w:bookmarkStart w:id="0" w:name="_GoBack"/>
      <w:bookmarkEnd w:id="0"/>
    </w:p>
    <w:sectPr w:rsidR="00A06AB8" w:rsidRPr="00A06AB8" w:rsidSect="00A06AB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B8"/>
    <w:rsid w:val="00327B7D"/>
    <w:rsid w:val="007216D0"/>
    <w:rsid w:val="00A06AB8"/>
    <w:rsid w:val="00A62578"/>
    <w:rsid w:val="00AF4F80"/>
    <w:rsid w:val="00B57E40"/>
    <w:rsid w:val="00E22719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20FB"/>
  <w15:chartTrackingRefBased/>
  <w15:docId w15:val="{789435F2-FE92-4B2F-8356-9D2D922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57A"/>
    <w:rPr>
      <w:color w:val="808080"/>
    </w:rPr>
  </w:style>
  <w:style w:type="table" w:styleId="a4">
    <w:name w:val="Table Grid"/>
    <w:basedOn w:val="a1"/>
    <w:uiPriority w:val="39"/>
    <w:rsid w:val="00B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4</cp:revision>
  <dcterms:created xsi:type="dcterms:W3CDTF">2018-12-12T01:07:00Z</dcterms:created>
  <dcterms:modified xsi:type="dcterms:W3CDTF">2018-12-12T02:40:00Z</dcterms:modified>
</cp:coreProperties>
</file>